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9BC2C" w14:textId="6B7877A2" w:rsidR="004360B1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2594CB9D" w14:textId="77777777" w:rsidR="004360B1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Problem – Solution Fit Template</w:t>
      </w:r>
    </w:p>
    <w:p w14:paraId="5854019A" w14:textId="77777777" w:rsidR="004360B1" w:rsidRDefault="004360B1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360B1" w14:paraId="59EA490E" w14:textId="77777777">
        <w:tc>
          <w:tcPr>
            <w:tcW w:w="4508" w:type="dxa"/>
          </w:tcPr>
          <w:p w14:paraId="29CE5A4C" w14:textId="77777777" w:rsidR="004360B1" w:rsidRDefault="00000000">
            <w:r>
              <w:t>Date</w:t>
            </w:r>
          </w:p>
        </w:tc>
        <w:tc>
          <w:tcPr>
            <w:tcW w:w="4508" w:type="dxa"/>
          </w:tcPr>
          <w:p w14:paraId="6C6AD7EB" w14:textId="345E05B3" w:rsidR="004360B1" w:rsidRDefault="00CD4BE3">
            <w:r>
              <w:t>12 July 2026</w:t>
            </w:r>
          </w:p>
        </w:tc>
      </w:tr>
      <w:tr w:rsidR="004360B1" w14:paraId="51E034FC" w14:textId="77777777">
        <w:tc>
          <w:tcPr>
            <w:tcW w:w="4508" w:type="dxa"/>
          </w:tcPr>
          <w:p w14:paraId="69F005D8" w14:textId="77777777" w:rsidR="004360B1" w:rsidRDefault="00000000">
            <w:r>
              <w:t>Project Name</w:t>
            </w:r>
          </w:p>
        </w:tc>
        <w:tc>
          <w:tcPr>
            <w:tcW w:w="4508" w:type="dxa"/>
          </w:tcPr>
          <w:p w14:paraId="381D29FA" w14:textId="6B18FD7C" w:rsidR="004360B1" w:rsidRDefault="004360B1">
            <w:r>
              <w:t>Customer Registry – MERN Stack Complaint &amp; Customer Management System</w:t>
            </w:r>
          </w:p>
        </w:tc>
      </w:tr>
      <w:tr w:rsidR="004360B1" w14:paraId="22167E14" w14:textId="77777777">
        <w:tc>
          <w:tcPr>
            <w:tcW w:w="4508" w:type="dxa"/>
          </w:tcPr>
          <w:p w14:paraId="215D873C" w14:textId="77777777" w:rsidR="004360B1" w:rsidRDefault="00000000">
            <w:r>
              <w:t>Maximum Marks</w:t>
            </w:r>
          </w:p>
        </w:tc>
        <w:tc>
          <w:tcPr>
            <w:tcW w:w="4508" w:type="dxa"/>
          </w:tcPr>
          <w:p w14:paraId="1C19BA8D" w14:textId="77777777" w:rsidR="004360B1" w:rsidRDefault="00000000">
            <w:r>
              <w:t>2 Marks</w:t>
            </w:r>
          </w:p>
        </w:tc>
      </w:tr>
    </w:tbl>
    <w:p w14:paraId="53EF8A59" w14:textId="77777777" w:rsidR="004360B1" w:rsidRDefault="004360B1">
      <w:pPr>
        <w:rPr>
          <w:b/>
        </w:rPr>
      </w:pPr>
    </w:p>
    <w:p>
      <w:pPr>
        <w:rPr>
          <w:b w:val="1"/>
          <w:sz w:val="24"/>
          <w:szCs w:val="24"/>
        </w:rPr>
      </w:pPr>
      <w:r>
        <w:rPr>
          <w:b w:val="1"/>
          <w:sz w:val="24"/>
          <w:szCs w:val="24"/>
          <w:rtl w:val="0"/>
        </w:rPr>
        <w:t xml:space="preserve">Problem – Solution Fit Template:</w:t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  <w:rtl w:val="0"/>
        </w:rPr>
        <w:t xml:space="preserve">The canvas below validates that the problem identified for Customer Registry (see Define the Problem Statements) is genuinely matched by the proposed solution, before any implementation work began.</w:t>
      </w:r>
    </w:p>
    <w:p>
      <w:pPr>
        <w:rPr/>
      </w:pPr>
      <w:r>
        <w:rPr>
          <w:rtl w:val="0"/>
        </w:rPr>
      </w:r>
    </w:p>
    <w:tbl>
      <w:tblPr>
        <w:tblStyle w:val="Table1"/>
        <w:tblW w:w="9016" w:type="dxa"/>
        <w:jc w:val="left"/>
        <w:tblBorders>
          <w:top w:color="9CA3AF" w:space="0" w:sz="4" w:val="single"/>
          <w:left w:color="9CA3AF" w:space="0" w:sz="4" w:val="single"/>
          <w:bottom w:color="9CA3AF" w:space="0" w:sz="4" w:val="single"/>
          <w:right w:color="9CA3AF" w:space="0" w:sz="4" w:val="single"/>
          <w:insideH w:color="9CA3AF" w:space="0" w:sz="4" w:val="single"/>
          <w:insideV w:color="9CA3AF" w:space="0" w:sz="4" w:val="single"/>
        </w:tblBorders>
        <w:tblLayout w:type="fixed"/>
        <w:tblLook w:val="0400"/>
      </w:tblPr>
      <w:tblGrid>
        <w:gridCol w:w="2600"/>
        <w:gridCol w:w="6416"/>
      </w:tblGrid>
      <w:tr>
        <w:trPr>
          <w:cantSplit w:val="0"/>
          <w:tblHeader w:val="0"/>
        </w:trPr>
        <w:tc>
          <w:tcPr>
            <w:tcW w:w="2600" w:type="dxa"/>
            <w:shd w:val="clear" w:fill="1F4E79"/>
            <w:vAlign w:val="center"/>
          </w:tcPr>
          <w:p>
            <w:pPr>
              <w:rPr>
                <w:b w:val="1"/>
                <w:color w:val="FFFFFF"/>
                <w:sz w:val="22"/>
                <w:szCs w:val="22"/>
              </w:rPr>
            </w:pPr>
            <w:r>
              <w:rPr>
                <w:b w:val="1"/>
                <w:color w:val="FFFFFF"/>
                <w:sz w:val="22"/>
                <w:szCs w:val="22"/>
                <w:rtl w:val="0"/>
              </w:rPr>
              <w:t xml:space="preserve">Canvas Element</w:t>
            </w:r>
          </w:p>
        </w:tc>
        <w:tc>
          <w:tcPr>
            <w:tcW w:w="6416" w:type="dxa"/>
            <w:shd w:val="clear" w:fill="1F4E79"/>
            <w:vAlign w:val="center"/>
          </w:tcPr>
          <w:p>
            <w:pPr>
              <w:rPr>
                <w:b w:val="1"/>
                <w:color w:val="FFFFFF"/>
                <w:sz w:val="22"/>
                <w:szCs w:val="22"/>
              </w:rPr>
            </w:pPr>
            <w:r>
              <w:rPr>
                <w:b w:val="1"/>
                <w:color w:val="FFFFFF"/>
                <w:sz w:val="22"/>
                <w:szCs w:val="22"/>
                <w:rtl w:val="0"/>
              </w:rPr>
              <w:t xml:space="preserve">Customer Registry</w:t>
            </w:r>
          </w:p>
        </w:tc>
      </w:tr>
      <w:tr>
        <w:trPr>
          <w:cantSplit w:val="0"/>
          <w:tblHeader w:val="0"/>
        </w:trPr>
        <w:tc>
          <w:tcPr>
            <w:tcW w:w="2600" w:type="dxa"/>
            <w:shd w:val="clear" w:fill="DDEBF7"/>
            <w:vAlign w:val="center"/>
          </w:tcPr>
          <w:p>
            <w:pPr>
              <w:rPr>
                <w:b w:val="1"/>
                <w:color w:val="000000"/>
                <w:sz w:val="22"/>
                <w:szCs w:val="22"/>
              </w:rPr>
            </w:pPr>
            <w:r>
              <w:rPr>
                <w:b w:val="1"/>
                <w:color w:val="000000"/>
                <w:sz w:val="22"/>
                <w:szCs w:val="22"/>
                <w:rtl w:val="0"/>
              </w:rPr>
              <w:t xml:space="preserve">Customer Segments</w:t>
            </w:r>
          </w:p>
        </w:tc>
        <w:tc>
          <w:tcPr>
            <w:tcW w:w="6416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End customers who have raised a complaint with a business; the support agents who resolve those complaints; and the admin who runs the support operation.</w:t>
            </w:r>
          </w:p>
        </w:tc>
      </w:tr>
      <w:tr>
        <w:trPr>
          <w:cantSplit w:val="0"/>
          <w:tblHeader w:val="0"/>
        </w:trPr>
        <w:tc>
          <w:tcPr>
            <w:tcW w:w="2600" w:type="dxa"/>
            <w:shd w:val="clear" w:fill="DDEBF7"/>
            <w:vAlign w:val="center"/>
          </w:tcPr>
          <w:p>
            <w:pPr>
              <w:rPr>
                <w:b w:val="1"/>
                <w:color w:val="000000"/>
                <w:sz w:val="22"/>
                <w:szCs w:val="22"/>
              </w:rPr>
            </w:pPr>
            <w:r>
              <w:rPr>
                <w:b w:val="1"/>
                <w:color w:val="000000"/>
                <w:sz w:val="22"/>
                <w:szCs w:val="22"/>
                <w:rtl w:val="0"/>
              </w:rPr>
              <w:t xml:space="preserve">Problem / Jobs-to-be-Done</w:t>
            </w:r>
          </w:p>
        </w:tc>
        <w:tc>
          <w:tcPr>
            <w:tcW w:w="6416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Customers need to report an issue and know it is being handled; agents need a personal queue of work instead of a shared inbox; admins need oversight of every complaint, agent and category.</w:t>
            </w:r>
          </w:p>
        </w:tc>
      </w:tr>
      <w:tr>
        <w:trPr>
          <w:cantSplit w:val="0"/>
          <w:tblHeader w:val="0"/>
        </w:trPr>
        <w:tc>
          <w:tcPr>
            <w:tcW w:w="2600" w:type="dxa"/>
            <w:shd w:val="clear" w:fill="DDEBF7"/>
            <w:vAlign w:val="center"/>
          </w:tcPr>
          <w:p>
            <w:pPr>
              <w:rPr>
                <w:b w:val="1"/>
                <w:color w:val="000000"/>
                <w:sz w:val="22"/>
                <w:szCs w:val="22"/>
              </w:rPr>
            </w:pPr>
            <w:r>
              <w:rPr>
                <w:b w:val="1"/>
                <w:color w:val="000000"/>
                <w:sz w:val="22"/>
                <w:szCs w:val="22"/>
                <w:rtl w:val="0"/>
              </w:rPr>
              <w:t xml:space="preserve">Existing Alternatives (Solution Today)</w:t>
            </w:r>
          </w:p>
        </w:tc>
        <w:tc>
          <w:tcPr>
            <w:tcW w:w="6416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Phone calls, WhatsApp messages and email threads with no shared record, no status field, and no way for a customer to check progress without contacting someone directly.</w:t>
            </w:r>
          </w:p>
        </w:tc>
      </w:tr>
      <w:tr>
        <w:trPr>
          <w:cantSplit w:val="0"/>
          <w:tblHeader w:val="0"/>
        </w:trPr>
        <w:tc>
          <w:tcPr>
            <w:tcW w:w="2600" w:type="dxa"/>
            <w:shd w:val="clear" w:fill="DDEBF7"/>
            <w:vAlign w:val="center"/>
          </w:tcPr>
          <w:p>
            <w:pPr>
              <w:rPr>
                <w:b w:val="1"/>
                <w:color w:val="000000"/>
                <w:sz w:val="22"/>
                <w:szCs w:val="22"/>
              </w:rPr>
            </w:pPr>
            <w:r>
              <w:rPr>
                <w:b w:val="1"/>
                <w:color w:val="000000"/>
                <w:sz w:val="22"/>
                <w:szCs w:val="22"/>
                <w:rtl w:val="0"/>
              </w:rPr>
              <w:t xml:space="preserve">Trigger</w:t>
            </w:r>
          </w:p>
        </w:tc>
        <w:tc>
          <w:tcPr>
            <w:tcW w:w="6416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A product or service fails to work as expected, prompting the customer to look for a way to report it and be taken seriously.</w:t>
            </w:r>
          </w:p>
        </w:tc>
      </w:tr>
      <w:tr>
        <w:trPr>
          <w:cantSplit w:val="0"/>
          <w:tblHeader w:val="0"/>
        </w:trPr>
        <w:tc>
          <w:tcPr>
            <w:tcW w:w="2600" w:type="dxa"/>
            <w:shd w:val="clear" w:fill="DDEBF7"/>
            <w:vAlign w:val="center"/>
          </w:tcPr>
          <w:p>
            <w:pPr>
              <w:rPr>
                <w:b w:val="1"/>
                <w:color w:val="000000"/>
                <w:sz w:val="22"/>
                <w:szCs w:val="22"/>
              </w:rPr>
            </w:pPr>
            <w:r>
              <w:rPr>
                <w:b w:val="1"/>
                <w:color w:val="000000"/>
                <w:sz w:val="22"/>
                <w:szCs w:val="22"/>
                <w:rtl w:val="0"/>
              </w:rPr>
              <w:t xml:space="preserve">Emotion</w:t>
            </w:r>
          </w:p>
        </w:tc>
        <w:tc>
          <w:tcPr>
            <w:tcW w:w="6416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Frustration and anxiety while the complaint is open; relief and trust once a status update or a reply arrives.</w:t>
            </w:r>
          </w:p>
        </w:tc>
      </w:tr>
      <w:tr>
        <w:trPr>
          <w:cantSplit w:val="0"/>
          <w:tblHeader w:val="0"/>
        </w:trPr>
        <w:tc>
          <w:tcPr>
            <w:tcW w:w="2600" w:type="dxa"/>
            <w:shd w:val="clear" w:fill="DDEBF7"/>
            <w:vAlign w:val="center"/>
          </w:tcPr>
          <w:p>
            <w:pPr>
              <w:rPr>
                <w:b w:val="1"/>
                <w:color w:val="000000"/>
                <w:sz w:val="22"/>
                <w:szCs w:val="22"/>
              </w:rPr>
            </w:pPr>
            <w:r>
              <w:rPr>
                <w:b w:val="1"/>
                <w:color w:val="000000"/>
                <w:sz w:val="22"/>
                <w:szCs w:val="22"/>
                <w:rtl w:val="0"/>
              </w:rPr>
              <w:t xml:space="preserve">Root Cause</w:t>
            </w:r>
          </w:p>
        </w:tc>
        <w:tc>
          <w:tcPr>
            <w:tcW w:w="6416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There is no shared, structured record of a complaint that both the customer and the person resolving it can see and update at the same time.</w:t>
            </w:r>
          </w:p>
        </w:tc>
      </w:tr>
      <w:tr>
        <w:trPr>
          <w:cantSplit w:val="0"/>
          <w:tblHeader w:val="0"/>
        </w:trPr>
        <w:tc>
          <w:tcPr>
            <w:tcW w:w="2600" w:type="dxa"/>
            <w:shd w:val="clear" w:fill="DDEBF7"/>
            <w:vAlign w:val="center"/>
          </w:tcPr>
          <w:p>
            <w:pPr>
              <w:rPr>
                <w:b w:val="1"/>
                <w:color w:val="000000"/>
                <w:sz w:val="22"/>
                <w:szCs w:val="22"/>
              </w:rPr>
            </w:pPr>
            <w:r>
              <w:rPr>
                <w:b w:val="1"/>
                <w:color w:val="000000"/>
                <w:sz w:val="22"/>
                <w:szCs w:val="22"/>
                <w:rtl w:val="0"/>
              </w:rPr>
              <w:t xml:space="preserve">Proposed Solution</w:t>
            </w:r>
          </w:p>
        </w:tc>
        <w:tc>
          <w:tcPr>
            <w:tcW w:w="6416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A MERN web application where a customer submits a complaint once, an admin assigns it to an agent, the agent updates its status, and both sides can message each other in-app – all visible from the same complaint record.</w:t>
            </w:r>
          </w:p>
        </w:tc>
      </w:tr>
      <w:tr>
        <w:trPr>
          <w:cantSplit w:val="0"/>
          <w:tblHeader w:val="0"/>
        </w:trPr>
        <w:tc>
          <w:tcPr>
            <w:tcW w:w="2600" w:type="dxa"/>
            <w:shd w:val="clear" w:fill="DDEBF7"/>
            <w:vAlign w:val="center"/>
          </w:tcPr>
          <w:p>
            <w:pPr>
              <w:rPr>
                <w:b w:val="1"/>
                <w:color w:val="000000"/>
                <w:sz w:val="22"/>
                <w:szCs w:val="22"/>
              </w:rPr>
            </w:pPr>
            <w:r>
              <w:rPr>
                <w:b w:val="1"/>
                <w:color w:val="000000"/>
                <w:sz w:val="22"/>
                <w:szCs w:val="22"/>
                <w:rtl w:val="0"/>
              </w:rPr>
              <w:t xml:space="preserve">Value Proposition</w:t>
            </w:r>
          </w:p>
        </w:tc>
        <w:tc>
          <w:tcPr>
            <w:tcW w:w="6416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One transparent record per complaint, from submission to resolution, with role-based dashboards so nobody has to chase updates over email or phone.</w:t>
            </w:r>
          </w:p>
        </w:tc>
      </w:tr>
      <w:tr>
        <w:trPr>
          <w:cantSplit w:val="0"/>
          <w:tblHeader w:val="0"/>
        </w:trPr>
        <w:tc>
          <w:tcPr>
            <w:tcW w:w="2600" w:type="dxa"/>
            <w:shd w:val="clear" w:fill="DDEBF7"/>
            <w:vAlign w:val="center"/>
          </w:tcPr>
          <w:p>
            <w:pPr>
              <w:rPr>
                <w:b w:val="1"/>
                <w:color w:val="000000"/>
                <w:sz w:val="22"/>
                <w:szCs w:val="22"/>
              </w:rPr>
            </w:pPr>
            <w:r>
              <w:rPr>
                <w:b w:val="1"/>
                <w:color w:val="000000"/>
                <w:sz w:val="22"/>
                <w:szCs w:val="22"/>
                <w:rtl w:val="0"/>
              </w:rPr>
              <w:t xml:space="preserve">Adoption Strategy</w:t>
            </w:r>
          </w:p>
        </w:tc>
        <w:tc>
          <w:tcPr>
            <w:tcW w:w="6416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Start with a single admin and a small agent team (the free tier described in the Proposed Solution document), so a business can adopt the system without switching away from existing channels overnight.</w:t>
            </w:r>
          </w:p>
        </w:tc>
      </w:tr>
    </w:tbl>
    <w:p>
      <w:pPr>
        <w:rPr/>
      </w:pPr>
      <w:r>
        <w:rPr>
          <w:rtl w:val="0"/>
        </w:rPr>
      </w:r>
    </w:p>
    <w:p>
      <w:pPr>
        <w:jc w:val="both"/>
        <w:rPr>
          <w:b w:val="1"/>
          <w:sz w:val="22"/>
          <w:szCs w:val="22"/>
        </w:rPr>
      </w:pPr>
      <w:r>
        <w:rPr>
          <w:b w:val="1"/>
          <w:sz w:val="22"/>
          <w:szCs w:val="22"/>
          <w:rtl w:val="0"/>
        </w:rPr>
        <w:t xml:space="preserve">Fit check: every existing alternative above is manual and has no shared status – exactly the gap the proposed solution's complaint-status and messaging features are built to close, confirming the problem and solution are aligned.</w:t>
      </w:r>
    </w:p>
    <w:sectPr w:rsidR="004360B1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9F3087F2-4F7B-46F6-BADE-FA362528FF8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EE4658C-D5C8-4BCB-80C0-816BB1AA6CB2}"/>
    <w:embedBold r:id="rId3" w:fontKey="{3B964C4A-898B-4A9E-B401-18DF1F5C40E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Regular r:id="rId4" w:fontKey="{997D6118-4854-46F7-8F46-143101FF9F4D}"/>
    <w:embedItalic r:id="rId5" w:fontKey="{E7B62C61-CC15-49AC-ABD7-90E11BC567FC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0750A123-0B9B-4667-8CD8-EB0F75C702B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B6B56"/>
    <w:multiLevelType w:val="multilevel"/>
    <w:tmpl w:val="1898FC88"/>
    <w:lvl w:ilvl="0">
      <w:start w:val="1"/>
      <w:numFmt w:val="bullet"/>
      <w:lvlText w:val="❑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❑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❑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❑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❑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❑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❑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❑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❑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675D24DA"/>
    <w:multiLevelType w:val="multilevel"/>
    <w:tmpl w:val="E14CE0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539898047">
    <w:abstractNumId w:val="1"/>
  </w:num>
  <w:num w:numId="2" w16cid:durableId="13997426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60B1"/>
    <w:rsid w:val="004360B1"/>
    <w:rsid w:val="005902FC"/>
    <w:rsid w:val="00A33440"/>
    <w:rsid w:val="00CD4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69484"/>
  <w15:docId w15:val="{D94E08EC-E1A9-4D64-B5D8-9C322A2C8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edium.com/@epicantus/problem-solution-fit-canvas-aa3dd59cb4fe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ideahackers.network/problem-solution-fit-canva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08XooxjhByQWwx0bob9XipzZPbQ==">AMUW2mXAQYkxPOd54Bjsy7UegTlcF73GOjIK8WN4SmZuWNVeZ9g18THrAh0pqgByaxsWrhJstHmV7WwJGg82ei8oLmX0YAG6++Jw1D8yGtZMB9pTPNSntvE=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194</Words>
  <Characters>1112</Characters>
  <Application>Microsoft Office Word</Application>
  <DocSecurity>0</DocSecurity>
  <Lines>9</Lines>
  <Paragraphs>2</Paragraphs>
  <ScaleCrop>false</ScaleCrop>
  <Company/>
  <LinksUpToDate>false</LinksUpToDate>
  <CharactersWithSpaces>1304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Indra Chauhan</cp:lastModifiedBy>
  <cp:revision>3</cp:revision>
  <cp:lastPrinted>2025-02-15T04:32:00Z</cp:lastPrinted>
  <dcterms:created xsi:type="dcterms:W3CDTF">2022-10-03T08:04:00Z</dcterms:created>
  <dcterms:modified xsi:type="dcterms:W3CDTF">2025-02-15T04:33:00Z</dcterms:modified>
</cp:coreProperties>
</file>