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Pr>
          <w:b w:val="1"/>
          <w:bCs w:val="1"/>
          <w:sz w:val="24"/>
          <w:szCs w:val="24"/>
          <w:rtl w:val="0"/>
        </w:rPr>
        <w:t xml:space="preserve">Project Design Phase</w:t>
      </w:r>
    </w:p>
    <w:p w:rsidR="00000000" w:rsidDel="00000000" w:rsidP="00000000" w:rsidRDefault="00000000" w:rsidRPr="00000000" w14:paraId="00000002">
      <w:pPr>
        <w:spacing w:after="0" w:lineRule="auto"/>
        <w:jc w:val="center"/>
        <w:rPr>
          <w:b w:val="1"/>
          <w:bCs w:val="1"/>
          <w:sz w:val="24"/>
          <w:szCs w:val="24"/>
        </w:rPr>
      </w:pPr>
      <w:r>
        <w:rPr>
          <w:b w:val="1"/>
          <w:bCs w:val="1"/>
          <w:sz w:val="24"/>
          <w:szCs w:val="24"/>
          <w:rtl w:val="0"/>
        </w:rPr>
        <w:t xml:space="preserve">Proposed Solution Template</w:t>
      </w:r>
    </w:p>
    <w:p w:rsidR="00000000" w:rsidDel="00000000" w:rsidP="00000000" w:rsidRDefault="00000000" w:rsidRPr="00000000" w14:paraId="00000003">
      <w:pPr>
        <w:spacing w:after="0" w:lineRule="auto"/>
        <w:jc w:val="center"/>
        <w:rPr>
          <w:b w:val="1"/>
          <w:bCs w:val="1"/>
        </w:rPr>
      </w:pPr>
      <w:r>
        <w:rPr>
          <w:rtl w:val="0"/>
        </w:rPr>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5"/>
        <w:gridCol w:w="4335"/>
        <w:tblGridChange w:id="0">
          <w:tblGrid>
            <w:gridCol w:w="4695"/>
            <w:gridCol w:w="4335"/>
          </w:tblGrid>
        </w:tblGridChange>
      </w:tblGrid>
      <w:tr>
        <w:trPr>
          <w:cantSplit w:val="0"/>
          <w:tblHeader w:val="0"/>
        </w:trPr>
        <w:tc>
          <w:tcPr/>
          <w:p w:rsidR="00000000" w:rsidDel="00000000" w:rsidP="00000000" w:rsidRDefault="00000000" w:rsidRPr="00000000" w14:paraId="00000004">
            <w:pPr>
              <w:rPr/>
            </w:pPr>
            <w:r>
              <w:rPr>
                <w:rtl w:val="0"/>
              </w:rPr>
              <w:t xml:space="preserve">Date</w:t>
            </w:r>
          </w:p>
        </w:tc>
        <w:tc>
          <w:tcPr/>
          <w:p w:rsidR="00000000" w:rsidDel="00000000" w:rsidP="00000000" w:rsidRDefault="00000000" w:rsidRPr="00000000" w14:paraId="00000005">
            <w:pPr>
              <w:rPr/>
            </w:pPr>
            <w:r>
              <w:rPr>
                <w:rtl w:val="0"/>
              </w:rPr>
              <w:t xml:space="preserve">12 July 2026</w:t>
            </w:r>
          </w:p>
        </w:tc>
      </w:tr>
      <w:tr>
        <w:trPr>
          <w:cantSplit w:val="0"/>
          <w:tblHeader w:val="0"/>
        </w:trPr>
        <w:tc>
          <w:tcPr/>
          <w:p w:rsidR="00000000" w:rsidDel="00000000" w:rsidP="00000000" w:rsidRDefault="00000000" w:rsidRPr="00000000" w14:paraId="00000008">
            <w:pPr>
              <w:rPr/>
            </w:pPr>
            <w:r>
              <w:rPr>
                <w:rtl w:val="0"/>
              </w:rPr>
              <w:t xml:space="preserve">Project Name</w:t>
            </w:r>
          </w:p>
        </w:tc>
        <w:tc>
          <w:tcPr/>
          <w:p w:rsidR="00000000" w:rsidDel="00000000" w:rsidP="00000000" w:rsidRDefault="00000000" w:rsidRPr="00000000" w14:paraId="00000009">
            <w:pPr>
              <w:rPr/>
            </w:pPr>
            <w:r>
              <w:rPr>
                <w:rtl w:val="0"/>
              </w:rPr>
              <w:t xml:space="preserve">Customer Registry – MERN Stack Complaint &amp; Customer Management System</w:t>
            </w:r>
          </w:p>
        </w:tc>
      </w:tr>
      <w:tr>
        <w:trPr>
          <w:cantSplit w:val="0"/>
          <w:tblHeader w:val="0"/>
        </w:trPr>
        <w:tc>
          <w:tcPr/>
          <w:p w:rsidR="00000000" w:rsidDel="00000000" w:rsidP="00000000" w:rsidRDefault="00000000" w:rsidRPr="00000000" w14:paraId="0000000A">
            <w:pPr>
              <w:rPr/>
            </w:pPr>
            <w:r>
              <w:rPr>
                <w:rtl w:val="0"/>
              </w:rPr>
              <w:t xml:space="preserve">Maximum Marks</w:t>
            </w:r>
          </w:p>
        </w:tc>
        <w:tc>
          <w:tcPr/>
          <w:p w:rsidR="00000000" w:rsidDel="00000000" w:rsidP="00000000" w:rsidRDefault="00000000" w:rsidRPr="00000000" w14:paraId="0000000B">
            <w:pPr>
              <w:rPr/>
            </w:pPr>
            <w:r>
              <w:rPr>
                <w:rtl w:val="0"/>
              </w:rPr>
              <w:t xml:space="preserve">2 Marks</w:t>
            </w:r>
          </w:p>
        </w:tc>
      </w:tr>
    </w:tbl>
    <w:p w:rsidR="00000000" w:rsidDel="00000000" w:rsidP="00000000" w:rsidRDefault="00000000" w:rsidRPr="00000000" w14:paraId="0000000C">
      <w:pPr>
        <w:rPr>
          <w:b w:val="1"/>
          <w:bCs w:val="1"/>
        </w:rPr>
      </w:pPr>
      <w:r>
        <w:rPr>
          <w:rtl w:val="0"/>
        </w:rPr>
      </w:r>
    </w:p>
    <w:p w:rsidR="00000000" w:rsidDel="00000000" w:rsidP="00000000" w:rsidRDefault="00000000" w:rsidRPr="00000000" w14:paraId="0000000D">
      <w:pPr>
        <w:rPr>
          <w:b w:val="1"/>
          <w:bCs w:val="1"/>
        </w:rPr>
      </w:pPr>
      <w:r>
        <w:rPr>
          <w:b w:val="1"/>
          <w:bCs w:val="1"/>
          <w:rtl w:val="0"/>
        </w:rPr>
        <w:t xml:space="preserve">Proposed Solution Template:</w:t>
      </w:r>
    </w:p>
    <w:p w:rsidR="00000000" w:rsidDel="00000000" w:rsidP="00000000" w:rsidRDefault="00000000" w:rsidRPr="00000000" w14:paraId="0000000E">
      <w:pPr>
        <w:rPr/>
      </w:pPr>
      <w:r>
        <w:rPr>
          <w:rtl w:val="0"/>
        </w:rPr>
        <w:t xml:space="preserve">Project team shall fill the following information in the proposed solution template.</w:t>
      </w:r>
    </w:p>
    <w:tbl>
      <w:tblPr>
        <w:tblStyle w:val="Table2"/>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5"/>
        <w:gridCol w:w="3705"/>
        <w:gridCol w:w="4515"/>
        <w:tblGridChange w:id="0">
          <w:tblGrid>
            <w:gridCol w:w="855"/>
            <w:gridCol w:w="3705"/>
            <w:gridCol w:w="4515"/>
          </w:tblGrid>
        </w:tblGridChange>
      </w:tblGrid>
      <w:tr>
        <w:trPr>
          <w:cantSplit w:val="0"/>
          <w:trHeight w:val="557" w:hRule="atLeast"/>
          <w:tblHeader w:val="0"/>
        </w:trPr>
        <w:tc>
          <w:tcPr>
            <w:shd w:val="clear" w:fill="1F4E79"/>
          </w:tcPr>
          <w:p w:rsidR="00000000" w:rsidDel="00000000" w:rsidP="00000000" w:rsidRDefault="00000000" w:rsidRPr="00000000" w14:paraId="0000000F">
            <w:pPr>
              <w:rPr>
                <w:b w:val="1"/>
                <w:bCs w:val="1"/>
                <w:color w:val="FFFFFF"/>
              </w:rPr>
            </w:pPr>
            <w:r>
              <w:rPr>
                <w:b w:val="1"/>
                <w:bCs w:val="1"/>
                <w:color w:val="FFFFFF"/>
                <w:rtl w:val="0"/>
              </w:rPr>
              <w:t xml:space="preserve">S.No.</w:t>
            </w:r>
          </w:p>
        </w:tc>
        <w:tc>
          <w:tcPr>
            <w:shd w:val="clear" w:fill="1F4E79"/>
          </w:tcPr>
          <w:p w:rsidR="00000000" w:rsidDel="00000000" w:rsidP="00000000" w:rsidRDefault="00000000" w:rsidRPr="00000000" w14:paraId="00000010">
            <w:pPr>
              <w:rPr>
                <w:b w:val="1"/>
                <w:bCs w:val="1"/>
                <w:color w:val="FFFFFF"/>
              </w:rPr>
            </w:pPr>
            <w:r>
              <w:rPr>
                <w:b w:val="1"/>
                <w:bCs w:val="1"/>
                <w:color w:val="FFFFFF"/>
                <w:rtl w:val="0"/>
              </w:rPr>
              <w:t xml:space="preserve">Parameter</w:t>
            </w:r>
          </w:p>
        </w:tc>
        <w:tc>
          <w:tcPr>
            <w:shd w:val="clear" w:fill="1F4E79"/>
          </w:tcPr>
          <w:p w:rsidR="00000000" w:rsidDel="00000000" w:rsidP="00000000" w:rsidRDefault="00000000" w:rsidRPr="00000000" w14:paraId="00000011">
            <w:pPr>
              <w:rPr>
                <w:b w:val="1"/>
                <w:bCs w:val="1"/>
                <w:color w:val="FFFFFF"/>
              </w:rPr>
            </w:pPr>
            <w:r>
              <w:rPr>
                <w:b w:val="1"/>
                <w:bCs w:val="1"/>
                <w:color w:val="FFFFFF"/>
                <w:rtl w:val="0"/>
              </w:rPr>
              <w:t xml:space="preserve">Description</w:t>
            </w:r>
          </w:p>
        </w:tc>
      </w:tr>
      <w:tr>
        <w:trPr>
          <w:cantSplit w:val="0"/>
          <w:trHeight w:val="817" w:hRule="atLeast"/>
          <w:tblHeader w:val="0"/>
        </w:trPr>
        <w:tc>
          <w:tcPr/>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Pr>
                <w:rtl w:val="0"/>
              </w:rPr>
            </w:r>
          </w:p>
        </w:tc>
        <w:tc>
          <w:tcPr/>
          <w:p w:rsidR="00000000" w:rsidDel="00000000" w:rsidP="00000000" w:rsidRDefault="00000000" w:rsidRPr="00000000" w14:paraId="00000013">
            <w:pPr>
              <w:rPr/>
            </w:pPr>
            <w:r>
              <w:rPr>
                <w:color w:val="222222"/>
                <w:rtl w:val="0"/>
              </w:rPr>
              <w:t xml:space="preserve">Problem Statement (Problem to be solved)</w:t>
            </w:r>
            <w:r>
              <w:rPr>
                <w:rtl w:val="0"/>
              </w:rPr>
            </w:r>
          </w:p>
        </w:tc>
        <w:tc>
          <w:tcPr/>
          <w:p w:rsidR="00000000" w:rsidDel="00000000" w:rsidP="00000000" w:rsidRDefault="00000000" w:rsidRPr="00000000" w14:paraId="00000014">
            <w:pPr>
              <w:jc w:val="both"/>
              <w:rPr/>
            </w:pPr>
            <w:r>
              <w:rPr>
                <w:rtl w:val="0"/>
              </w:rPr>
              <w:t xml:space="preserve">Customers who raise complaints with a business have no single, transparent place to submit an issue, see who is handling it, or track its status. Complaints get lost across phone calls and emails, support agents have no organised queue of assigned work, and admins have no unified view of complaint volume, categories, or agent workload.</w:t>
            </w:r>
          </w:p>
        </w:tc>
      </w:tr>
      <w:tr>
        <w:trPr>
          <w:cantSplit w:val="0"/>
          <w:trHeight w:val="817" w:hRule="atLeast"/>
          <w:tblHeader w:val="0"/>
        </w:trPr>
        <w:tc>
          <w:tcPr/>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Pr>
                <w:rtl w:val="0"/>
              </w:rPr>
            </w:r>
          </w:p>
        </w:tc>
        <w:tc>
          <w:tcPr/>
          <w:p w:rsidR="00000000" w:rsidDel="00000000" w:rsidP="00000000" w:rsidRDefault="00000000" w:rsidRPr="00000000" w14:paraId="00000016">
            <w:pPr>
              <w:rPr/>
            </w:pPr>
            <w:r>
              <w:rPr>
                <w:color w:val="222222"/>
                <w:rtl w:val="0"/>
              </w:rPr>
              <w:t xml:space="preserve">Idea / Solution description</w:t>
            </w:r>
            <w:r>
              <w:rPr>
                <w:rtl w:val="0"/>
              </w:rPr>
            </w:r>
          </w:p>
        </w:tc>
        <w:tc>
          <w:tcPr/>
          <w:p w:rsidR="00000000" w:rsidDel="00000000" w:rsidP="00000000" w:rsidRDefault="00000000" w:rsidRPr="00000000" w14:paraId="00000017">
            <w:pPr>
              <w:jc w:val="both"/>
              <w:rPr/>
            </w:pPr>
            <w:r>
              <w:rPr>
                <w:rtl w:val="0"/>
              </w:rPr>
              <w:t xml:space="preserve">Customer Registry is a MERN-stack (MongoDB, Express, React, Node.js) complaint and customer management platform with three roles – Customer, Support Agent and Admin. Customers register, log complaints and track their status; agents work from a personal dashboard of assigned complaints; admins manage agents, categories and oversee every complaint. JWT authentication, an in-app messaging module and a notification feed tie the whole workflow together in one system.</w:t>
            </w:r>
          </w:p>
        </w:tc>
      </w:tr>
      <w:tr>
        <w:trPr>
          <w:cantSplit w:val="0"/>
          <w:trHeight w:val="787" w:hRule="atLeast"/>
          <w:tblHeader w:val="0"/>
        </w:trPr>
        <w:tc>
          <w:tcPr/>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Pr>
                <w:rtl w:val="0"/>
              </w:rPr>
            </w:r>
          </w:p>
        </w:tc>
        <w:tc>
          <w:tcPr/>
          <w:p w:rsidR="00000000" w:rsidDel="00000000" w:rsidP="00000000" w:rsidRDefault="00000000" w:rsidRPr="00000000" w14:paraId="00000019">
            <w:pPr>
              <w:rPr/>
            </w:pPr>
            <w:r>
              <w:rPr>
                <w:color w:val="222222"/>
                <w:rtl w:val="0"/>
              </w:rPr>
              <w:t xml:space="preserve">Novelty / Uniqueness </w:t>
            </w:r>
            <w:r>
              <w:rPr>
                <w:rtl w:val="0"/>
              </w:rPr>
            </w:r>
          </w:p>
        </w:tc>
        <w:tc>
          <w:tcPr/>
          <w:p w:rsidR="00000000" w:rsidDel="00000000" w:rsidP="00000000" w:rsidRDefault="00000000" w:rsidRPr="00000000" w14:paraId="0000001A">
            <w:pPr>
              <w:jc w:val="both"/>
              <w:rPr/>
            </w:pPr>
            <w:r>
              <w:rPr>
                <w:rtl w:val="0"/>
              </w:rPr>
              <w:t xml:space="preserve">Unlike a plain complaint form, the system pairs role-scoped visibility (via the Agent assignment collection) with a built-in customer–agent messaging module and an in-app notification feed – so status updates and conversations live in the same place the complaint was raised, instead of being scattered across email and phone calls.</w:t>
            </w:r>
          </w:p>
        </w:tc>
      </w:tr>
      <w:tr>
        <w:trPr>
          <w:cantSplit w:val="0"/>
          <w:trHeight w:val="817" w:hRule="atLeast"/>
          <w:tblHeader w:val="0"/>
        </w:trPr>
        <w:tc>
          <w:tcPr/>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Pr>
                <w:rtl w:val="0"/>
              </w:rPr>
            </w:r>
          </w:p>
        </w:tc>
        <w:tc>
          <w:tcPr/>
          <w:p w:rsidR="00000000" w:rsidDel="00000000" w:rsidP="00000000" w:rsidRDefault="00000000" w:rsidRPr="00000000" w14:paraId="0000001C">
            <w:pPr>
              <w:rPr/>
            </w:pPr>
            <w:r>
              <w:rPr>
                <w:color w:val="222222"/>
                <w:rtl w:val="0"/>
              </w:rPr>
              <w:t xml:space="preserve">Social Impact / Customer Satisfaction</w:t>
            </w:r>
            <w:r>
              <w:rPr>
                <w:rtl w:val="0"/>
              </w:rPr>
            </w:r>
          </w:p>
        </w:tc>
        <w:tc>
          <w:tcPr/>
          <w:p w:rsidR="00000000" w:rsidDel="00000000" w:rsidP="00000000" w:rsidRDefault="00000000" w:rsidRPr="00000000" w14:paraId="0000001D">
            <w:pPr>
              <w:jc w:val="both"/>
              <w:rPr/>
            </w:pPr>
            <w:r>
              <w:rPr>
                <w:rtl w:val="0"/>
              </w:rPr>
              <w:t xml:space="preserve">Customers get a transparent, always-available channel to raise and follow up on issues, which builds trust and reduces the anxiety of not knowing whether a complaint was received. Agents work from a focused queue instead of a shared inbox, and admins get full visibility into how the support operation is performing.</w:t>
            </w:r>
          </w:p>
        </w:tc>
      </w:tr>
      <w:tr>
        <w:trPr>
          <w:cantSplit w:val="0"/>
          <w:trHeight w:val="817" w:hRule="atLeast"/>
          <w:tblHeader w:val="0"/>
        </w:trPr>
        <w:tc>
          <w:tcPr/>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Pr>
                <w:rtl w:val="0"/>
              </w:rPr>
            </w:r>
          </w:p>
        </w:tc>
        <w:tc>
          <w:tcPr/>
          <w:p w:rsidR="00000000" w:rsidDel="00000000" w:rsidP="00000000" w:rsidRDefault="00000000" w:rsidRPr="00000000" w14:paraId="0000001F">
            <w:pPr>
              <w:rPr/>
            </w:pPr>
            <w:r>
              <w:rPr>
                <w:color w:val="222222"/>
                <w:rtl w:val="0"/>
              </w:rPr>
              <w:t xml:space="preserve">Business Model (Revenue Model)</w:t>
            </w:r>
            <w:r>
              <w:rPr>
                <w:rtl w:val="0"/>
              </w:rPr>
            </w:r>
          </w:p>
        </w:tc>
        <w:tc>
          <w:tcPr/>
          <w:p w:rsidR="00000000" w:rsidDel="00000000" w:rsidP="00000000" w:rsidRDefault="00000000" w:rsidRPr="00000000" w14:paraId="00000020">
            <w:pPr>
              <w:jc w:val="both"/>
              <w:rPr/>
            </w:pPr>
            <w:r>
              <w:rPr>
                <w:rtl w:val="0"/>
              </w:rPr>
              <w:t xml:space="preserve">The system can be offered as a lightweight helpdesk-as-a-service for small and medium businesses that cannot afford enterprise ticketing tools such as Zendesk or Freshdesk – priced per active agent seat per month, with a free tier for a single admin and a small number of agents.</w:t>
            </w:r>
          </w:p>
        </w:tc>
      </w:tr>
      <w:tr>
        <w:trPr>
          <w:cantSplit w:val="0"/>
          <w:trHeight w:val="817" w:hRule="atLeast"/>
          <w:tblHeader w:val="0"/>
        </w:trPr>
        <w:tc>
          <w:tcPr/>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Pr>
                <w:rtl w:val="0"/>
              </w:rPr>
            </w:r>
          </w:p>
        </w:tc>
        <w:tc>
          <w:tcPr/>
          <w:p w:rsidR="00000000" w:rsidDel="00000000" w:rsidP="00000000" w:rsidRDefault="00000000" w:rsidRPr="00000000" w14:paraId="00000022">
            <w:pPr>
              <w:rPr>
                <w:color w:val="222222"/>
              </w:rPr>
            </w:pPr>
            <w:r>
              <w:rPr>
                <w:color w:val="222222"/>
                <w:rtl w:val="0"/>
              </w:rPr>
              <w:t xml:space="preserve">Scalability of the Solution</w:t>
            </w:r>
          </w:p>
        </w:tc>
        <w:tc>
          <w:tcPr/>
          <w:p w:rsidR="00000000" w:rsidDel="00000000" w:rsidP="00000000" w:rsidRDefault="00000000" w:rsidRPr="00000000" w14:paraId="00000023">
            <w:pPr>
              <w:jc w:val="both"/>
              <w:rPr/>
            </w:pPr>
            <w:r>
              <w:rPr>
                <w:rtl w:val="0"/>
              </w:rPr>
              <w:t xml:space="preserve">The 3-tier architecture (React client, stateless Express/Node REST API, MongoDB Atlas) scales horizontally: more API instances can be added behind a load balancer since JWT auth carries no server-side session state, and MongoDB Atlas supports sharding and read replicas as complaint volume grows across additional business tenants.</w:t>
            </w:r>
          </w:p>
        </w:tc>
      </w:tr>
    </w:tbl>
    <w:p w:rsidR="00000000" w:rsidDel="00000000" w:rsidP="00000000" w:rsidRDefault="00000000" w:rsidRPr="00000000" w14:paraId="00000024">
      <w:pPr>
        <w:rPr/>
      </w:pPr>
      <w:r>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4" w:hanging="358.99999999999994"/>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