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>
              <w:t>12 July 2026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t>Customer Registry – MERN Stack Complaint &amp; Customer Management System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Solution Architecture:</w:t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Customer Registry follows a classic 3-tier architecture. A React single-page app serves three role-based UIs (Customer, Agent, Admin); every request passes through a stateless Express/Node.js REST API secured by JWT middleware; and all data is persisted in MongoDB Atlas across six Mongoose collections (Customer, Complaint, Agent, Category, Communication, Notification).</w:t>
      </w:r>
    </w:p>
    <w:p>
      <w:pPr>
        <w:rPr/>
      </w:pPr>
      <w:r>
        <w:rPr>
          <w:rtl w:val="0"/>
        </w:rPr>
      </w:r>
    </w:p>
    <w:p>
      <w:pPr>
        <w:jc w:val="center"/>
        <w:rPr/>
      </w:pPr>
      <w:r>
        <w:rPr/>
        <w:drawing>
          <wp:inline distB="0" distT="0" distL="0" distR="0">
            <wp:extent cx="5800000" cy="3497424"/>
            <wp:effectExtent b="0" l="0" r="0" t="0"/>
            <wp:docPr id="900" name="arch_diagram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_diagram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497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jc w:val="center"/>
        <w:rPr>
          <w:i w:val="1"/>
          <w:sz w:val="22"/>
          <w:szCs w:val="22"/>
        </w:rPr>
      </w:pPr>
      <w:r>
        <w:rPr>
          <w:i w:val="1"/>
          <w:sz w:val="22"/>
          <w:szCs w:val="22"/>
          <w:rtl w:val="0"/>
        </w:rPr>
        <w:t xml:space="preserve">Figure 1: Solution architecture of Customer Registry – presentation, application and data tiers.</w:t>
      </w:r>
    </w:p>
    <w:p>
      <w:pPr>
        <w:rPr/>
      </w:pPr>
      <w:r>
        <w:rPr>
          <w:rtl w:val="0"/>
        </w:rPr>
      </w:r>
    </w:p>
    <w:tbl>
      <w:tblPr>
        <w:tblStyle w:val="Table1"/>
        <w:tblW w:w="9016" w:type="dxa"/>
        <w:jc w:val="left"/>
        <w:tblBorders>
          <w:top w:color="9CA3AF" w:space="0" w:sz="4" w:val="single"/>
          <w:left w:color="9CA3AF" w:space="0" w:sz="4" w:val="single"/>
          <w:bottom w:color="9CA3AF" w:space="0" w:sz="4" w:val="single"/>
          <w:right w:color="9CA3AF" w:space="0" w:sz="4" w:val="single"/>
          <w:insideH w:color="9CA3AF" w:space="0" w:sz="4" w:val="single"/>
          <w:insideV w:color="9CA3AF" w:space="0" w:sz="4" w:val="single"/>
        </w:tblBorders>
        <w:tblLayout w:type="fixed"/>
        <w:tblLook w:val="0400"/>
      </w:tblPr>
      <w:tblGrid>
        <w:gridCol w:w="2200"/>
        <w:gridCol w:w="6816"/>
      </w:tblGrid>
      <w:tr>
        <w:trPr>
          <w:cantSplit w:val="0"/>
          <w:tblHeader w:val="0"/>
        </w:trPr>
        <w:tc>
          <w:tcPr>
            <w:tcW w:w="22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Layer</w:t>
            </w:r>
          </w:p>
        </w:tc>
        <w:tc>
          <w:tcPr>
            <w:tcW w:w="6816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>
            <w:tcW w:w="2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Presentation Tier</w:t>
            </w:r>
          </w:p>
        </w:tc>
        <w:tc>
          <w:tcPr>
            <w:tcW w:w="6816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React SPA with role-scoped views: complaint form and status tracker for customers, assigned-complaint queue for agents, and full oversight console for admins. Communicates with the API over HTTPS using a JWT stored client-side.</w:t>
            </w:r>
          </w:p>
        </w:tc>
      </w:tr>
      <w:tr>
        <w:trPr>
          <w:cantSplit w:val="0"/>
          <w:tblHeader w:val="0"/>
        </w:trPr>
        <w:tc>
          <w:tcPr>
            <w:tcW w:w="2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Application Tier</w:t>
            </w:r>
          </w:p>
        </w:tc>
        <w:tc>
          <w:tcPr>
            <w:tcW w:w="6816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Node.js/Express REST API. JWT auth middleware validates the token and role on every protected route before handing off to the relevant controller (Auth, Complaint, Agent, Message, Notification, Category/User).</w:t>
            </w:r>
          </w:p>
        </w:tc>
      </w:tr>
      <w:tr>
        <w:trPr>
          <w:cantSplit w:val="0"/>
          <w:tblHeader w:val="0"/>
        </w:trPr>
        <w:tc>
          <w:tcPr>
            <w:tcW w:w="2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Data Tier</w:t>
            </w:r>
          </w:p>
        </w:tc>
        <w:tc>
          <w:tcPr>
            <w:tcW w:w="6816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MongoDB Atlas accessed through Mongoose schemas. Each domain concept – customers, complaints, agent assignments, categories, chat messages and notifications – is its own collection, related by ObjectId references.</w:t>
            </w:r>
          </w:p>
        </w:tc>
      </w:tr>
    </w:tbl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0" Type="http://schemas.openxmlformats.org/officeDocument/2006/relationships/image" Target="media/arch_diagram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