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xml" ContentType="application/vnd.openxmlformats-officedocument.wordprocessingml.comments+xml"/>
  <Override PartName="/word/commentsIds.xml" ContentType="application/vnd.openxmlformats-officedocument.wordprocessingml.commentsId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E4A14" w:rsidRDefault="00000000" w14:paraId="57624288" w14:textId="77777777">
      <w:pPr>
        <w:spacing w:after="80"/>
      </w:pPr>
      <w:r>
        <w:rPr>
          <w:b/>
          <w:bCs/>
          <w:sz w:val="36"/>
          <w:szCs w:val="36"/>
        </w:rPr>
        <w:t>Kaleidofin Africa: Climate Assessment Approach</w:t>
      </w:r>
    </w:p>
    <w:p w:rsidR="004E4A14" w:rsidP="0076240A" w:rsidRDefault="00000000" w14:paraId="29CA29F9" w14:textId="4C0119AE">
      <w:pPr>
        <w:pBdr>
          <w:bottom w:val="single" w:color="595959" w:sz="6" w:space="4"/>
        </w:pBdr>
        <w:spacing w:after="200"/>
      </w:pPr>
      <w:r>
        <w:rPr>
          <w:i/>
          <w:iCs/>
          <w:color w:val="595959"/>
          <w:sz w:val="20"/>
          <w:szCs w:val="20"/>
        </w:rPr>
        <w:t>Briefing Note | April 2026</w:t>
      </w:r>
    </w:p>
    <w:p w:rsidR="004E4A14" w:rsidRDefault="00000000" w14:paraId="4BB90D93" w14:textId="3BB537CA">
      <w:pPr>
        <w:pStyle w:val="Heading1"/>
      </w:pPr>
      <w:r w:rsidR="00000000">
        <w:rPr/>
        <w:t>1. How We Think About Climate: Kaleidofin</w:t>
      </w:r>
      <w:r w:rsidR="0F728114">
        <w:rPr/>
        <w:t>’s</w:t>
      </w:r>
      <w:r w:rsidR="00000000">
        <w:rPr/>
        <w:t xml:space="preserve"> Taxonomy</w:t>
      </w:r>
    </w:p>
    <w:p w:rsidR="004E4A14" w:rsidRDefault="00000000" w14:paraId="154A8B42" w14:textId="4F4365BC">
      <w:pPr>
        <w:spacing w:before="80" w:after="140"/>
      </w:pPr>
      <w:r w:rsidR="172C137F">
        <w:rPr/>
        <w:t>Kaleidofin Africa operates in markets where climate risk is already a daily reality for the borrowers our originators serve</w:t>
      </w:r>
      <w:r w:rsidR="7E4B1082">
        <w:rPr/>
        <w:t xml:space="preserve"> such as s</w:t>
      </w:r>
      <w:r w:rsidR="172C137F">
        <w:rPr/>
        <w:t xml:space="preserve">mallholder farmers facing erratic rainfall, women-run agri-businesses absorbing crop losses, informal sector workers whose income drops when a flood </w:t>
      </w:r>
      <w:r w:rsidR="172C137F">
        <w:rPr/>
        <w:t>hits</w:t>
      </w:r>
      <w:r w:rsidR="3C959184">
        <w:rPr/>
        <w:t>.</w:t>
      </w:r>
    </w:p>
    <w:p w:rsidR="004E4A14" w:rsidRDefault="00000000" w14:paraId="67CD280F" w14:textId="77777777">
      <w:pPr>
        <w:spacing w:before="80" w:after="140"/>
      </w:pPr>
      <w:r>
        <w:t>We classify the climate dimension of originator activity across three categories. Many originators carry elements of all three, but they represent distinct types of climate impact with different implications for how they are measured and reported.</w:t>
      </w:r>
    </w:p>
    <w:p w:rsidR="004E4A14" w:rsidRDefault="004E4A14" w14:paraId="4486B36C" w14:textId="77777777">
      <w:pPr>
        <w:spacing w:before="80"/>
      </w:pPr>
    </w:p>
    <w:tbl>
      <w:tblPr>
        <w:tblW w:w="9360" w:type="dxa"/>
        <w:tblInd w:w="-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800"/>
        <w:gridCol w:w="3780"/>
        <w:gridCol w:w="3780"/>
      </w:tblGrid>
      <w:tr w:rsidR="004E4A14" w:rsidTr="65C38002" w14:paraId="3F713948" w14:textId="77777777">
        <w:tblPrEx>
          <w:tblCellMar>
            <w:top w:w="0" w:type="dxa"/>
            <w:bottom w:w="0" w:type="dxa"/>
          </w:tblCellMar>
        </w:tblPrEx>
        <w:tc>
          <w:tcPr>
            <w:tcW w:w="1800" w:type="dxa"/>
            <w:tcBorders>
              <w:top w:val="single" w:color="CCCCCC" w:sz="1" w:space="0"/>
              <w:left w:val="single" w:color="CCCCCC" w:sz="1" w:space="0"/>
              <w:bottom w:val="single" w:color="CCCCCC" w:sz="1" w:space="0"/>
              <w:right w:val="single" w:color="CCCCCC" w:sz="1" w:space="0"/>
            </w:tcBorders>
            <w:shd w:val="clear" w:color="auto" w:fill="404040" w:themeFill="text1" w:themeFillTint="BF"/>
            <w:tcMar>
              <w:top w:w="100" w:type="dxa"/>
              <w:left w:w="140" w:type="dxa"/>
              <w:bottom w:w="100" w:type="dxa"/>
              <w:right w:w="140" w:type="dxa"/>
            </w:tcMar>
          </w:tcPr>
          <w:p w:rsidR="004E4A14" w:rsidRDefault="00000000" w14:paraId="7E9E0641" w14:textId="77777777">
            <w:r>
              <w:rPr>
                <w:b/>
                <w:bCs/>
                <w:color w:val="FFFFFF"/>
                <w:sz w:val="21"/>
                <w:szCs w:val="21"/>
              </w:rPr>
              <w:t>Category</w:t>
            </w:r>
          </w:p>
        </w:tc>
        <w:tc>
          <w:tcPr>
            <w:tcW w:w="3780" w:type="dxa"/>
            <w:tcBorders>
              <w:top w:val="single" w:color="CCCCCC" w:sz="1" w:space="0"/>
              <w:left w:val="single" w:color="CCCCCC" w:sz="1" w:space="0"/>
              <w:bottom w:val="single" w:color="CCCCCC" w:sz="1" w:space="0"/>
              <w:right w:val="single" w:color="CCCCCC" w:sz="1" w:space="0"/>
            </w:tcBorders>
            <w:shd w:val="clear" w:color="auto" w:fill="404040" w:themeFill="text1" w:themeFillTint="BF"/>
            <w:tcMar>
              <w:top w:w="100" w:type="dxa"/>
              <w:left w:w="140" w:type="dxa"/>
              <w:bottom w:w="100" w:type="dxa"/>
              <w:right w:w="140" w:type="dxa"/>
            </w:tcMar>
          </w:tcPr>
          <w:p w:rsidR="004E4A14" w:rsidRDefault="00000000" w14:paraId="0F62EB85" w14:textId="77777777">
            <w:r>
              <w:rPr>
                <w:b/>
                <w:bCs/>
                <w:color w:val="FFFFFF"/>
                <w:sz w:val="21"/>
                <w:szCs w:val="21"/>
              </w:rPr>
              <w:t>Definition</w:t>
            </w:r>
          </w:p>
        </w:tc>
        <w:tc>
          <w:tcPr>
            <w:tcW w:w="3780" w:type="dxa"/>
            <w:tcBorders>
              <w:top w:val="single" w:color="CCCCCC" w:sz="1" w:space="0"/>
              <w:left w:val="single" w:color="CCCCCC" w:sz="1" w:space="0"/>
              <w:bottom w:val="single" w:color="CCCCCC" w:sz="1" w:space="0"/>
              <w:right w:val="single" w:color="CCCCCC" w:sz="1" w:space="0"/>
            </w:tcBorders>
            <w:shd w:val="clear" w:color="auto" w:fill="404040" w:themeFill="text1" w:themeFillTint="BF"/>
            <w:tcMar>
              <w:top w:w="100" w:type="dxa"/>
              <w:left w:w="140" w:type="dxa"/>
              <w:bottom w:w="100" w:type="dxa"/>
              <w:right w:w="140" w:type="dxa"/>
            </w:tcMar>
          </w:tcPr>
          <w:p w:rsidR="004E4A14" w:rsidRDefault="00000000" w14:paraId="60F20330" w14:textId="77777777">
            <w:r>
              <w:rPr>
                <w:b/>
                <w:bCs/>
                <w:color w:val="FFFFFF"/>
                <w:sz w:val="21"/>
                <w:szCs w:val="21"/>
              </w:rPr>
              <w:t>Examples</w:t>
            </w:r>
          </w:p>
        </w:tc>
      </w:tr>
      <w:tr w:rsidR="004E4A14" w:rsidTr="65C38002" w14:paraId="77BE21F1" w14:textId="77777777">
        <w:tblPrEx>
          <w:tblCellMar>
            <w:top w:w="0" w:type="dxa"/>
            <w:bottom w:w="0" w:type="dxa"/>
          </w:tblCellMar>
        </w:tblPrEx>
        <w:tc>
          <w:tcPr>
            <w:tcW w:w="1800" w:type="dxa"/>
            <w:tcBorders>
              <w:top w:val="single" w:color="CCCCCC" w:sz="1" w:space="0"/>
              <w:left w:val="single" w:color="CCCCCC" w:sz="1" w:space="0"/>
              <w:bottom w:val="single" w:color="CCCCCC" w:sz="1" w:space="0"/>
              <w:right w:val="single" w:color="CCCCCC" w:sz="1" w:space="0"/>
            </w:tcBorders>
            <w:shd w:val="clear" w:color="auto" w:fill="F2F2F2" w:themeFill="background1" w:themeFillShade="F2"/>
            <w:tcMar>
              <w:top w:w="100" w:type="dxa"/>
              <w:left w:w="140" w:type="dxa"/>
              <w:bottom w:w="100" w:type="dxa"/>
              <w:right w:w="140" w:type="dxa"/>
            </w:tcMar>
          </w:tcPr>
          <w:p w:rsidR="004E4A14" w:rsidRDefault="00000000" w14:paraId="75AF47C2" w14:textId="77777777">
            <w:r>
              <w:rPr>
                <w:b/>
                <w:bCs/>
                <w:color w:val="1F2D3D"/>
                <w:sz w:val="21"/>
                <w:szCs w:val="21"/>
              </w:rPr>
              <w:t>Climate Positive</w:t>
            </w:r>
          </w:p>
        </w:tc>
        <w:tc>
          <w:tcPr>
            <w:tcW w:w="3780" w:type="dxa"/>
            <w:tcBorders>
              <w:top w:val="single" w:color="CCCCCC" w:sz="1" w:space="0"/>
              <w:left w:val="single" w:color="CCCCCC" w:sz="1" w:space="0"/>
              <w:bottom w:val="single" w:color="CCCCCC" w:sz="1" w:space="0"/>
              <w:right w:val="single" w:color="CCCCCC" w:sz="1" w:space="0"/>
            </w:tcBorders>
            <w:shd w:val="clear" w:color="auto" w:fill="F2F2F2" w:themeFill="background1" w:themeFillShade="F2"/>
            <w:tcMar>
              <w:top w:w="100" w:type="dxa"/>
              <w:left w:w="140" w:type="dxa"/>
              <w:bottom w:w="100" w:type="dxa"/>
              <w:right w:w="140" w:type="dxa"/>
            </w:tcMar>
          </w:tcPr>
          <w:p w:rsidR="004E4A14" w:rsidRDefault="00000000" w14:paraId="6060DE0D" w14:textId="5B6A4AE0">
            <w:r w:rsidRPr="65C38002" w:rsidR="00000000">
              <w:rPr>
                <w:color w:val="1F2D3D"/>
                <w:sz w:val="21"/>
                <w:szCs w:val="21"/>
              </w:rPr>
              <w:t>Lending that directly generates measurable environmental benefit. This is the category that counts as reportable climate mitigation finance under international standards.</w:t>
            </w:r>
          </w:p>
        </w:tc>
        <w:tc>
          <w:tcPr>
            <w:tcW w:w="3780" w:type="dxa"/>
            <w:tcBorders>
              <w:top w:val="single" w:color="CCCCCC" w:sz="1" w:space="0"/>
              <w:left w:val="single" w:color="CCCCCC" w:sz="1" w:space="0"/>
              <w:bottom w:val="single" w:color="CCCCCC" w:sz="1" w:space="0"/>
              <w:right w:val="single" w:color="CCCCCC" w:sz="1" w:space="0"/>
            </w:tcBorders>
            <w:shd w:val="clear" w:color="auto" w:fill="F2F2F2" w:themeFill="background1" w:themeFillShade="F2"/>
            <w:tcMar>
              <w:top w:w="100" w:type="dxa"/>
              <w:left w:w="140" w:type="dxa"/>
              <w:bottom w:w="100" w:type="dxa"/>
              <w:right w:w="140" w:type="dxa"/>
            </w:tcMar>
          </w:tcPr>
          <w:p w:rsidR="004E4A14" w:rsidRDefault="00000000" w14:paraId="7F338D3C" w14:textId="77777777">
            <w:r>
              <w:rPr>
                <w:color w:val="1F2D3D"/>
                <w:sz w:val="21"/>
                <w:szCs w:val="21"/>
              </w:rPr>
              <w:t>Solar home system loans. Clean cookstove financing. Electric vehicle and e-boda lending. Agri-lending for reduced fertiliser use or soil carbon improvement.</w:t>
            </w:r>
          </w:p>
        </w:tc>
      </w:tr>
      <w:tr w:rsidR="004E4A14" w:rsidTr="65C38002" w14:paraId="7912D94E" w14:textId="77777777">
        <w:tblPrEx>
          <w:tblCellMar>
            <w:top w:w="0" w:type="dxa"/>
            <w:bottom w:w="0" w:type="dxa"/>
          </w:tblCellMar>
        </w:tblPrEx>
        <w:tc>
          <w:tcPr>
            <w:tcW w:w="18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100" w:type="dxa"/>
              <w:left w:w="140" w:type="dxa"/>
              <w:bottom w:w="100" w:type="dxa"/>
              <w:right w:w="140" w:type="dxa"/>
            </w:tcMar>
          </w:tcPr>
          <w:p w:rsidR="004E4A14" w:rsidRDefault="00000000" w14:paraId="54291129" w14:textId="77777777">
            <w:r>
              <w:rPr>
                <w:b/>
                <w:bCs/>
                <w:color w:val="1F2D3D"/>
                <w:sz w:val="21"/>
                <w:szCs w:val="21"/>
              </w:rPr>
              <w:t>Climate Resilient</w:t>
            </w:r>
          </w:p>
        </w:tc>
        <w:tc>
          <w:tcPr>
            <w:tcW w:w="378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100" w:type="dxa"/>
              <w:left w:w="140" w:type="dxa"/>
              <w:bottom w:w="100" w:type="dxa"/>
              <w:right w:w="140" w:type="dxa"/>
            </w:tcMar>
          </w:tcPr>
          <w:p w:rsidR="004E4A14" w:rsidRDefault="00000000" w14:paraId="4684406A" w14:textId="77777777">
            <w:r>
              <w:rPr>
                <w:color w:val="1F2D3D"/>
                <w:sz w:val="21"/>
                <w:szCs w:val="21"/>
              </w:rPr>
              <w:t>Lending that strengthens borrowers’ capacity to absorb climate shocks — droughts, floods, crop failures, volatile harvests. Builds adaptive capacity rather than directly reducing emissions.</w:t>
            </w:r>
          </w:p>
        </w:tc>
        <w:tc>
          <w:tcPr>
            <w:tcW w:w="378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100" w:type="dxa"/>
              <w:left w:w="140" w:type="dxa"/>
              <w:bottom w:w="100" w:type="dxa"/>
              <w:right w:w="140" w:type="dxa"/>
            </w:tcMar>
          </w:tcPr>
          <w:p w:rsidR="004E4A14" w:rsidRDefault="00000000" w14:paraId="5AA7F946" w14:textId="77777777">
            <w:r>
              <w:rPr>
                <w:color w:val="1F2D3D"/>
                <w:sz w:val="21"/>
                <w:szCs w:val="21"/>
              </w:rPr>
              <w:t xml:space="preserve">Income diversification products for </w:t>
            </w:r>
            <w:proofErr w:type="spellStart"/>
            <w:r>
              <w:rPr>
                <w:color w:val="1F2D3D"/>
                <w:sz w:val="21"/>
                <w:szCs w:val="21"/>
              </w:rPr>
              <w:t>agri</w:t>
            </w:r>
            <w:proofErr w:type="spellEnd"/>
            <w:r>
              <w:rPr>
                <w:color w:val="1F2D3D"/>
                <w:sz w:val="21"/>
                <w:szCs w:val="21"/>
              </w:rPr>
              <w:t>-households in drought-prone regions. Agri-loans with flexible repayment structures. Women entrepreneur loans enabling non-farm income streams.</w:t>
            </w:r>
          </w:p>
        </w:tc>
      </w:tr>
      <w:tr w:rsidR="004E4A14" w:rsidTr="65C38002" w14:paraId="2D4F3863" w14:textId="77777777">
        <w:tblPrEx>
          <w:tblCellMar>
            <w:top w:w="0" w:type="dxa"/>
            <w:bottom w:w="0" w:type="dxa"/>
          </w:tblCellMar>
        </w:tblPrEx>
        <w:tc>
          <w:tcPr>
            <w:tcW w:w="1800" w:type="dxa"/>
            <w:tcBorders>
              <w:top w:val="single" w:color="CCCCCC" w:sz="1" w:space="0"/>
              <w:left w:val="single" w:color="CCCCCC" w:sz="1" w:space="0"/>
              <w:bottom w:val="single" w:color="CCCCCC" w:sz="1" w:space="0"/>
              <w:right w:val="single" w:color="CCCCCC" w:sz="1" w:space="0"/>
            </w:tcBorders>
            <w:shd w:val="clear" w:color="auto" w:fill="F2F2F2" w:themeFill="background1" w:themeFillShade="F2"/>
            <w:tcMar>
              <w:top w:w="100" w:type="dxa"/>
              <w:left w:w="140" w:type="dxa"/>
              <w:bottom w:w="100" w:type="dxa"/>
              <w:right w:w="140" w:type="dxa"/>
            </w:tcMar>
          </w:tcPr>
          <w:p w:rsidR="004E4A14" w:rsidRDefault="00000000" w14:paraId="63276E3C" w14:textId="77777777">
            <w:r>
              <w:rPr>
                <w:b/>
                <w:bCs/>
                <w:color w:val="1F2D3D"/>
                <w:sz w:val="21"/>
                <w:szCs w:val="21"/>
              </w:rPr>
              <w:t>Climate Vulnerable</w:t>
            </w:r>
          </w:p>
        </w:tc>
        <w:tc>
          <w:tcPr>
            <w:tcW w:w="3780" w:type="dxa"/>
            <w:tcBorders>
              <w:top w:val="single" w:color="CCCCCC" w:sz="1" w:space="0"/>
              <w:left w:val="single" w:color="CCCCCC" w:sz="1" w:space="0"/>
              <w:bottom w:val="single" w:color="CCCCCC" w:sz="1" w:space="0"/>
              <w:right w:val="single" w:color="CCCCCC" w:sz="1" w:space="0"/>
            </w:tcBorders>
            <w:shd w:val="clear" w:color="auto" w:fill="F2F2F2" w:themeFill="background1" w:themeFillShade="F2"/>
            <w:tcMar>
              <w:top w:w="100" w:type="dxa"/>
              <w:left w:w="140" w:type="dxa"/>
              <w:bottom w:w="100" w:type="dxa"/>
              <w:right w:w="140" w:type="dxa"/>
            </w:tcMar>
          </w:tcPr>
          <w:p w:rsidR="004E4A14" w:rsidRDefault="00000000" w14:paraId="7ABCD906" w14:textId="193E312F">
            <w:r w:rsidRPr="65C38002" w:rsidR="00000000">
              <w:rPr>
                <w:color w:val="1F2D3D"/>
                <w:sz w:val="21"/>
                <w:szCs w:val="21"/>
              </w:rPr>
              <w:t>Lending that reaches segments disproportionately exposed to climate risk</w:t>
            </w:r>
            <w:r w:rsidRPr="65C38002" w:rsidR="131E0A97">
              <w:rPr>
                <w:color w:val="1F2D3D"/>
                <w:sz w:val="21"/>
                <w:szCs w:val="21"/>
              </w:rPr>
              <w:t>.</w:t>
            </w:r>
          </w:p>
        </w:tc>
        <w:tc>
          <w:tcPr>
            <w:tcW w:w="3780" w:type="dxa"/>
            <w:tcBorders>
              <w:top w:val="single" w:color="CCCCCC" w:sz="1" w:space="0"/>
              <w:left w:val="single" w:color="CCCCCC" w:sz="1" w:space="0"/>
              <w:bottom w:val="single" w:color="CCCCCC" w:sz="1" w:space="0"/>
              <w:right w:val="single" w:color="CCCCCC" w:sz="1" w:space="0"/>
            </w:tcBorders>
            <w:shd w:val="clear" w:color="auto" w:fill="F2F2F2" w:themeFill="background1" w:themeFillShade="F2"/>
            <w:tcMar>
              <w:top w:w="100" w:type="dxa"/>
              <w:left w:w="140" w:type="dxa"/>
              <w:bottom w:w="100" w:type="dxa"/>
              <w:right w:w="140" w:type="dxa"/>
            </w:tcMar>
          </w:tcPr>
          <w:p w:rsidR="004E4A14" w:rsidRDefault="00000000" w14:paraId="39DEA43B" w14:textId="77777777">
            <w:r>
              <w:rPr>
                <w:color w:val="1F2D3D"/>
                <w:sz w:val="21"/>
                <w:szCs w:val="21"/>
              </w:rPr>
              <w:t>Women agri-business households in high-risk geographies. Smallholder farmers in drought or flood corridors. Informal sector workers with climate-sensitive livelihoods.</w:t>
            </w:r>
          </w:p>
        </w:tc>
      </w:tr>
    </w:tbl>
    <w:p w:rsidR="004E4A14" w:rsidP="65C38002" w:rsidRDefault="00000000" w14:paraId="652179A4" w14:textId="0F41C5C4">
      <w:pPr>
        <w:pStyle w:val="Normal"/>
        <w:spacing w:before="160" w:after="140"/>
      </w:pPr>
    </w:p>
    <w:p w:rsidR="004E4A14" w:rsidRDefault="00000000" w14:paraId="50446317" w14:textId="77777777">
      <w:pPr>
        <w:pStyle w:val="Heading2"/>
      </w:pPr>
      <w:r>
        <w:t>Originator Examples</w:t>
      </w:r>
    </w:p>
    <w:p w:rsidR="004E4A14" w:rsidRDefault="00000000" w14:paraId="6A9A5360" w14:textId="77777777">
      <w:pPr>
        <w:spacing w:before="80" w:after="140"/>
      </w:pPr>
      <w:r>
        <w:t xml:space="preserve">To illustrate how the taxonomy applies in practice, the following are representative examples of how different originator </w:t>
      </w:r>
      <w:proofErr w:type="gramStart"/>
      <w:r>
        <w:t>types</w:t>
      </w:r>
      <w:proofErr w:type="gramEnd"/>
      <w:r>
        <w:t xml:space="preserve"> map onto the three categories.</w:t>
      </w:r>
    </w:p>
    <w:p w:rsidR="004E4A14" w:rsidRDefault="004E4A14" w14:paraId="3D7D8AE7" w14:textId="77777777">
      <w:pPr>
        <w:spacing w:before="80"/>
      </w:pPr>
    </w:p>
    <w:tbl>
      <w:tblPr>
        <w:tblW w:w="9360" w:type="dxa"/>
        <w:tblInd w:w="-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200"/>
        <w:gridCol w:w="2000"/>
        <w:gridCol w:w="5160"/>
      </w:tblGrid>
      <w:tr w:rsidR="004E4A14" w:rsidTr="65C38002" w14:paraId="4BC95629" w14:textId="77777777">
        <w:tblPrEx>
          <w:tblCellMar>
            <w:top w:w="0" w:type="dxa"/>
            <w:bottom w:w="0" w:type="dxa"/>
          </w:tblCellMar>
        </w:tblPrEx>
        <w:tc>
          <w:tcPr>
            <w:tcW w:w="2200" w:type="dxa"/>
            <w:tcBorders>
              <w:top w:val="single" w:color="CCCCCC" w:sz="1" w:space="0"/>
              <w:left w:val="single" w:color="CCCCCC" w:sz="1" w:space="0"/>
              <w:bottom w:val="single" w:color="CCCCCC" w:sz="1" w:space="0"/>
              <w:right w:val="single" w:color="CCCCCC" w:sz="1" w:space="0"/>
            </w:tcBorders>
            <w:shd w:val="clear" w:color="auto" w:fill="404040" w:themeFill="text1" w:themeFillTint="BF"/>
            <w:tcMar>
              <w:top w:w="100" w:type="dxa"/>
              <w:left w:w="140" w:type="dxa"/>
              <w:bottom w:w="100" w:type="dxa"/>
              <w:right w:w="140" w:type="dxa"/>
            </w:tcMar>
          </w:tcPr>
          <w:p w:rsidR="004E4A14" w:rsidRDefault="00000000" w14:paraId="14469185" w14:textId="77777777">
            <w:r>
              <w:rPr>
                <w:b/>
                <w:bCs/>
                <w:color w:val="FFFFFF"/>
                <w:sz w:val="21"/>
                <w:szCs w:val="21"/>
              </w:rPr>
              <w:lastRenderedPageBreak/>
              <w:t>Originator type</w:t>
            </w:r>
          </w:p>
        </w:tc>
        <w:tc>
          <w:tcPr>
            <w:tcW w:w="2000" w:type="dxa"/>
            <w:tcBorders>
              <w:top w:val="single" w:color="CCCCCC" w:sz="1" w:space="0"/>
              <w:left w:val="single" w:color="CCCCCC" w:sz="1" w:space="0"/>
              <w:bottom w:val="single" w:color="CCCCCC" w:sz="1" w:space="0"/>
              <w:right w:val="single" w:color="CCCCCC" w:sz="1" w:space="0"/>
            </w:tcBorders>
            <w:shd w:val="clear" w:color="auto" w:fill="404040" w:themeFill="text1" w:themeFillTint="BF"/>
            <w:tcMar>
              <w:top w:w="100" w:type="dxa"/>
              <w:left w:w="140" w:type="dxa"/>
              <w:bottom w:w="100" w:type="dxa"/>
              <w:right w:w="140" w:type="dxa"/>
            </w:tcMar>
          </w:tcPr>
          <w:p w:rsidR="004E4A14" w:rsidRDefault="00000000" w14:paraId="7249475F" w14:textId="77777777">
            <w:r>
              <w:rPr>
                <w:b/>
                <w:bCs/>
                <w:color w:val="FFFFFF"/>
                <w:sz w:val="21"/>
                <w:szCs w:val="21"/>
              </w:rPr>
              <w:t>Category</w:t>
            </w:r>
          </w:p>
        </w:tc>
        <w:tc>
          <w:tcPr>
            <w:tcW w:w="5160" w:type="dxa"/>
            <w:tcBorders>
              <w:top w:val="single" w:color="CCCCCC" w:sz="1" w:space="0"/>
              <w:left w:val="single" w:color="CCCCCC" w:sz="1" w:space="0"/>
              <w:bottom w:val="single" w:color="CCCCCC" w:sz="1" w:space="0"/>
              <w:right w:val="single" w:color="CCCCCC" w:sz="1" w:space="0"/>
            </w:tcBorders>
            <w:shd w:val="clear" w:color="auto" w:fill="404040" w:themeFill="text1" w:themeFillTint="BF"/>
            <w:tcMar>
              <w:top w:w="100" w:type="dxa"/>
              <w:left w:w="140" w:type="dxa"/>
              <w:bottom w:w="100" w:type="dxa"/>
              <w:right w:w="140" w:type="dxa"/>
            </w:tcMar>
          </w:tcPr>
          <w:p w:rsidR="004E4A14" w:rsidRDefault="00000000" w14:paraId="0044003A" w14:textId="77777777">
            <w:r>
              <w:rPr>
                <w:b/>
                <w:bCs/>
                <w:color w:val="FFFFFF"/>
                <w:sz w:val="21"/>
                <w:szCs w:val="21"/>
              </w:rPr>
              <w:t>How they qualify</w:t>
            </w:r>
          </w:p>
        </w:tc>
      </w:tr>
      <w:tr w:rsidR="004E4A14" w:rsidTr="65C38002" w14:paraId="3AE19D28" w14:textId="77777777">
        <w:tblPrEx>
          <w:tblCellMar>
            <w:top w:w="0" w:type="dxa"/>
            <w:bottom w:w="0" w:type="dxa"/>
          </w:tblCellMar>
        </w:tblPrEx>
        <w:tc>
          <w:tcPr>
            <w:tcW w:w="2200" w:type="dxa"/>
            <w:tcBorders>
              <w:top w:val="single" w:color="CCCCCC" w:sz="1" w:space="0"/>
              <w:left w:val="single" w:color="CCCCCC" w:sz="1" w:space="0"/>
              <w:bottom w:val="single" w:color="CCCCCC" w:sz="1" w:space="0"/>
              <w:right w:val="single" w:color="CCCCCC" w:sz="1" w:space="0"/>
            </w:tcBorders>
            <w:shd w:val="clear" w:color="auto" w:fill="F2F2F2" w:themeFill="background1" w:themeFillShade="F2"/>
            <w:tcMar>
              <w:top w:w="100" w:type="dxa"/>
              <w:left w:w="140" w:type="dxa"/>
              <w:bottom w:w="100" w:type="dxa"/>
              <w:right w:w="140" w:type="dxa"/>
            </w:tcMar>
          </w:tcPr>
          <w:p w:rsidR="004E4A14" w:rsidRDefault="00000000" w14:paraId="05FB395E" w14:textId="77777777">
            <w:r>
              <w:rPr>
                <w:b/>
                <w:bCs/>
                <w:color w:val="1F2D3D"/>
                <w:sz w:val="21"/>
                <w:szCs w:val="21"/>
              </w:rPr>
              <w:t>Solar PAYG lender</w:t>
            </w:r>
          </w:p>
        </w:tc>
        <w:tc>
          <w:tcPr>
            <w:tcW w:w="2000" w:type="dxa"/>
            <w:tcBorders>
              <w:top w:val="single" w:color="CCCCCC" w:sz="1" w:space="0"/>
              <w:left w:val="single" w:color="CCCCCC" w:sz="1" w:space="0"/>
              <w:bottom w:val="single" w:color="CCCCCC" w:sz="1" w:space="0"/>
              <w:right w:val="single" w:color="CCCCCC" w:sz="1" w:space="0"/>
            </w:tcBorders>
            <w:shd w:val="clear" w:color="auto" w:fill="F2F2F2" w:themeFill="background1" w:themeFillShade="F2"/>
            <w:tcMar>
              <w:top w:w="100" w:type="dxa"/>
              <w:left w:w="140" w:type="dxa"/>
              <w:bottom w:w="100" w:type="dxa"/>
              <w:right w:w="140" w:type="dxa"/>
            </w:tcMar>
          </w:tcPr>
          <w:p w:rsidR="004E4A14" w:rsidRDefault="00000000" w14:paraId="11D47E2E" w14:textId="77777777">
            <w:r>
              <w:rPr>
                <w:color w:val="1F2D3D"/>
                <w:sz w:val="21"/>
                <w:szCs w:val="21"/>
              </w:rPr>
              <w:t>Climate Positive</w:t>
            </w:r>
          </w:p>
        </w:tc>
        <w:tc>
          <w:tcPr>
            <w:tcW w:w="5160" w:type="dxa"/>
            <w:tcBorders>
              <w:top w:val="single" w:color="CCCCCC" w:sz="1" w:space="0"/>
              <w:left w:val="single" w:color="CCCCCC" w:sz="1" w:space="0"/>
              <w:bottom w:val="single" w:color="CCCCCC" w:sz="1" w:space="0"/>
              <w:right w:val="single" w:color="CCCCCC" w:sz="1" w:space="0"/>
            </w:tcBorders>
            <w:shd w:val="clear" w:color="auto" w:fill="F2F2F2" w:themeFill="background1" w:themeFillShade="F2"/>
            <w:tcMar>
              <w:top w:w="100" w:type="dxa"/>
              <w:left w:w="140" w:type="dxa"/>
              <w:bottom w:w="100" w:type="dxa"/>
              <w:right w:w="140" w:type="dxa"/>
            </w:tcMar>
          </w:tcPr>
          <w:p w:rsidR="004E4A14" w:rsidP="65C38002" w:rsidRDefault="00000000" w14:paraId="1FF95293" w14:textId="06CB542E">
            <w:pPr>
              <w:rPr>
                <w:color w:val="1F2D3D"/>
                <w:sz w:val="21"/>
                <w:szCs w:val="21"/>
              </w:rPr>
            </w:pPr>
            <w:r w:rsidRPr="65C38002" w:rsidR="00000000">
              <w:rPr>
                <w:color w:val="1F2D3D"/>
                <w:sz w:val="21"/>
                <w:szCs w:val="21"/>
              </w:rPr>
              <w:t xml:space="preserve">Loans financing solar home systems generate electricity with near-zero lifecycle GHG emissions, eligible under </w:t>
            </w:r>
            <w:r w:rsidRPr="65C38002" w:rsidR="57E772BC">
              <w:rPr>
                <w:color w:val="1F2D3D"/>
                <w:sz w:val="21"/>
                <w:szCs w:val="21"/>
              </w:rPr>
              <w:t xml:space="preserve">MDB </w:t>
            </w:r>
            <w:r w:rsidRPr="65C38002" w:rsidR="00000000">
              <w:rPr>
                <w:color w:val="1F2D3D"/>
                <w:sz w:val="21"/>
                <w:szCs w:val="21"/>
              </w:rPr>
              <w:t xml:space="preserve">Common Principles activity 2.1 (renewable energy generation). </w:t>
            </w:r>
          </w:p>
        </w:tc>
      </w:tr>
      <w:tr w:rsidR="004E4A14" w:rsidTr="65C38002" w14:paraId="3B789118" w14:textId="77777777">
        <w:tblPrEx>
          <w:tblCellMar>
            <w:top w:w="0" w:type="dxa"/>
            <w:bottom w:w="0" w:type="dxa"/>
          </w:tblCellMar>
        </w:tblPrEx>
        <w:tc>
          <w:tcPr>
            <w:tcW w:w="2200" w:type="dxa"/>
            <w:tcBorders>
              <w:top w:val="single" w:color="CCCCCC" w:sz="1" w:space="0"/>
              <w:left w:val="single" w:color="CCCCCC" w:sz="1" w:space="0"/>
              <w:bottom w:val="single" w:color="CCCCCC" w:sz="1" w:space="0"/>
              <w:right w:val="single" w:color="CCCCCC" w:sz="1" w:space="0"/>
            </w:tcBorders>
            <w:shd w:val="clear" w:color="auto" w:fill="F2F2F2" w:themeFill="background1" w:themeFillShade="F2"/>
            <w:tcMar>
              <w:top w:w="100" w:type="dxa"/>
              <w:left w:w="140" w:type="dxa"/>
              <w:bottom w:w="100" w:type="dxa"/>
              <w:right w:w="140" w:type="dxa"/>
            </w:tcMar>
          </w:tcPr>
          <w:p w:rsidR="004E4A14" w:rsidRDefault="00000000" w14:paraId="7F5A4CE1" w14:textId="77777777">
            <w:r>
              <w:rPr>
                <w:b/>
                <w:bCs/>
                <w:color w:val="1F2D3D"/>
                <w:sz w:val="21"/>
                <w:szCs w:val="21"/>
              </w:rPr>
              <w:t>E-boda and EV fintech</w:t>
            </w:r>
          </w:p>
        </w:tc>
        <w:tc>
          <w:tcPr>
            <w:tcW w:w="2000" w:type="dxa"/>
            <w:tcBorders>
              <w:top w:val="single" w:color="CCCCCC" w:sz="1" w:space="0"/>
              <w:left w:val="single" w:color="CCCCCC" w:sz="1" w:space="0"/>
              <w:bottom w:val="single" w:color="CCCCCC" w:sz="1" w:space="0"/>
              <w:right w:val="single" w:color="CCCCCC" w:sz="1" w:space="0"/>
            </w:tcBorders>
            <w:shd w:val="clear" w:color="auto" w:fill="F2F2F2" w:themeFill="background1" w:themeFillShade="F2"/>
            <w:tcMar>
              <w:top w:w="100" w:type="dxa"/>
              <w:left w:w="140" w:type="dxa"/>
              <w:bottom w:w="100" w:type="dxa"/>
              <w:right w:w="140" w:type="dxa"/>
            </w:tcMar>
          </w:tcPr>
          <w:p w:rsidR="004E4A14" w:rsidRDefault="00000000" w14:paraId="4644548A" w14:textId="77777777">
            <w:r>
              <w:rPr>
                <w:color w:val="1F2D3D"/>
                <w:sz w:val="21"/>
                <w:szCs w:val="21"/>
              </w:rPr>
              <w:t>Climate Positive</w:t>
            </w:r>
          </w:p>
        </w:tc>
        <w:tc>
          <w:tcPr>
            <w:tcW w:w="5160" w:type="dxa"/>
            <w:tcBorders>
              <w:top w:val="single" w:color="CCCCCC" w:sz="1" w:space="0"/>
              <w:left w:val="single" w:color="CCCCCC" w:sz="1" w:space="0"/>
              <w:bottom w:val="single" w:color="CCCCCC" w:sz="1" w:space="0"/>
              <w:right w:val="single" w:color="CCCCCC" w:sz="1" w:space="0"/>
            </w:tcBorders>
            <w:shd w:val="clear" w:color="auto" w:fill="F2F2F2" w:themeFill="background1" w:themeFillShade="F2"/>
            <w:tcMar>
              <w:top w:w="100" w:type="dxa"/>
              <w:left w:w="140" w:type="dxa"/>
              <w:bottom w:w="100" w:type="dxa"/>
              <w:right w:w="140" w:type="dxa"/>
            </w:tcMar>
          </w:tcPr>
          <w:p w:rsidR="004E4A14" w:rsidRDefault="00000000" w14:paraId="466C1543" w14:textId="627EB416">
            <w:r w:rsidRPr="65C38002" w:rsidR="00000000">
              <w:rPr>
                <w:color w:val="1F2D3D"/>
                <w:sz w:val="21"/>
                <w:szCs w:val="21"/>
              </w:rPr>
              <w:t>Financing of electric motorcycles and vehicles with zero direct (tailpipe) emissions. Eligible under activity 8.6 (low- or zero-emission vehicles) without further conditions.</w:t>
            </w:r>
          </w:p>
        </w:tc>
      </w:tr>
      <w:tr w:rsidR="004E4A14" w:rsidTr="65C38002" w14:paraId="55F44EEC" w14:textId="77777777">
        <w:tblPrEx>
          <w:tblCellMar>
            <w:top w:w="0" w:type="dxa"/>
            <w:bottom w:w="0" w:type="dxa"/>
          </w:tblCellMar>
        </w:tblPrEx>
        <w:tc>
          <w:tcPr>
            <w:tcW w:w="22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100" w:type="dxa"/>
              <w:left w:w="140" w:type="dxa"/>
              <w:bottom w:w="100" w:type="dxa"/>
              <w:right w:w="140" w:type="dxa"/>
            </w:tcMar>
          </w:tcPr>
          <w:p w:rsidR="004E4A14" w:rsidRDefault="00000000" w14:paraId="1B6312D3" w14:textId="77777777">
            <w:r>
              <w:rPr>
                <w:b/>
                <w:bCs/>
                <w:color w:val="1F2D3D"/>
                <w:sz w:val="21"/>
                <w:szCs w:val="21"/>
              </w:rPr>
              <w:t>Agri-MFI in drought corridor</w:t>
            </w:r>
          </w:p>
        </w:tc>
        <w:tc>
          <w:tcPr>
            <w:tcW w:w="20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100" w:type="dxa"/>
              <w:left w:w="140" w:type="dxa"/>
              <w:bottom w:w="100" w:type="dxa"/>
              <w:right w:w="140" w:type="dxa"/>
            </w:tcMar>
          </w:tcPr>
          <w:p w:rsidR="004E4A14" w:rsidRDefault="00000000" w14:paraId="42D5D89B" w14:textId="77777777">
            <w:r>
              <w:rPr>
                <w:color w:val="1F2D3D"/>
                <w:sz w:val="21"/>
                <w:szCs w:val="21"/>
              </w:rPr>
              <w:t>Climate Resilient + Climate Vulnerable</w:t>
            </w:r>
          </w:p>
        </w:tc>
        <w:tc>
          <w:tcPr>
            <w:tcW w:w="516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100" w:type="dxa"/>
              <w:left w:w="140" w:type="dxa"/>
              <w:bottom w:w="100" w:type="dxa"/>
              <w:right w:w="140" w:type="dxa"/>
            </w:tcMar>
          </w:tcPr>
          <w:p w:rsidR="004E4A14" w:rsidRDefault="00000000" w14:paraId="20E395BE" w14:textId="33C56B9F">
            <w:r w:rsidRPr="65C38002" w:rsidR="00000000">
              <w:rPr>
                <w:color w:val="1F2D3D"/>
                <w:sz w:val="21"/>
                <w:szCs w:val="21"/>
              </w:rPr>
              <w:t>Lends to smallholder farmers in northern Kenya or Uganda’s cattle corridor</w:t>
            </w:r>
            <w:r w:rsidRPr="65C38002" w:rsidR="649BF42B">
              <w:rPr>
                <w:color w:val="1F2D3D"/>
                <w:sz w:val="21"/>
                <w:szCs w:val="21"/>
              </w:rPr>
              <w:t xml:space="preserve"> or other climate vulnerable regions</w:t>
            </w:r>
            <w:r w:rsidRPr="65C38002" w:rsidR="00000000">
              <w:rPr>
                <w:color w:val="1F2D3D"/>
                <w:sz w:val="21"/>
                <w:szCs w:val="21"/>
              </w:rPr>
              <w:t xml:space="preserve">. Products include seasonal working capital loans with harvest-linked repayment and income diversification loans for off-farm enterprise. Borrower base is </w:t>
            </w:r>
            <w:r w:rsidRPr="65C38002" w:rsidR="00000000">
              <w:rPr>
                <w:color w:val="1F2D3D"/>
                <w:sz w:val="21"/>
                <w:szCs w:val="21"/>
              </w:rPr>
              <w:t>predominantly women</w:t>
            </w:r>
            <w:r w:rsidRPr="65C38002" w:rsidR="00000000">
              <w:rPr>
                <w:color w:val="1F2D3D"/>
                <w:sz w:val="21"/>
                <w:szCs w:val="21"/>
              </w:rPr>
              <w:t xml:space="preserve"> in geographies with high drought frequency. Qualifies under Paris alignment BB2 (adaptation) and the Climate Vulnerable classification thro</w:t>
            </w:r>
            <w:r w:rsidRPr="65C38002" w:rsidR="577D13DA">
              <w:rPr>
                <w:color w:val="1F2D3D"/>
                <w:sz w:val="21"/>
                <w:szCs w:val="21"/>
              </w:rPr>
              <w:t xml:space="preserve">ugh </w:t>
            </w:r>
            <w:r w:rsidRPr="65C38002" w:rsidR="00000000">
              <w:rPr>
                <w:color w:val="1F2D3D"/>
                <w:sz w:val="21"/>
                <w:szCs w:val="21"/>
              </w:rPr>
              <w:t>geo-tagging.</w:t>
            </w:r>
          </w:p>
        </w:tc>
      </w:tr>
      <w:tr w:rsidR="004E4A14" w:rsidTr="65C38002" w14:paraId="05E61036" w14:textId="77777777">
        <w:tblPrEx>
          <w:tblCellMar>
            <w:top w:w="0" w:type="dxa"/>
            <w:bottom w:w="0" w:type="dxa"/>
          </w:tblCellMar>
        </w:tblPrEx>
        <w:tc>
          <w:tcPr>
            <w:tcW w:w="2200" w:type="dxa"/>
            <w:tcBorders>
              <w:top w:val="single" w:color="CCCCCC" w:sz="1" w:space="0"/>
              <w:left w:val="single" w:color="CCCCCC" w:sz="1" w:space="0"/>
              <w:bottom w:val="single" w:color="CCCCCC" w:sz="1" w:space="0"/>
              <w:right w:val="single" w:color="CCCCCC" w:sz="1" w:space="0"/>
            </w:tcBorders>
            <w:shd w:val="clear" w:color="auto" w:fill="F2F2F2" w:themeFill="background1" w:themeFillShade="F2"/>
            <w:tcMar>
              <w:top w:w="100" w:type="dxa"/>
              <w:left w:w="140" w:type="dxa"/>
              <w:bottom w:w="100" w:type="dxa"/>
              <w:right w:w="140" w:type="dxa"/>
            </w:tcMar>
          </w:tcPr>
          <w:p w:rsidR="004E4A14" w:rsidRDefault="00000000" w14:paraId="188496B8" w14:textId="77777777">
            <w:r>
              <w:rPr>
                <w:b/>
                <w:bCs/>
                <w:color w:val="1F2D3D"/>
                <w:sz w:val="21"/>
                <w:szCs w:val="21"/>
              </w:rPr>
              <w:t>Women entrepreneur NBFC</w:t>
            </w:r>
          </w:p>
        </w:tc>
        <w:tc>
          <w:tcPr>
            <w:tcW w:w="2000" w:type="dxa"/>
            <w:tcBorders>
              <w:top w:val="single" w:color="CCCCCC" w:sz="1" w:space="0"/>
              <w:left w:val="single" w:color="CCCCCC" w:sz="1" w:space="0"/>
              <w:bottom w:val="single" w:color="CCCCCC" w:sz="1" w:space="0"/>
              <w:right w:val="single" w:color="CCCCCC" w:sz="1" w:space="0"/>
            </w:tcBorders>
            <w:shd w:val="clear" w:color="auto" w:fill="F2F2F2" w:themeFill="background1" w:themeFillShade="F2"/>
            <w:tcMar>
              <w:top w:w="100" w:type="dxa"/>
              <w:left w:w="140" w:type="dxa"/>
              <w:bottom w:w="100" w:type="dxa"/>
              <w:right w:w="140" w:type="dxa"/>
            </w:tcMar>
          </w:tcPr>
          <w:p w:rsidR="004E4A14" w:rsidRDefault="00000000" w14:paraId="3196C24C" w14:textId="77777777">
            <w:r>
              <w:rPr>
                <w:color w:val="1F2D3D"/>
                <w:sz w:val="21"/>
                <w:szCs w:val="21"/>
              </w:rPr>
              <w:t>Climate Resilient + Climate Vulnerable</w:t>
            </w:r>
          </w:p>
        </w:tc>
        <w:tc>
          <w:tcPr>
            <w:tcW w:w="5160" w:type="dxa"/>
            <w:tcBorders>
              <w:top w:val="single" w:color="CCCCCC" w:sz="1" w:space="0"/>
              <w:left w:val="single" w:color="CCCCCC" w:sz="1" w:space="0"/>
              <w:bottom w:val="single" w:color="CCCCCC" w:sz="1" w:space="0"/>
              <w:right w:val="single" w:color="CCCCCC" w:sz="1" w:space="0"/>
            </w:tcBorders>
            <w:shd w:val="clear" w:color="auto" w:fill="F2F2F2" w:themeFill="background1" w:themeFillShade="F2"/>
            <w:tcMar>
              <w:top w:w="100" w:type="dxa"/>
              <w:left w:w="140" w:type="dxa"/>
              <w:bottom w:w="100" w:type="dxa"/>
              <w:right w:w="140" w:type="dxa"/>
            </w:tcMar>
          </w:tcPr>
          <w:p w:rsidR="004E4A14" w:rsidRDefault="00000000" w14:paraId="7FA8B2F3" w14:textId="77777777">
            <w:r>
              <w:rPr>
                <w:color w:val="1F2D3D"/>
                <w:sz w:val="21"/>
                <w:szCs w:val="21"/>
              </w:rPr>
              <w:t xml:space="preserve">Provides enterprise credit to women-owned micro-businesses in climate-exposed informal settlements. Borrowers include </w:t>
            </w:r>
            <w:proofErr w:type="spellStart"/>
            <w:r>
              <w:rPr>
                <w:color w:val="1F2D3D"/>
                <w:sz w:val="21"/>
                <w:szCs w:val="21"/>
              </w:rPr>
              <w:t>agri</w:t>
            </w:r>
            <w:proofErr w:type="spellEnd"/>
            <w:r>
              <w:rPr>
                <w:color w:val="1F2D3D"/>
                <w:sz w:val="21"/>
                <w:szCs w:val="21"/>
              </w:rPr>
              <w:t>-adjacent traders whose revenue is climate-sensitive (seasonal produce, charcoal, water vendors). Climate Vulnerable classification driven by borrower segment exposure. Climate Resilient component where products explicitly support income diversification away from climate-exposed primary activities.</w:t>
            </w:r>
          </w:p>
        </w:tc>
      </w:tr>
      <w:tr w:rsidR="004E4A14" w:rsidTr="65C38002" w14:paraId="65113090" w14:textId="77777777">
        <w:tblPrEx>
          <w:tblCellMar>
            <w:top w:w="0" w:type="dxa"/>
            <w:bottom w:w="0" w:type="dxa"/>
          </w:tblCellMar>
        </w:tblPrEx>
        <w:tc>
          <w:tcPr>
            <w:tcW w:w="22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100" w:type="dxa"/>
              <w:left w:w="140" w:type="dxa"/>
              <w:bottom w:w="100" w:type="dxa"/>
              <w:right w:w="140" w:type="dxa"/>
            </w:tcMar>
          </w:tcPr>
          <w:p w:rsidR="004E4A14" w:rsidRDefault="00000000" w14:paraId="6608ABE0" w14:textId="77777777">
            <w:r>
              <w:rPr>
                <w:b/>
                <w:bCs/>
                <w:color w:val="1F2D3D"/>
                <w:sz w:val="21"/>
                <w:szCs w:val="21"/>
              </w:rPr>
              <w:t>Agri-fintech with climate-smart inputs</w:t>
            </w:r>
          </w:p>
        </w:tc>
        <w:tc>
          <w:tcPr>
            <w:tcW w:w="20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100" w:type="dxa"/>
              <w:left w:w="140" w:type="dxa"/>
              <w:bottom w:w="100" w:type="dxa"/>
              <w:right w:w="140" w:type="dxa"/>
            </w:tcMar>
          </w:tcPr>
          <w:p w:rsidR="004E4A14" w:rsidRDefault="00000000" w14:paraId="75B69C6B" w14:textId="77777777">
            <w:r>
              <w:rPr>
                <w:color w:val="1F2D3D"/>
                <w:sz w:val="21"/>
                <w:szCs w:val="21"/>
              </w:rPr>
              <w:t>Climate Positive + Climate Resilient</w:t>
            </w:r>
          </w:p>
        </w:tc>
        <w:tc>
          <w:tcPr>
            <w:tcW w:w="516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100" w:type="dxa"/>
              <w:left w:w="140" w:type="dxa"/>
              <w:bottom w:w="100" w:type="dxa"/>
              <w:right w:w="140" w:type="dxa"/>
            </w:tcMar>
          </w:tcPr>
          <w:p w:rsidR="004E4A14" w:rsidP="65C38002" w:rsidRDefault="00000000" w14:paraId="799BB239" w14:textId="533223FE">
            <w:pPr>
              <w:rPr>
                <w:color w:val="1F2D3D"/>
                <w:sz w:val="21"/>
                <w:szCs w:val="21"/>
              </w:rPr>
            </w:pPr>
            <w:r w:rsidRPr="65C38002" w:rsidR="00000000">
              <w:rPr>
                <w:color w:val="1F2D3D"/>
                <w:sz w:val="21"/>
                <w:szCs w:val="21"/>
              </w:rPr>
              <w:t xml:space="preserve">Finances inputs including drought-tolerant seed varieties, precision irrigation equipment, and organic soil amendments that reduce fertiliser intensity. The soil management and fertiliser reduction components are eligible under activities 5.2 and 5.3 (agricultural carbon sequestration and GHG emission reduction) </w:t>
            </w:r>
          </w:p>
        </w:tc>
      </w:tr>
    </w:tbl>
    <w:p w:rsidR="004E4A14" w:rsidRDefault="004E4A14" w14:paraId="5F80E7E4" w14:textId="77777777">
      <w:pPr>
        <w:spacing w:before="180"/>
      </w:pPr>
    </w:p>
    <w:p w:rsidR="004E4A14" w:rsidRDefault="00000000" w14:paraId="6F4CFF06" w14:textId="77777777">
      <w:pPr>
        <w:pStyle w:val="Heading1"/>
      </w:pPr>
      <w:r>
        <w:t>2. Alignment with International Climate Goals</w:t>
      </w:r>
    </w:p>
    <w:p w:rsidR="004E4A14" w:rsidRDefault="00000000" w14:paraId="77E08A47" w14:textId="77777777">
      <w:pPr>
        <w:spacing w:before="80" w:after="140"/>
      </w:pPr>
      <w:r>
        <w:t>The international reference point for our work is the Paris Agreement (2015). Beyond its temperature target, the Agreement contains two objectives that are directly relevant to what Kaleidofin Africa does:</w:t>
      </w:r>
    </w:p>
    <w:p w:rsidR="004E4A14" w:rsidRDefault="00000000" w14:paraId="7C25C4CB" w14:textId="77777777">
      <w:pPr>
        <w:pStyle w:val="ListParagraph"/>
        <w:numPr>
          <w:ilvl w:val="0"/>
          <w:numId w:val="2"/>
        </w:numPr>
        <w:spacing w:before="60" w:after="60"/>
      </w:pPr>
      <w:r>
        <w:rPr>
          <w:b/>
          <w:bCs/>
        </w:rPr>
        <w:t>Objective 2 — Adaptation:</w:t>
      </w:r>
      <w:r>
        <w:t xml:space="preserve"> strengthening the ability of countries and communities to adapt to the impacts of climate change, particularly for the most vulnerable. Climate Resilient and Climate Vulnerable lending sits here — serving borrowers who are actively adapting their livelihoods to a changing climate and ensuring credit reaches those most exposed to climate risk.</w:t>
      </w:r>
    </w:p>
    <w:p w:rsidR="004E4A14" w:rsidRDefault="00000000" w14:paraId="4FFB9B74" w14:textId="662C95F8">
      <w:pPr>
        <w:pStyle w:val="ListParagraph"/>
        <w:numPr>
          <w:ilvl w:val="0"/>
          <w:numId w:val="2"/>
        </w:numPr>
        <w:spacing w:before="60" w:after="60"/>
        <w:rPr/>
      </w:pPr>
      <w:r w:rsidRPr="65C38002" w:rsidR="00000000">
        <w:rPr>
          <w:b w:val="1"/>
          <w:bCs w:val="1"/>
        </w:rPr>
        <w:t>Objective 3 — Financial flows:</w:t>
      </w:r>
      <w:r w:rsidR="00000000">
        <w:rPr/>
        <w:t xml:space="preserve"> making all financial flows consistent with a pathway toward low greenhouse gas emissions and climate-resilient development.</w:t>
      </w:r>
    </w:p>
    <w:p w:rsidR="004E4A14" w:rsidP="65C38002" w:rsidRDefault="00000000" w14:paraId="028786CA" w14:textId="77777777">
      <w:pPr>
        <w:pStyle w:val="Heading2"/>
        <w:rPr>
          <w:color w:val="FF0000"/>
        </w:rPr>
      </w:pPr>
      <w:r w:rsidRPr="65C38002" w:rsidR="00000000">
        <w:rPr>
          <w:color w:val="FF0000"/>
        </w:rPr>
        <w:t>Paris Alignment (MDB Joint Methodology, 2023)</w:t>
      </w:r>
    </w:p>
    <w:p w:rsidR="004E4A14" w:rsidP="65C38002" w:rsidRDefault="00000000" w14:paraId="244A981A" w14:textId="77777777">
      <w:pPr>
        <w:spacing w:before="80" w:after="140"/>
        <w:rPr>
          <w:color w:val="FF0000"/>
        </w:rPr>
      </w:pPr>
      <w:r w:rsidRPr="65C38002" w:rsidR="00000000">
        <w:rPr>
          <w:color w:val="FF0000"/>
        </w:rPr>
        <w:t>In 2023, the major multilateral development banks — including the World Bank, African Development Bank, and IFC — published a joint methodology for assessing whether financing operations are Paris-aligned. This applies to intermediated finance: capital flowing through an intermediary rather than directly to a project.</w:t>
      </w:r>
    </w:p>
    <w:p w:rsidR="00000000" w:rsidP="65C38002" w:rsidRDefault="00000000" w14:paraId="3545DE52" w14:textId="2086C12A">
      <w:pPr>
        <w:spacing w:before="80" w:after="140"/>
      </w:pPr>
      <w:r w:rsidRPr="65C38002" w:rsidR="00000000">
        <w:rPr>
          <w:color w:val="FF0000"/>
        </w:rPr>
        <w:t>At the transaction level, it screens for categorically excluded activities and asks whether the operation is directionally consistent with a low-carbon, climate-resilient development pathway for the operating country.</w:t>
      </w:r>
    </w:p>
    <w:p w:rsidR="004E4A14" w:rsidP="65C38002" w:rsidRDefault="00000000" w14:paraId="2F0B1E40" w14:textId="77777777">
      <w:pPr>
        <w:spacing w:before="80" w:after="140"/>
        <w:rPr>
          <w:color w:val="FF0000"/>
        </w:rPr>
      </w:pPr>
      <w:r w:rsidRPr="65C38002" w:rsidR="00000000">
        <w:rPr>
          <w:color w:val="FF0000"/>
        </w:rPr>
        <w:t>The MDB/IDFC Common Principles are the accounting standard for what counts as climate mitigation finance. They are jointly maintained by the major multilateral banks and the International Development Finance Club (IDFC), which includes bilateral development finance institutions. Both groups now treat the eligibility list as exhaustive — if an activity is not on it, it does not count as climate mitigation finance.</w:t>
      </w:r>
    </w:p>
    <w:p w:rsidR="004E4A14" w:rsidP="65C38002" w:rsidRDefault="00000000" w14:paraId="58944D0C" w14:textId="77777777">
      <w:pPr>
        <w:spacing w:before="80" w:after="140"/>
        <w:rPr>
          <w:color w:val="FF0000"/>
        </w:rPr>
      </w:pPr>
      <w:r w:rsidRPr="65C38002" w:rsidR="00000000">
        <w:rPr>
          <w:color w:val="FF0000"/>
        </w:rPr>
        <w:t xml:space="preserve">The </w:t>
      </w:r>
      <w:r w:rsidRPr="65C38002" w:rsidR="00000000">
        <w:rPr>
          <w:color w:val="FF0000"/>
        </w:rPr>
        <w:t>Principles</w:t>
      </w:r>
      <w:r w:rsidRPr="65C38002" w:rsidR="00000000">
        <w:rPr>
          <w:color w:val="FF0000"/>
        </w:rPr>
        <w:t xml:space="preserve"> cover 11 sectors. For our originator base the most relevant eligible activities are:</w:t>
      </w:r>
    </w:p>
    <w:p w:rsidR="004E4A14" w:rsidP="65C38002" w:rsidRDefault="00000000" w14:paraId="4C5CB05B" w14:textId="77777777">
      <w:pPr>
        <w:pStyle w:val="ListParagraph"/>
        <w:numPr>
          <w:ilvl w:val="0"/>
          <w:numId w:val="2"/>
        </w:numPr>
        <w:spacing w:before="60" w:after="60"/>
        <w:rPr>
          <w:color w:val="FF0000"/>
        </w:rPr>
      </w:pPr>
      <w:r w:rsidRPr="65C38002" w:rsidR="00000000">
        <w:rPr>
          <w:b w:val="1"/>
          <w:bCs w:val="1"/>
          <w:color w:val="FF0000"/>
        </w:rPr>
        <w:t>Renewable energy (activity 2.1):</w:t>
      </w:r>
      <w:r w:rsidRPr="65C38002" w:rsidR="00000000">
        <w:rPr>
          <w:color w:val="FF0000"/>
        </w:rPr>
        <w:t xml:space="preserve"> generation with substantially lower lifecycle GHG emissions than fossil fuel alternatives. Solar home systems qualify cleanly. First-generation biofuels are excluded unless from waste or certified sustainable sources.</w:t>
      </w:r>
    </w:p>
    <w:p w:rsidR="004E4A14" w:rsidP="65C38002" w:rsidRDefault="00000000" w14:paraId="1AE67B96" w14:textId="77777777">
      <w:pPr>
        <w:pStyle w:val="ListParagraph"/>
        <w:numPr>
          <w:ilvl w:val="0"/>
          <w:numId w:val="2"/>
        </w:numPr>
        <w:spacing w:before="60" w:after="60"/>
        <w:rPr>
          <w:color w:val="FF0000"/>
        </w:rPr>
      </w:pPr>
      <w:r w:rsidRPr="65C38002" w:rsidR="00000000">
        <w:rPr>
          <w:b w:val="1"/>
          <w:bCs w:val="1"/>
          <w:color w:val="FF0000"/>
        </w:rPr>
        <w:t>Energy-efficient appliances (activity 9.5):</w:t>
      </w:r>
      <w:r w:rsidRPr="65C38002" w:rsidR="00000000">
        <w:rPr>
          <w:color w:val="FF0000"/>
        </w:rPr>
        <w:t xml:space="preserve"> new or replacement appliances that use best available technology or meet country-appropriate benchmarks. Clean cookstoves qualify where they demonstrably reduce per-unit cooking emissions.</w:t>
      </w:r>
    </w:p>
    <w:p w:rsidR="004E4A14" w:rsidP="65C38002" w:rsidRDefault="00000000" w14:paraId="171FEBE2" w14:textId="77777777">
      <w:pPr>
        <w:pStyle w:val="ListParagraph"/>
        <w:numPr>
          <w:ilvl w:val="0"/>
          <w:numId w:val="2"/>
        </w:numPr>
        <w:spacing w:before="60" w:after="60"/>
        <w:rPr>
          <w:color w:val="FF0000"/>
        </w:rPr>
      </w:pPr>
      <w:r w:rsidRPr="65C38002" w:rsidR="00000000">
        <w:rPr>
          <w:b w:val="1"/>
          <w:bCs w:val="1"/>
          <w:color w:val="FF0000"/>
        </w:rPr>
        <w:t>Zero or low direct emission vehicles (activity 8.6):</w:t>
      </w:r>
      <w:r w:rsidRPr="65C38002" w:rsidR="00000000">
        <w:rPr>
          <w:color w:val="FF0000"/>
        </w:rPr>
        <w:t xml:space="preserve"> electric vehicles and e-motorcycles with zero tailpipe emissions qualify without further conditions. Vehicles dedicated to fossil fuel transport are excluded.</w:t>
      </w:r>
    </w:p>
    <w:p w:rsidR="004E4A14" w:rsidP="65C38002" w:rsidRDefault="00000000" w14:paraId="3EA8EE08" w14:textId="77777777">
      <w:pPr>
        <w:pStyle w:val="ListParagraph"/>
        <w:numPr>
          <w:ilvl w:val="0"/>
          <w:numId w:val="2"/>
        </w:numPr>
        <w:spacing w:before="60" w:after="60"/>
        <w:rPr>
          <w:color w:val="FF0000"/>
        </w:rPr>
      </w:pPr>
      <w:r w:rsidRPr="65C38002" w:rsidR="00000000">
        <w:rPr>
          <w:b w:val="1"/>
          <w:bCs w:val="1"/>
          <w:color w:val="FF0000"/>
        </w:rPr>
        <w:t>Agricultural GHG reduction (activities 5.1–5.3):</w:t>
      </w:r>
      <w:r w:rsidRPr="65C38002" w:rsidR="00000000">
        <w:rPr>
          <w:color w:val="FF0000"/>
        </w:rPr>
        <w:t xml:space="preserve"> lending that supports energy efficiency in farm operations (5.1), increases soil carbon stock (5.2), or reduces GHG emissions from agricultural practices (5.3). Where farm-level data is unavailable, the </w:t>
      </w:r>
      <w:r w:rsidRPr="65C38002" w:rsidR="00000000">
        <w:rPr>
          <w:color w:val="FF0000"/>
        </w:rPr>
        <w:t>Principles</w:t>
      </w:r>
      <w:r w:rsidRPr="65C38002" w:rsidR="00000000">
        <w:rPr>
          <w:color w:val="FF0000"/>
        </w:rPr>
        <w:t xml:space="preserve"> explicitly permit proxy-based attribution using sector-level benchmarks or recognised sustainability certifications.</w:t>
      </w:r>
    </w:p>
    <w:p w:rsidR="004E4A14" w:rsidP="65C38002" w:rsidRDefault="00000000" w14:paraId="71C073D5" w14:textId="77777777">
      <w:pPr>
        <w:pStyle w:val="ListParagraph"/>
        <w:numPr>
          <w:ilvl w:val="0"/>
          <w:numId w:val="2"/>
        </w:numPr>
        <w:spacing w:before="60" w:after="60"/>
        <w:rPr>
          <w:color w:val="FF0000"/>
        </w:rPr>
      </w:pPr>
      <w:r w:rsidRPr="65C38002" w:rsidR="00000000">
        <w:rPr>
          <w:b w:val="1"/>
          <w:bCs w:val="1"/>
          <w:color w:val="FF0000"/>
        </w:rPr>
        <w:t>Forestry and agroforestry (activity 5.6):</w:t>
      </w:r>
      <w:r w:rsidRPr="65C38002" w:rsidR="00000000">
        <w:rPr>
          <w:color w:val="FF0000"/>
        </w:rPr>
        <w:t xml:space="preserve"> projects that sequester carbon through sustainable forest management, avoided deforestation, or land restoration. Evidence of human-assisted natural regeneration is required.</w:t>
      </w:r>
    </w:p>
    <w:p w:rsidR="004E4A14" w:rsidP="65C38002" w:rsidRDefault="00000000" w14:paraId="7F28A4CA" w14:textId="77777777">
      <w:pPr>
        <w:pStyle w:val="ListParagraph"/>
        <w:numPr>
          <w:ilvl w:val="0"/>
          <w:numId w:val="2"/>
        </w:numPr>
        <w:spacing w:before="60" w:after="60"/>
        <w:rPr>
          <w:color w:val="FF0000"/>
        </w:rPr>
      </w:pPr>
      <w:r w:rsidRPr="65C38002" w:rsidR="00000000">
        <w:rPr>
          <w:b w:val="1"/>
          <w:bCs w:val="1"/>
          <w:color w:val="FF0000"/>
        </w:rPr>
        <w:t>Low-carbon water supply (activities 6.2–6.3):</w:t>
      </w:r>
      <w:r w:rsidRPr="65C38002" w:rsidR="00000000">
        <w:rPr>
          <w:color w:val="FF0000"/>
        </w:rPr>
        <w:t xml:space="preserve"> water access projects that replace tanker use, reduce diesel-powered pumping, or deploy gravity-fed or highly efficient greenfield systems.</w:t>
      </w:r>
    </w:p>
    <w:p w:rsidR="004E4A14" w:rsidP="65C38002" w:rsidRDefault="00000000" w14:paraId="5546E7AC" w14:textId="77777777">
      <w:pPr>
        <w:pStyle w:val="ListParagraph"/>
        <w:numPr>
          <w:ilvl w:val="0"/>
          <w:numId w:val="2"/>
        </w:numPr>
        <w:spacing w:before="60" w:after="60"/>
        <w:rPr>
          <w:color w:val="FF0000"/>
        </w:rPr>
      </w:pPr>
      <w:r w:rsidRPr="65C38002" w:rsidR="00000000">
        <w:rPr>
          <w:b w:val="1"/>
          <w:bCs w:val="1"/>
          <w:color w:val="FF0000"/>
        </w:rPr>
        <w:t>Climate finance instruments (activity 12.17):</w:t>
      </w:r>
      <w:r w:rsidRPr="65C38002" w:rsidR="00000000">
        <w:rPr>
          <w:color w:val="FF0000"/>
        </w:rPr>
        <w:t xml:space="preserve"> financial instruments that directly support carbon assets or receivables from eligible activities are themselves eligible as climate finance. This is the provision that makes a structured note backed by eligible underlying receivables reportable as climate finance.</w:t>
      </w:r>
    </w:p>
    <w:p w:rsidR="004E4A14" w:rsidP="65C38002" w:rsidRDefault="00000000" w14:paraId="1C3288EE" w14:textId="77777777">
      <w:pPr>
        <w:pStyle w:val="Heading2"/>
        <w:rPr>
          <w:color w:val="FF0000"/>
        </w:rPr>
      </w:pPr>
      <w:r w:rsidRPr="65C38002" w:rsidR="00000000">
        <w:rPr>
          <w:color w:val="FF0000"/>
        </w:rPr>
        <w:t>Exclusions Under the Common Principles</w:t>
      </w:r>
    </w:p>
    <w:p w:rsidR="004E4A14" w:rsidP="65C38002" w:rsidRDefault="00000000" w14:paraId="59BBC4F6" w14:textId="77777777">
      <w:pPr>
        <w:spacing w:before="80" w:after="140"/>
        <w:rPr>
          <w:color w:val="FF0000"/>
        </w:rPr>
      </w:pPr>
      <w:r w:rsidRPr="65C38002" w:rsidR="00000000">
        <w:rPr>
          <w:color w:val="FF0000"/>
        </w:rPr>
        <w:t>The Common Principles specify activities that are categorically ineligible regardless of context or performance. These inform our originator screening as hard exclusions:</w:t>
      </w:r>
    </w:p>
    <w:p w:rsidR="004E4A14" w:rsidP="65C38002" w:rsidRDefault="00000000" w14:paraId="137FFB8B" w14:textId="77777777">
      <w:pPr>
        <w:pStyle w:val="ListParagraph"/>
        <w:numPr>
          <w:ilvl w:val="0"/>
          <w:numId w:val="2"/>
        </w:numPr>
        <w:spacing w:before="60" w:after="60"/>
        <w:rPr>
          <w:color w:val="FF0000"/>
        </w:rPr>
      </w:pPr>
      <w:r w:rsidRPr="65C38002" w:rsidR="00000000">
        <w:rPr>
          <w:b w:val="1"/>
          <w:bCs w:val="1"/>
          <w:color w:val="FF0000"/>
        </w:rPr>
        <w:t>Fossil fuel upstream and midstream:</w:t>
      </w:r>
      <w:r w:rsidRPr="65C38002" w:rsidR="00000000">
        <w:rPr>
          <w:color w:val="FF0000"/>
        </w:rPr>
        <w:t xml:space="preserve"> exploration, production, natural gas processing, storage, transport, liquefaction, regasification, and crude oil refining are all excluded. The only narrow exceptions are waste gas utilisation from existing infrastructure and reduction of fugitive emissions.</w:t>
      </w:r>
    </w:p>
    <w:p w:rsidR="004E4A14" w:rsidP="65C38002" w:rsidRDefault="00000000" w14:paraId="2FE1C5BC" w14:textId="77777777">
      <w:pPr>
        <w:pStyle w:val="ListParagraph"/>
        <w:numPr>
          <w:ilvl w:val="0"/>
          <w:numId w:val="2"/>
        </w:numPr>
        <w:spacing w:before="60" w:after="60"/>
        <w:rPr>
          <w:color w:val="FF0000"/>
        </w:rPr>
      </w:pPr>
      <w:r w:rsidRPr="65C38002" w:rsidR="00000000">
        <w:rPr>
          <w:b w:val="1"/>
          <w:bCs w:val="1"/>
          <w:color w:val="FF0000"/>
        </w:rPr>
        <w:t>Coal and peat power generation:</w:t>
      </w:r>
      <w:r w:rsidRPr="65C38002" w:rsidR="00000000">
        <w:rPr>
          <w:color w:val="FF0000"/>
        </w:rPr>
        <w:t xml:space="preserve"> electricity generation from coal or peat is excluded without exception.</w:t>
      </w:r>
    </w:p>
    <w:p w:rsidR="004E4A14" w:rsidP="65C38002" w:rsidRDefault="00000000" w14:paraId="036B86A8" w14:textId="77777777">
      <w:pPr>
        <w:pStyle w:val="ListParagraph"/>
        <w:numPr>
          <w:ilvl w:val="0"/>
          <w:numId w:val="2"/>
        </w:numPr>
        <w:spacing w:before="60" w:after="60"/>
        <w:rPr>
          <w:color w:val="FF0000"/>
        </w:rPr>
      </w:pPr>
      <w:r w:rsidRPr="65C38002" w:rsidR="00000000">
        <w:rPr>
          <w:b w:val="1"/>
          <w:bCs w:val="1"/>
          <w:color w:val="FF0000"/>
        </w:rPr>
        <w:t>Deforestation:</w:t>
      </w:r>
      <w:r w:rsidRPr="65C38002" w:rsidR="00000000">
        <w:rPr>
          <w:color w:val="FF0000"/>
        </w:rPr>
        <w:t xml:space="preserve"> activities that directly or indirectly lead to deforestation over time are ineligible, other than small-scale tree clearance.</w:t>
      </w:r>
    </w:p>
    <w:p w:rsidR="004E4A14" w:rsidP="65C38002" w:rsidRDefault="00000000" w14:paraId="4F1987D6" w14:textId="77777777">
      <w:pPr>
        <w:pStyle w:val="ListParagraph"/>
        <w:numPr>
          <w:ilvl w:val="0"/>
          <w:numId w:val="2"/>
        </w:numPr>
        <w:spacing w:before="60" w:after="60"/>
        <w:rPr>
          <w:color w:val="FF0000"/>
        </w:rPr>
      </w:pPr>
      <w:r w:rsidRPr="65C38002" w:rsidR="00000000">
        <w:rPr>
          <w:b w:val="1"/>
          <w:bCs w:val="1"/>
          <w:color w:val="FF0000"/>
        </w:rPr>
        <w:t>Carbon offsetting at project level:</w:t>
      </w:r>
      <w:r w:rsidRPr="65C38002" w:rsidR="00000000">
        <w:rPr>
          <w:color w:val="FF0000"/>
        </w:rPr>
        <w:t xml:space="preserve"> purchased carbon credits cannot be used to make an otherwise ineligible activity eligible. The activity itself must reduce or sequester emissions within its defined scope.</w:t>
      </w:r>
    </w:p>
    <w:p w:rsidR="004E4A14" w:rsidP="65C38002" w:rsidRDefault="00000000" w14:paraId="217D0E69" w14:textId="77777777">
      <w:pPr>
        <w:pStyle w:val="ListParagraph"/>
        <w:numPr>
          <w:ilvl w:val="0"/>
          <w:numId w:val="2"/>
        </w:numPr>
        <w:spacing w:before="60" w:after="60"/>
        <w:rPr>
          <w:color w:val="FF0000"/>
        </w:rPr>
      </w:pPr>
      <w:r w:rsidRPr="65C38002" w:rsidR="00000000">
        <w:rPr>
          <w:b w:val="1"/>
          <w:bCs w:val="1"/>
          <w:color w:val="FF0000"/>
        </w:rPr>
        <w:t>Lock-in of high-emission infrastructure:</w:t>
      </w:r>
      <w:r w:rsidRPr="65C38002" w:rsidR="00000000">
        <w:rPr>
          <w:color w:val="FF0000"/>
        </w:rPr>
        <w:t xml:space="preserve"> transitional activities that extend the life of high-emission assets, or that could deter the development of cleaner alternatives, are ineligible even where they offer near-term emission reductions.</w:t>
      </w:r>
    </w:p>
    <w:p w:rsidR="004E4A14" w:rsidP="65C38002" w:rsidRDefault="004E4A14" w14:paraId="6FDD14FD" w14:textId="07F62634">
      <w:pPr>
        <w:pStyle w:val="ListParagraph"/>
        <w:numPr>
          <w:ilvl w:val="0"/>
          <w:numId w:val="2"/>
        </w:numPr>
        <w:spacing w:before="60" w:after="60"/>
        <w:rPr>
          <w:color w:val="FF0000"/>
        </w:rPr>
      </w:pPr>
      <w:r w:rsidRPr="65C38002" w:rsidR="00000000">
        <w:rPr>
          <w:b w:val="1"/>
          <w:bCs w:val="1"/>
          <w:color w:val="FF0000"/>
        </w:rPr>
        <w:t>First-generation biofuels (unless certified):</w:t>
      </w:r>
      <w:r w:rsidRPr="65C38002" w:rsidR="00000000">
        <w:rPr>
          <w:color w:val="FF0000"/>
        </w:rPr>
        <w:t xml:space="preserve"> excluded unless sourced from waste or meeting internationally accepted sustainability certifications, and only where food security is not compromised.</w:t>
      </w:r>
    </w:p>
    <w:p w:rsidR="004E4A14" w:rsidRDefault="00000000" w14:paraId="0F7B18B0" w14:textId="49E1BC30">
      <w:pPr>
        <w:pStyle w:val="Heading1"/>
      </w:pPr>
      <w:r w:rsidR="00000000">
        <w:rPr/>
        <w:t xml:space="preserve">3. Climate </w:t>
      </w:r>
      <w:r w:rsidR="5E30B617">
        <w:rPr/>
        <w:t xml:space="preserve">assessment </w:t>
      </w:r>
      <w:r w:rsidR="00000000">
        <w:rPr/>
        <w:t>in Originator Underwriting</w:t>
      </w:r>
    </w:p>
    <w:p w:rsidR="004E4A14" w:rsidRDefault="00000000" w14:paraId="006EC546" w14:textId="592F8F79">
      <w:pPr>
        <w:spacing w:before="80" w:after="140"/>
      </w:pPr>
      <w:r w:rsidR="00000000">
        <w:rPr/>
        <w:t xml:space="preserve">Climate assessment is a standard </w:t>
      </w:r>
      <w:r w:rsidR="00000000">
        <w:rPr/>
        <w:t>component</w:t>
      </w:r>
      <w:r w:rsidR="00000000">
        <w:rPr/>
        <w:t xml:space="preserve"> of the Credit Platform’s independent originator assessment process</w:t>
      </w:r>
      <w:r w:rsidR="5895AA40">
        <w:rPr/>
        <w:t xml:space="preserve"> under our ESG screening criteria</w:t>
      </w:r>
      <w:r w:rsidR="00000000">
        <w:rPr/>
        <w:t>. It runs alongside the credit analysis and feeds into the overall originator evaluation and deal structuring.</w:t>
      </w:r>
    </w:p>
    <w:p w:rsidR="004E4A14" w:rsidRDefault="00000000" w14:paraId="3492BDC9" w14:textId="77777777">
      <w:pPr>
        <w:pStyle w:val="Heading3"/>
      </w:pPr>
      <w:r>
        <w:t>Product suite mapping</w:t>
      </w:r>
    </w:p>
    <w:p w:rsidR="004E4A14" w:rsidRDefault="00000000" w14:paraId="7C879A10" w14:textId="3BF082A9">
      <w:pPr>
        <w:spacing w:before="80" w:after="140"/>
      </w:pPr>
      <w:r w:rsidR="00000000">
        <w:rPr/>
        <w:t xml:space="preserve">We map each originator’s product suite against the three climate categories. For Climate Positive products, we </w:t>
      </w:r>
      <w:r w:rsidR="00000000">
        <w:rPr/>
        <w:t>identify</w:t>
      </w:r>
      <w:r w:rsidR="00000000">
        <w:rPr/>
        <w:t xml:space="preserve"> the specific Common Principles activity each product corresponds to </w:t>
      </w:r>
      <w:r w:rsidR="362715B2">
        <w:rPr/>
        <w:t xml:space="preserve">(such as </w:t>
      </w:r>
      <w:r w:rsidR="00000000">
        <w:rPr/>
        <w:t xml:space="preserve">activity 2.1 for solar, 9.5 for cookstoves, 8.6 for EVs, 5.1–5.3 for </w:t>
      </w:r>
      <w:r w:rsidR="00000000">
        <w:rPr/>
        <w:t>agri</w:t>
      </w:r>
      <w:r w:rsidR="00000000">
        <w:rPr/>
        <w:t xml:space="preserve"> mitigation</w:t>
      </w:r>
      <w:r w:rsidR="12A6546E">
        <w:rPr/>
        <w:t>)</w:t>
      </w:r>
    </w:p>
    <w:p w:rsidR="004E4A14" w:rsidRDefault="00000000" w14:paraId="3BD49E09" w14:textId="77777777">
      <w:pPr>
        <w:pStyle w:val="Heading3"/>
      </w:pPr>
      <w:r>
        <w:t>Geographic climate risk assessment</w:t>
      </w:r>
    </w:p>
    <w:p w:rsidR="004E4A14" w:rsidRDefault="00000000" w14:paraId="66BFA4DF" w14:textId="77777777">
      <w:pPr>
        <w:spacing w:before="80" w:after="140"/>
      </w:pPr>
      <w:r>
        <w:t>Using ki score’s geo-tagging capability, we assess the originator’s exposure to climate-vulnerable geographies — what share of their borrower base sits in areas with high drought risk, flood exposure, or significant climate-driven income volatility. This feeds the Climate Resilient and Vulnerable classification.</w:t>
      </w:r>
    </w:p>
    <w:p w:rsidR="004E4A14" w:rsidRDefault="00000000" w14:paraId="6124FB8A" w14:textId="77777777">
      <w:pPr>
        <w:pStyle w:val="Heading3"/>
      </w:pPr>
      <w:r>
        <w:t>Paris alignment screen</w:t>
      </w:r>
    </w:p>
    <w:p w:rsidR="004E4A14" w:rsidP="65C38002" w:rsidRDefault="004E4A14" w14:paraId="4DDB456A" w14:textId="794A2CD1">
      <w:pPr>
        <w:spacing w:before="80" w:after="140"/>
      </w:pPr>
      <w:r w:rsidR="00000000">
        <w:rPr/>
        <w:t xml:space="preserve">We run a negative screen against the Common Principles exclusion list — confirming no material exposure to fossil fuel supply chain lending, coal-related financing, or activities driving deforestation. </w:t>
      </w:r>
    </w:p>
    <w:p w:rsidR="004E4A14" w:rsidRDefault="00000000" w14:paraId="7002D5BC" w14:textId="77777777">
      <w:pPr>
        <w:pStyle w:val="Heading1"/>
      </w:pPr>
      <w:r>
        <w:t>4. Ki Score and Climate: Model and Monitoring</w:t>
      </w:r>
    </w:p>
    <w:p w:rsidR="004E4A14" w:rsidRDefault="00000000" w14:paraId="37CE9285" w14:textId="62CAD07E">
      <w:pPr>
        <w:spacing w:before="80" w:after="140"/>
      </w:pPr>
      <w:r w:rsidR="00000000">
        <w:rPr/>
        <w:t xml:space="preserve">ki score </w:t>
      </w:r>
      <w:r w:rsidR="7B24EF2E">
        <w:rPr/>
        <w:t xml:space="preserve">and ki monitor are </w:t>
      </w:r>
      <w:r w:rsidR="00000000">
        <w:rPr/>
        <w:t>Kaleidofin’s</w:t>
      </w:r>
      <w:r w:rsidR="00000000">
        <w:rPr/>
        <w:t xml:space="preserve"> core credit assessment and monitoring infrastructure. </w:t>
      </w:r>
      <w:r w:rsidR="0501E40C">
        <w:rPr/>
        <w:t>This</w:t>
      </w:r>
      <w:r w:rsidR="00000000">
        <w:rPr/>
        <w:t xml:space="preserve"> aggregates</w:t>
      </w:r>
      <w:r w:rsidR="00000000">
        <w:rPr/>
        <w:t xml:space="preserve"> granular customer and loan-level data from originators to produce portfolio quality scores, early warning indicators, and performance analytics. The climate layer is built into how the platform reads portfolio data.</w:t>
      </w:r>
    </w:p>
    <w:p w:rsidR="004E4A14" w:rsidRDefault="00000000" w14:paraId="0AD7D0A9" w14:textId="5566AEA5">
      <w:pPr>
        <w:pStyle w:val="Heading2"/>
      </w:pPr>
      <w:commentRangeStart w:id="212899046"/>
      <w:r w:rsidR="00000000">
        <w:rPr/>
        <w:t>Climate Risk in the Credit Model</w:t>
      </w:r>
      <w:r w:rsidR="3C8A87E4">
        <w:rPr/>
        <w:t xml:space="preserve"> [Team to add more]</w:t>
      </w:r>
      <w:commentRangeEnd w:id="212899046"/>
      <w:r>
        <w:rPr>
          <w:rStyle w:val="CommentReference"/>
        </w:rPr>
        <w:commentReference w:id="212899046"/>
      </w:r>
    </w:p>
    <w:p w:rsidR="004E4A14" w:rsidRDefault="00000000" w14:paraId="25C7D078" w14:textId="7AC01880">
      <w:pPr>
        <w:spacing w:before="80" w:after="140"/>
      </w:pPr>
      <w:r w:rsidR="00000000">
        <w:rPr/>
        <w:t xml:space="preserve">Geographic tagging maps every borrower to a climate risk zone based on historical weather event data and vulnerability indices, giving a live read on portfolio exposure to elevated-risk areas. Seasonal adjustment accounts for agricultural income patterns in </w:t>
      </w:r>
      <w:r w:rsidR="00000000">
        <w:rPr/>
        <w:t>agri</w:t>
      </w:r>
      <w:r w:rsidR="00000000">
        <w:rPr/>
        <w:t>-dependent segments, so repayment stress that is seasonal is correctly identified as such, and stress that exceeds seasonal norms is flagged as a potential climate event signal.</w:t>
      </w:r>
    </w:p>
    <w:p w:rsidR="004E4A14" w:rsidRDefault="00000000" w14:paraId="7D955253" w14:textId="121D956F">
      <w:pPr>
        <w:pStyle w:val="Heading2"/>
      </w:pPr>
      <w:r w:rsidR="00000000">
        <w:rPr/>
        <w:t>Early Warning Indicators on Ki Monitor</w:t>
      </w:r>
      <w:r w:rsidR="0431069F">
        <w:rPr/>
        <w:t xml:space="preserve"> [Team to add]</w:t>
      </w:r>
    </w:p>
    <w:p w:rsidR="004E4A14" w:rsidRDefault="00000000" w14:paraId="648425F9" w14:textId="38AA7E58">
      <w:pPr>
        <w:pStyle w:val="ListParagraph"/>
        <w:numPr>
          <w:ilvl w:val="0"/>
          <w:numId w:val="2"/>
        </w:numPr>
        <w:spacing w:before="60" w:after="60"/>
        <w:rPr/>
      </w:pPr>
      <w:r w:rsidRPr="65C38002" w:rsidR="00000000">
        <w:rPr>
          <w:b w:val="1"/>
          <w:bCs w:val="1"/>
        </w:rPr>
        <w:t>Geographic concentration in high-risk zones:</w:t>
      </w:r>
      <w:r w:rsidR="00000000">
        <w:rPr/>
        <w:t xml:space="preserve"> significant portfolio concentration in a specific climate-risk corridor is flagged as correlated risk</w:t>
      </w:r>
    </w:p>
    <w:p w:rsidR="004E4A14" w:rsidRDefault="00000000" w14:paraId="3CB1A9FC" w14:textId="77777777">
      <w:pPr>
        <w:pStyle w:val="ListParagraph"/>
        <w:numPr>
          <w:ilvl w:val="0"/>
          <w:numId w:val="2"/>
        </w:numPr>
        <w:spacing w:before="60" w:after="60"/>
      </w:pPr>
      <w:r>
        <w:rPr>
          <w:b/>
          <w:bCs/>
        </w:rPr>
        <w:t>Seasonal repayment deviation:</w:t>
      </w:r>
      <w:r>
        <w:t xml:space="preserve"> repayment rates falling below the seasonal baseline for a given geography and time of year, particularly during periods that should correspond to harvest income.</w:t>
      </w:r>
    </w:p>
    <w:p w:rsidR="004E4A14" w:rsidRDefault="00000000" w14:paraId="06D2EAF0" w14:textId="77777777">
      <w:pPr>
        <w:pStyle w:val="ListParagraph"/>
        <w:numPr>
          <w:ilvl w:val="0"/>
          <w:numId w:val="2"/>
        </w:numPr>
        <w:spacing w:before="60" w:after="60"/>
      </w:pPr>
      <w:r>
        <w:rPr>
          <w:b/>
          <w:bCs/>
        </w:rPr>
        <w:t>Crop cycle alignment:</w:t>
      </w:r>
      <w:r>
        <w:t xml:space="preserve"> for </w:t>
      </w:r>
      <w:proofErr w:type="spellStart"/>
      <w:r>
        <w:t>agri</w:t>
      </w:r>
      <w:proofErr w:type="spellEnd"/>
      <w:r>
        <w:t>-lending portfolios, the model tracks whether repayment performance tracks expected crop cycle income patterns. Deviation in geographies with documented rainfall anomalies is flagged for review.</w:t>
      </w:r>
    </w:p>
    <w:p w:rsidR="004E4A14" w:rsidRDefault="00000000" w14:paraId="648BAA1D" w14:textId="77777777">
      <w:pPr>
        <w:pStyle w:val="ListParagraph"/>
        <w:numPr>
          <w:ilvl w:val="0"/>
          <w:numId w:val="2"/>
        </w:numPr>
        <w:spacing w:before="60" w:after="60"/>
      </w:pPr>
      <w:r>
        <w:rPr>
          <w:b/>
          <w:bCs/>
        </w:rPr>
        <w:t>Portfolio migration toward climate-exposed segments:</w:t>
      </w:r>
      <w:r>
        <w:t xml:space="preserve"> a shift toward a higher proportion of borrowers in high climate-risk geographies over time is tracked as gradual risk accumulation.</w:t>
      </w:r>
    </w:p>
    <w:p w:rsidR="004E4A14" w:rsidRDefault="00000000" w14:paraId="5D0A0BD3" w14:textId="46D28DDC">
      <w:pPr>
        <w:pStyle w:val="Heading2"/>
      </w:pPr>
      <w:r w:rsidR="129072CF">
        <w:rPr/>
        <w:t>Visibility into climate related g</w:t>
      </w:r>
      <w:r w:rsidR="00000000">
        <w:rPr/>
        <w:t xml:space="preserve">rowth </w:t>
      </w:r>
      <w:r w:rsidR="0D881FDD">
        <w:rPr/>
        <w:t>o</w:t>
      </w:r>
      <w:r w:rsidR="00000000">
        <w:rPr/>
        <w:t>pportunities</w:t>
      </w:r>
      <w:r w:rsidR="0D881FDD">
        <w:rPr/>
        <w:t xml:space="preserve"> on ki monitor</w:t>
      </w:r>
      <w:commentRangeStart w:id="781426099"/>
      <w:commentRangeEnd w:id="781426099"/>
      <w:r>
        <w:rPr>
          <w:rStyle w:val="CommentReference"/>
        </w:rPr>
        <w:commentReference w:id="781426099"/>
      </w:r>
    </w:p>
    <w:p w:rsidR="70E0206D" w:rsidP="65C38002" w:rsidRDefault="70E0206D" w14:paraId="6C995A4F" w14:textId="2ED19137">
      <w:pPr>
        <w:pStyle w:val="Normal"/>
        <w:suppressLineNumbers w:val="0"/>
        <w:bidi w:val="0"/>
        <w:spacing w:before="60" w:beforeAutospacing="off" w:after="60" w:afterAutospacing="off" w:line="259" w:lineRule="auto"/>
        <w:ind w:left="0" w:right="0"/>
        <w:jc w:val="left"/>
      </w:pPr>
      <w:r w:rsidR="70E0206D">
        <w:rPr/>
        <w:t>[To be added]</w:t>
      </w:r>
    </w:p>
    <w:p w:rsidR="004E4A14" w:rsidRDefault="00000000" w14:paraId="6D6EC391" w14:textId="77777777">
      <w:pPr>
        <w:pStyle w:val="Heading1"/>
      </w:pPr>
      <w:r>
        <w:t>5. Impact Metrics: What We Track on Ki Monitor</w:t>
      </w:r>
    </w:p>
    <w:p w:rsidR="004E4A14" w:rsidRDefault="00000000" w14:paraId="4D517F98" w14:textId="77777777">
      <w:pPr>
        <w:pStyle w:val="Heading2"/>
      </w:pPr>
      <w:r>
        <w:t>Portfolio-Level Dashboard</w:t>
      </w:r>
    </w:p>
    <w:tbl>
      <w:tblPr>
        <w:tblW w:w="9482" w:type="dxa"/>
        <w:tblInd w:w="-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482"/>
      </w:tblGrid>
      <w:tr w:rsidR="004E4A14" w:rsidTr="65C38002" w14:paraId="24B9D56A" w14:textId="77777777">
        <w:tblPrEx>
          <w:tblCellMar>
            <w:top w:w="0" w:type="dxa"/>
            <w:bottom w:w="0" w:type="dxa"/>
          </w:tblCellMar>
        </w:tblPrEx>
        <w:tc>
          <w:tcPr>
            <w:tcW w:w="9482" w:type="dxa"/>
            <w:tcBorders>
              <w:top w:val="single" w:color="CCCCCC" w:sz="1" w:space="0"/>
              <w:left w:val="single" w:color="CCCCCC" w:sz="1" w:space="0"/>
              <w:bottom w:val="single" w:color="CCCCCC" w:sz="1" w:space="0"/>
              <w:right w:val="single" w:color="CCCCCC" w:sz="1" w:space="0"/>
            </w:tcBorders>
            <w:shd w:val="clear" w:color="auto" w:fill="404040" w:themeFill="text1" w:themeFillTint="BF"/>
            <w:tcMar>
              <w:top w:w="100" w:type="dxa"/>
              <w:left w:w="140" w:type="dxa"/>
              <w:bottom w:w="100" w:type="dxa"/>
              <w:right w:w="140" w:type="dxa"/>
            </w:tcMar>
          </w:tcPr>
          <w:p w:rsidR="004E4A14" w:rsidRDefault="00000000" w14:paraId="4A98D60A" w14:textId="77777777">
            <w:r>
              <w:rPr>
                <w:b/>
                <w:bCs/>
                <w:color w:val="FFFFFF"/>
                <w:sz w:val="21"/>
                <w:szCs w:val="21"/>
              </w:rPr>
              <w:t>Metric</w:t>
            </w:r>
          </w:p>
        </w:tc>
      </w:tr>
      <w:tr w:rsidR="004E4A14" w:rsidTr="65C38002" w14:paraId="0DD53471" w14:textId="77777777">
        <w:tblPrEx>
          <w:tblCellMar>
            <w:top w:w="0" w:type="dxa"/>
            <w:bottom w:w="0" w:type="dxa"/>
          </w:tblCellMar>
        </w:tblPrEx>
        <w:tc>
          <w:tcPr>
            <w:tcW w:w="9482" w:type="dxa"/>
            <w:tcBorders>
              <w:top w:val="single" w:color="CCCCCC" w:sz="1" w:space="0"/>
              <w:left w:val="single" w:color="CCCCCC" w:sz="1" w:space="0"/>
              <w:bottom w:val="single" w:color="CCCCCC" w:sz="1" w:space="0"/>
              <w:right w:val="single" w:color="CCCCCC" w:sz="1" w:space="0"/>
            </w:tcBorders>
            <w:shd w:val="clear" w:color="auto" w:fill="F2F2F2" w:themeFill="background1" w:themeFillShade="F2"/>
            <w:tcMar>
              <w:top w:w="100" w:type="dxa"/>
              <w:left w:w="140" w:type="dxa"/>
              <w:bottom w:w="100" w:type="dxa"/>
              <w:right w:w="140" w:type="dxa"/>
            </w:tcMar>
          </w:tcPr>
          <w:p w:rsidR="004E4A14" w:rsidRDefault="00000000" w14:paraId="083CF890" w14:textId="77777777">
            <w:r>
              <w:rPr>
                <w:color w:val="1F2D3D"/>
                <w:sz w:val="21"/>
                <w:szCs w:val="21"/>
              </w:rPr>
              <w:t>Climate mitigation finance share of deployed capital (%)</w:t>
            </w:r>
          </w:p>
        </w:tc>
      </w:tr>
      <w:tr w:rsidR="004E4A14" w:rsidTr="65C38002" w14:paraId="0ED92957" w14:textId="77777777">
        <w:tblPrEx>
          <w:tblCellMar>
            <w:top w:w="0" w:type="dxa"/>
            <w:bottom w:w="0" w:type="dxa"/>
          </w:tblCellMar>
        </w:tblPrEx>
        <w:tc>
          <w:tcPr>
            <w:tcW w:w="9482"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100" w:type="dxa"/>
              <w:left w:w="140" w:type="dxa"/>
              <w:bottom w:w="100" w:type="dxa"/>
              <w:right w:w="140" w:type="dxa"/>
            </w:tcMar>
          </w:tcPr>
          <w:p w:rsidR="004E4A14" w:rsidP="65C38002" w:rsidRDefault="00000000" w14:paraId="474982C8" w14:textId="07B18ADF">
            <w:pPr>
              <w:rPr>
                <w:color w:val="1F2D3D"/>
                <w:sz w:val="21"/>
                <w:szCs w:val="21"/>
              </w:rPr>
            </w:pPr>
            <w:r w:rsidRPr="65C38002" w:rsidR="00000000">
              <w:rPr>
                <w:color w:val="1F2D3D"/>
                <w:sz w:val="21"/>
                <w:szCs w:val="21"/>
              </w:rPr>
              <w:t>Absolute climate finance deployed (USD) vs target</w:t>
            </w:r>
            <w:r w:rsidRPr="65C38002" w:rsidR="36D94236">
              <w:rPr>
                <w:color w:val="1F2D3D"/>
                <w:sz w:val="21"/>
                <w:szCs w:val="21"/>
              </w:rPr>
              <w:t xml:space="preserve"> for specific projects such as the Kaleidofin Africa Catalyst Debt Vehicle</w:t>
            </w:r>
          </w:p>
        </w:tc>
      </w:tr>
      <w:tr w:rsidR="004E4A14" w:rsidTr="65C38002" w14:paraId="6E0192A9" w14:textId="77777777">
        <w:tblPrEx>
          <w:tblCellMar>
            <w:top w:w="0" w:type="dxa"/>
            <w:bottom w:w="0" w:type="dxa"/>
          </w:tblCellMar>
        </w:tblPrEx>
        <w:tc>
          <w:tcPr>
            <w:tcW w:w="9482" w:type="dxa"/>
            <w:tcBorders>
              <w:top w:val="single" w:color="CCCCCC" w:sz="1" w:space="0"/>
              <w:left w:val="single" w:color="CCCCCC" w:sz="1" w:space="0"/>
              <w:bottom w:val="single" w:color="CCCCCC" w:sz="1" w:space="0"/>
              <w:right w:val="single" w:color="CCCCCC" w:sz="1" w:space="0"/>
            </w:tcBorders>
            <w:shd w:val="clear" w:color="auto" w:fill="F2F2F2" w:themeFill="background1" w:themeFillShade="F2"/>
            <w:tcMar>
              <w:top w:w="100" w:type="dxa"/>
              <w:left w:w="140" w:type="dxa"/>
              <w:bottom w:w="100" w:type="dxa"/>
              <w:right w:w="140" w:type="dxa"/>
            </w:tcMar>
          </w:tcPr>
          <w:p w:rsidR="004E4A14" w:rsidRDefault="00000000" w14:paraId="3C13AA19" w14:textId="77777777">
            <w:r>
              <w:rPr>
                <w:color w:val="1F2D3D"/>
                <w:sz w:val="21"/>
                <w:szCs w:val="21"/>
              </w:rPr>
              <w:lastRenderedPageBreak/>
              <w:t>Climate impact lending by category (USD) — Positive / Resilient / Vulnerable</w:t>
            </w:r>
          </w:p>
        </w:tc>
      </w:tr>
      <w:tr w:rsidR="004E4A14" w:rsidTr="65C38002" w14:paraId="2897454F" w14:textId="77777777">
        <w:tblPrEx>
          <w:tblCellMar>
            <w:top w:w="0" w:type="dxa"/>
            <w:bottom w:w="0" w:type="dxa"/>
          </w:tblCellMar>
        </w:tblPrEx>
        <w:tc>
          <w:tcPr>
            <w:tcW w:w="9482"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100" w:type="dxa"/>
              <w:left w:w="140" w:type="dxa"/>
              <w:bottom w:w="100" w:type="dxa"/>
              <w:right w:w="140" w:type="dxa"/>
            </w:tcMar>
          </w:tcPr>
          <w:p w:rsidR="004E4A14" w:rsidRDefault="00000000" w14:paraId="4D6453B5" w14:textId="77777777">
            <w:r>
              <w:rPr>
                <w:color w:val="1F2D3D"/>
                <w:sz w:val="21"/>
                <w:szCs w:val="21"/>
              </w:rPr>
              <w:t>Originators by climate category</w:t>
            </w:r>
          </w:p>
        </w:tc>
      </w:tr>
      <w:tr w:rsidR="004E4A14" w:rsidTr="65C38002" w14:paraId="60E74F5E" w14:textId="77777777">
        <w:tblPrEx>
          <w:tblCellMar>
            <w:top w:w="0" w:type="dxa"/>
            <w:bottom w:w="0" w:type="dxa"/>
          </w:tblCellMar>
        </w:tblPrEx>
        <w:tc>
          <w:tcPr>
            <w:tcW w:w="9482" w:type="dxa"/>
            <w:tcBorders>
              <w:top w:val="single" w:color="CCCCCC" w:sz="1" w:space="0"/>
              <w:left w:val="single" w:color="CCCCCC" w:sz="1" w:space="0"/>
              <w:bottom w:val="single" w:color="CCCCCC" w:sz="1" w:space="0"/>
              <w:right w:val="single" w:color="CCCCCC" w:sz="1" w:space="0"/>
            </w:tcBorders>
            <w:shd w:val="clear" w:color="auto" w:fill="F2F2F2" w:themeFill="background1" w:themeFillShade="F2"/>
            <w:tcMar>
              <w:top w:w="100" w:type="dxa"/>
              <w:left w:w="140" w:type="dxa"/>
              <w:bottom w:w="100" w:type="dxa"/>
              <w:right w:w="140" w:type="dxa"/>
            </w:tcMar>
          </w:tcPr>
          <w:p w:rsidR="004E4A14" w:rsidRDefault="00000000" w14:paraId="4E4AA6B7" w14:textId="77777777">
            <w:r>
              <w:rPr>
                <w:color w:val="1F2D3D"/>
                <w:sz w:val="21"/>
                <w:szCs w:val="21"/>
              </w:rPr>
              <w:t>Early warning flags active</w:t>
            </w:r>
          </w:p>
        </w:tc>
      </w:tr>
    </w:tbl>
    <w:p w:rsidR="004E4A14" w:rsidRDefault="004E4A14" w14:paraId="24DCAAB5" w14:textId="77777777">
      <w:pPr>
        <w:spacing w:before="160"/>
      </w:pPr>
    </w:p>
    <w:p w:rsidR="004E4A14" w:rsidRDefault="00000000" w14:paraId="09B10606" w14:textId="77777777">
      <w:pPr>
        <w:pStyle w:val="Heading2"/>
      </w:pPr>
      <w:r>
        <w:t>Impact Metrics Reported</w:t>
      </w:r>
    </w:p>
    <w:p w:rsidR="004E4A14" w:rsidRDefault="00000000" w14:paraId="6740D31E" w14:textId="77777777">
      <w:pPr>
        <w:pStyle w:val="ListParagraph"/>
        <w:numPr>
          <w:ilvl w:val="0"/>
          <w:numId w:val="2"/>
        </w:numPr>
        <w:spacing w:before="60" w:after="60"/>
      </w:pPr>
      <w:r>
        <w:t>Climate mitigation finance share (%) — Common Principles basis, Climate Positive only</w:t>
      </w:r>
    </w:p>
    <w:p w:rsidR="004E4A14" w:rsidRDefault="00000000" w14:paraId="3CF015EB" w14:textId="77777777">
      <w:pPr>
        <w:pStyle w:val="ListParagraph"/>
        <w:numPr>
          <w:ilvl w:val="0"/>
          <w:numId w:val="2"/>
        </w:numPr>
        <w:spacing w:before="60" w:after="60"/>
      </w:pPr>
      <w:r>
        <w:t>Total climate impact lending (USD) by category — Positive / Resilient / Vulnerable</w:t>
      </w:r>
    </w:p>
    <w:p w:rsidR="004E4A14" w:rsidRDefault="00000000" w14:paraId="6185A10D" w14:textId="77777777">
      <w:pPr>
        <w:pStyle w:val="ListParagraph"/>
        <w:numPr>
          <w:ilvl w:val="0"/>
          <w:numId w:val="2"/>
        </w:numPr>
        <w:spacing w:before="60" w:after="60"/>
      </w:pPr>
      <w:r>
        <w:t xml:space="preserve">Number of </w:t>
      </w:r>
      <w:proofErr w:type="spellStart"/>
      <w:r>
        <w:t>agri</w:t>
      </w:r>
      <w:proofErr w:type="spellEnd"/>
      <w:r>
        <w:t>-households reached through Climate Resilient products</w:t>
      </w:r>
    </w:p>
    <w:p w:rsidR="004E4A14" w:rsidRDefault="00000000" w14:paraId="7BAC9E4F" w14:textId="72B6C572">
      <w:pPr>
        <w:pStyle w:val="ListParagraph"/>
        <w:numPr>
          <w:ilvl w:val="0"/>
          <w:numId w:val="2"/>
        </w:numPr>
        <w:spacing w:before="60" w:after="60"/>
        <w:rPr/>
      </w:pPr>
      <w:r w:rsidR="00000000">
        <w:rPr/>
        <w:t>Number of borrowers in Climate Vulnerable segments receiving credit</w:t>
      </w:r>
    </w:p>
    <w:p w:rsidR="004E4A14" w:rsidRDefault="00000000" w14:paraId="28422839" w14:textId="77777777">
      <w:pPr>
        <w:pStyle w:val="ListParagraph"/>
        <w:numPr>
          <w:ilvl w:val="0"/>
          <w:numId w:val="2"/>
        </w:numPr>
        <w:spacing w:before="60" w:after="60"/>
      </w:pPr>
      <w:r>
        <w:t>Share of female borrowers within climate-impacted segments (%)</w:t>
      </w:r>
    </w:p>
    <w:p w:rsidR="004E4A14" w:rsidP="65C38002" w:rsidRDefault="004E4A14" w14:paraId="4571D60A" w14:textId="188B3FD3">
      <w:pPr>
        <w:pStyle w:val="ListParagraph"/>
        <w:numPr>
          <w:ilvl w:val="0"/>
          <w:numId w:val="2"/>
        </w:numPr>
        <w:spacing w:before="60" w:after="60"/>
        <w:rPr/>
      </w:pPr>
      <w:r w:rsidR="00000000">
        <w:rPr/>
        <w:t>Estimated CO2e avoided or sequestered — proxy-based, using published emissions factors for solar, cookstoves, and EVs</w:t>
      </w:r>
    </w:p>
    <w:p w:rsidR="004E4A14" w:rsidRDefault="00000000" w14:paraId="3B2D16A6" w14:textId="51607CEB">
      <w:pPr>
        <w:pStyle w:val="Heading1"/>
      </w:pPr>
      <w:r w:rsidR="00000000">
        <w:rPr/>
        <w:t>6. Climate Finance Targets</w:t>
      </w:r>
      <w:r w:rsidR="516C5429">
        <w:rPr/>
        <w:t xml:space="preserve"> [To check]</w:t>
      </w:r>
    </w:p>
    <w:p w:rsidR="004E4A14" w:rsidRDefault="00000000" w14:paraId="4BCAB00D" w14:textId="1B9C759C">
      <w:pPr>
        <w:spacing w:before="80" w:after="140"/>
      </w:pPr>
      <w:r w:rsidR="00000000">
        <w:rPr/>
        <w:t xml:space="preserve">Kaleidofin Africa is </w:t>
      </w:r>
      <w:r w:rsidR="00000000">
        <w:rPr/>
        <w:t>establishing</w:t>
      </w:r>
      <w:r w:rsidR="00000000">
        <w:rPr/>
        <w:t xml:space="preserve"> climate finance targets at two levels: for the Debt Vehicle and for the platform’s Africa </w:t>
      </w:r>
      <w:r w:rsidR="00000000">
        <w:rPr/>
        <w:t>operations as a whole</w:t>
      </w:r>
      <w:r w:rsidR="00000000">
        <w:rPr/>
        <w:t xml:space="preserve">. </w:t>
      </w:r>
    </w:p>
    <w:p w:rsidR="004E4A14" w:rsidRDefault="00000000" w14:paraId="39D0C315" w14:textId="7F35F80B">
      <w:pPr>
        <w:pStyle w:val="ListParagraph"/>
        <w:numPr>
          <w:ilvl w:val="0"/>
          <w:numId w:val="2"/>
        </w:numPr>
        <w:spacing w:before="60" w:after="60"/>
        <w:rPr/>
      </w:pPr>
      <w:r w:rsidRPr="65C38002" w:rsidR="00000000">
        <w:rPr>
          <w:b w:val="1"/>
          <w:bCs w:val="1"/>
        </w:rPr>
        <w:t xml:space="preserve">Debt Vehicle </w:t>
      </w:r>
      <w:r w:rsidRPr="65C38002" w:rsidR="00000000">
        <w:rPr>
          <w:b w:val="1"/>
          <w:bCs w:val="1"/>
        </w:rPr>
        <w:t>minimum</w:t>
      </w:r>
      <w:r w:rsidRPr="65C38002" w:rsidR="00000000">
        <w:rPr>
          <w:b w:val="1"/>
          <w:bCs w:val="1"/>
        </w:rPr>
        <w:t xml:space="preserve"> climate finance deployment:</w:t>
      </w:r>
      <w:r w:rsidR="00000000">
        <w:rPr/>
        <w:t xml:space="preserve"> [minimum allocation toward Climate </w:t>
      </w:r>
      <w:r w:rsidR="2A33EFD9">
        <w:rPr/>
        <w:t>finance ]</w:t>
      </w:r>
    </w:p>
    <w:p w:rsidR="004E4A14" w:rsidRDefault="00000000" w14:paraId="4F4CE66C" w14:textId="77777777">
      <w:pPr>
        <w:pStyle w:val="ListParagraph"/>
        <w:numPr>
          <w:ilvl w:val="0"/>
          <w:numId w:val="2"/>
        </w:numPr>
        <w:spacing w:before="60" w:after="60"/>
      </w:pPr>
      <w:r>
        <w:rPr>
          <w:b/>
          <w:bCs/>
        </w:rPr>
        <w:t>Climate Resilient and Vulnerable borrower reach:</w:t>
      </w:r>
      <w:r>
        <w:t xml:space="preserve"> [minimum number of </w:t>
      </w:r>
      <w:proofErr w:type="spellStart"/>
      <w:r>
        <w:t>agri</w:t>
      </w:r>
      <w:proofErr w:type="spellEnd"/>
      <w:r>
        <w:t>-households and climate-vulnerable borrowers to be reached over the Vehicle’s investment period]</w:t>
      </w:r>
    </w:p>
    <w:p w:rsidR="004E4A14" w:rsidP="65C38002" w:rsidRDefault="004E4A14" w14:paraId="6A45615C" w14:textId="3A1206F2">
      <w:pPr>
        <w:pStyle w:val="ListParagraph"/>
        <w:numPr>
          <w:ilvl w:val="0"/>
          <w:numId w:val="2"/>
        </w:numPr>
        <w:spacing w:before="60" w:after="60"/>
        <w:rPr/>
      </w:pPr>
      <w:r w:rsidRPr="65C38002" w:rsidR="00000000">
        <w:rPr>
          <w:b w:val="1"/>
          <w:bCs w:val="1"/>
        </w:rPr>
        <w:t>Platform-wide climate impact lending growth:</w:t>
      </w:r>
      <w:r w:rsidR="00000000">
        <w:rPr/>
        <w:t xml:space="preserve"> [trajectory target building on the FY23–FY26 baseline, to be confirmed as part of the broader Africa strategy]</w:t>
      </w:r>
    </w:p>
    <w:p w:rsidR="004E4A14" w:rsidRDefault="00000000" w14:paraId="02B5032E" w14:textId="77777777">
      <w:pPr>
        <w:pStyle w:val="Heading1"/>
      </w:pPr>
      <w:r w:rsidR="00000000">
        <w:rPr/>
        <w:t>7. Forward Plan: Climate Securitisation</w:t>
      </w:r>
    </w:p>
    <w:p w:rsidR="004E4A14" w:rsidRDefault="00000000" w14:paraId="5C93D987" w14:textId="1F726139">
      <w:pPr>
        <w:spacing w:before="80" w:after="140"/>
      </w:pPr>
      <w:r w:rsidR="7203BCA1">
        <w:rPr/>
        <w:t xml:space="preserve">To add any potential developments in climate assessment we are working towards </w:t>
      </w:r>
      <w:r w:rsidR="24BD8FA2">
        <w:rPr/>
        <w:t>[Any certifications?]</w:t>
      </w:r>
    </w:p>
    <w:p w:rsidR="004E4A14" w:rsidRDefault="00000000" w14:paraId="0E2D1B10" w14:textId="77777777">
      <w:pPr>
        <w:pStyle w:val="Heading1"/>
      </w:pPr>
      <w:r>
        <w:t>8. What the Data Is Already Showing</w:t>
      </w:r>
    </w:p>
    <w:p w:rsidR="004E4A14" w:rsidRDefault="00000000" w14:paraId="7373E0DE" w14:textId="77777777">
      <w:pPr>
        <w:pStyle w:val="Heading2"/>
      </w:pPr>
      <w:r>
        <w:t>Climate impact lending — baseline trajectory</w:t>
      </w:r>
    </w:p>
    <w:p w:rsidR="004E4A14" w:rsidRDefault="00000000" w14:paraId="3F869D5C" w14:textId="77777777">
      <w:pPr>
        <w:spacing w:before="80" w:after="140"/>
      </w:pPr>
      <w:r>
        <w:t>Tracked climate impact lending across the originator network has grown approximately fivefold from FY23 to FY26 (estimated):</w:t>
      </w:r>
    </w:p>
    <w:tbl>
      <w:tblPr>
        <w:tblW w:w="9360" w:type="dxa"/>
        <w:tblInd w:w="-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700"/>
        <w:gridCol w:w="1665"/>
        <w:gridCol w:w="1665"/>
        <w:gridCol w:w="1665"/>
        <w:gridCol w:w="1665"/>
      </w:tblGrid>
      <w:tr w:rsidR="004E4A14" w:rsidTr="65C38002" w14:paraId="5777807F" w14:textId="77777777">
        <w:tblPrEx>
          <w:tblCellMar>
            <w:top w:w="0" w:type="dxa"/>
            <w:bottom w:w="0" w:type="dxa"/>
          </w:tblCellMar>
        </w:tblPrEx>
        <w:tc>
          <w:tcPr>
            <w:tcW w:w="2700" w:type="dxa"/>
            <w:tcBorders>
              <w:top w:val="single" w:color="CCCCCC" w:sz="1" w:space="0"/>
              <w:left w:val="single" w:color="CCCCCC" w:sz="1" w:space="0"/>
              <w:bottom w:val="single" w:color="CCCCCC" w:sz="1" w:space="0"/>
              <w:right w:val="single" w:color="CCCCCC" w:sz="1" w:space="0"/>
            </w:tcBorders>
            <w:shd w:val="clear" w:color="auto" w:fill="404040" w:themeFill="text1" w:themeFillTint="BF"/>
            <w:tcMar>
              <w:top w:w="100" w:type="dxa"/>
              <w:left w:w="140" w:type="dxa"/>
              <w:bottom w:w="100" w:type="dxa"/>
              <w:right w:w="140" w:type="dxa"/>
            </w:tcMar>
          </w:tcPr>
          <w:p w:rsidR="004E4A14" w:rsidRDefault="00000000" w14:paraId="2A4F9DE0" w14:textId="77777777">
            <w:r>
              <w:rPr>
                <w:b/>
                <w:bCs/>
                <w:color w:val="FFFFFF"/>
                <w:sz w:val="21"/>
                <w:szCs w:val="21"/>
              </w:rPr>
              <w:t>Category</w:t>
            </w:r>
          </w:p>
        </w:tc>
        <w:tc>
          <w:tcPr>
            <w:tcW w:w="1665" w:type="dxa"/>
            <w:tcBorders>
              <w:top w:val="single" w:color="CCCCCC" w:sz="1" w:space="0"/>
              <w:left w:val="single" w:color="CCCCCC" w:sz="1" w:space="0"/>
              <w:bottom w:val="single" w:color="CCCCCC" w:sz="1" w:space="0"/>
              <w:right w:val="single" w:color="CCCCCC" w:sz="1" w:space="0"/>
            </w:tcBorders>
            <w:shd w:val="clear" w:color="auto" w:fill="404040" w:themeFill="text1" w:themeFillTint="BF"/>
            <w:tcMar>
              <w:top w:w="100" w:type="dxa"/>
              <w:left w:w="140" w:type="dxa"/>
              <w:bottom w:w="100" w:type="dxa"/>
              <w:right w:w="140" w:type="dxa"/>
            </w:tcMar>
          </w:tcPr>
          <w:p w:rsidR="004E4A14" w:rsidRDefault="00000000" w14:paraId="4B6870D8" w14:textId="77777777">
            <w:r>
              <w:rPr>
                <w:b/>
                <w:bCs/>
                <w:color w:val="FFFFFF"/>
                <w:sz w:val="21"/>
                <w:szCs w:val="21"/>
              </w:rPr>
              <w:t>FY23</w:t>
            </w:r>
          </w:p>
        </w:tc>
        <w:tc>
          <w:tcPr>
            <w:tcW w:w="1665" w:type="dxa"/>
            <w:tcBorders>
              <w:top w:val="single" w:color="CCCCCC" w:sz="1" w:space="0"/>
              <w:left w:val="single" w:color="CCCCCC" w:sz="1" w:space="0"/>
              <w:bottom w:val="single" w:color="CCCCCC" w:sz="1" w:space="0"/>
              <w:right w:val="single" w:color="CCCCCC" w:sz="1" w:space="0"/>
            </w:tcBorders>
            <w:shd w:val="clear" w:color="auto" w:fill="404040" w:themeFill="text1" w:themeFillTint="BF"/>
            <w:tcMar>
              <w:top w:w="100" w:type="dxa"/>
              <w:left w:w="140" w:type="dxa"/>
              <w:bottom w:w="100" w:type="dxa"/>
              <w:right w:w="140" w:type="dxa"/>
            </w:tcMar>
          </w:tcPr>
          <w:p w:rsidR="004E4A14" w:rsidRDefault="00000000" w14:paraId="00BDD97A" w14:textId="77777777">
            <w:r>
              <w:rPr>
                <w:b/>
                <w:bCs/>
                <w:color w:val="FFFFFF"/>
                <w:sz w:val="21"/>
                <w:szCs w:val="21"/>
              </w:rPr>
              <w:t>FY24</w:t>
            </w:r>
          </w:p>
        </w:tc>
        <w:tc>
          <w:tcPr>
            <w:tcW w:w="1665" w:type="dxa"/>
            <w:tcBorders>
              <w:top w:val="single" w:color="CCCCCC" w:sz="1" w:space="0"/>
              <w:left w:val="single" w:color="CCCCCC" w:sz="1" w:space="0"/>
              <w:bottom w:val="single" w:color="CCCCCC" w:sz="1" w:space="0"/>
              <w:right w:val="single" w:color="CCCCCC" w:sz="1" w:space="0"/>
            </w:tcBorders>
            <w:shd w:val="clear" w:color="auto" w:fill="404040" w:themeFill="text1" w:themeFillTint="BF"/>
            <w:tcMar>
              <w:top w:w="100" w:type="dxa"/>
              <w:left w:w="140" w:type="dxa"/>
              <w:bottom w:w="100" w:type="dxa"/>
              <w:right w:w="140" w:type="dxa"/>
            </w:tcMar>
          </w:tcPr>
          <w:p w:rsidR="004E4A14" w:rsidRDefault="00000000" w14:paraId="0E4CC9FB" w14:textId="77777777">
            <w:r>
              <w:rPr>
                <w:b/>
                <w:bCs/>
                <w:color w:val="FFFFFF"/>
                <w:sz w:val="21"/>
                <w:szCs w:val="21"/>
              </w:rPr>
              <w:t>FY25</w:t>
            </w:r>
          </w:p>
        </w:tc>
        <w:tc>
          <w:tcPr>
            <w:tcW w:w="1665" w:type="dxa"/>
            <w:tcBorders>
              <w:top w:val="single" w:color="CCCCCC" w:sz="1" w:space="0"/>
              <w:left w:val="single" w:color="CCCCCC" w:sz="1" w:space="0"/>
              <w:bottom w:val="single" w:color="CCCCCC" w:sz="1" w:space="0"/>
              <w:right w:val="single" w:color="CCCCCC" w:sz="1" w:space="0"/>
            </w:tcBorders>
            <w:shd w:val="clear" w:color="auto" w:fill="404040" w:themeFill="text1" w:themeFillTint="BF"/>
            <w:tcMar>
              <w:top w:w="100" w:type="dxa"/>
              <w:left w:w="140" w:type="dxa"/>
              <w:bottom w:w="100" w:type="dxa"/>
              <w:right w:w="140" w:type="dxa"/>
            </w:tcMar>
          </w:tcPr>
          <w:p w:rsidR="004E4A14" w:rsidRDefault="00000000" w14:paraId="32ED5F8D" w14:textId="77777777">
            <w:r>
              <w:rPr>
                <w:b/>
                <w:bCs/>
                <w:color w:val="FFFFFF"/>
                <w:sz w:val="21"/>
                <w:szCs w:val="21"/>
              </w:rPr>
              <w:t>FY26 est.</w:t>
            </w:r>
          </w:p>
        </w:tc>
      </w:tr>
      <w:tr w:rsidR="004E4A14" w:rsidTr="65C38002" w14:paraId="2EAE2897" w14:textId="77777777">
        <w:tblPrEx>
          <w:tblCellMar>
            <w:top w:w="0" w:type="dxa"/>
            <w:bottom w:w="0" w:type="dxa"/>
          </w:tblCellMar>
        </w:tblPrEx>
        <w:tc>
          <w:tcPr>
            <w:tcW w:w="2700" w:type="dxa"/>
            <w:tcBorders>
              <w:top w:val="single" w:color="CCCCCC" w:sz="1" w:space="0"/>
              <w:left w:val="single" w:color="CCCCCC" w:sz="1" w:space="0"/>
              <w:bottom w:val="single" w:color="CCCCCC" w:sz="1" w:space="0"/>
              <w:right w:val="single" w:color="CCCCCC" w:sz="1" w:space="0"/>
            </w:tcBorders>
            <w:shd w:val="clear" w:color="auto" w:fill="F2F2F2" w:themeFill="background1" w:themeFillShade="F2"/>
            <w:tcMar>
              <w:top w:w="100" w:type="dxa"/>
              <w:left w:w="140" w:type="dxa"/>
              <w:bottom w:w="100" w:type="dxa"/>
              <w:right w:w="140" w:type="dxa"/>
            </w:tcMar>
          </w:tcPr>
          <w:p w:rsidR="004E4A14" w:rsidRDefault="00000000" w14:paraId="1E896949" w14:textId="77777777">
            <w:r>
              <w:rPr>
                <w:b/>
                <w:bCs/>
                <w:color w:val="1F2D3D"/>
                <w:sz w:val="21"/>
                <w:szCs w:val="21"/>
              </w:rPr>
              <w:t>Climate Resilient (USD Mn)</w:t>
            </w:r>
          </w:p>
        </w:tc>
        <w:tc>
          <w:tcPr>
            <w:tcW w:w="1665" w:type="dxa"/>
            <w:tcBorders>
              <w:top w:val="single" w:color="CCCCCC" w:sz="1" w:space="0"/>
              <w:left w:val="single" w:color="CCCCCC" w:sz="1" w:space="0"/>
              <w:bottom w:val="single" w:color="CCCCCC" w:sz="1" w:space="0"/>
              <w:right w:val="single" w:color="CCCCCC" w:sz="1" w:space="0"/>
            </w:tcBorders>
            <w:shd w:val="clear" w:color="auto" w:fill="F2F2F2" w:themeFill="background1" w:themeFillShade="F2"/>
            <w:tcMar>
              <w:top w:w="100" w:type="dxa"/>
              <w:left w:w="140" w:type="dxa"/>
              <w:bottom w:w="100" w:type="dxa"/>
              <w:right w:w="140" w:type="dxa"/>
            </w:tcMar>
          </w:tcPr>
          <w:p w:rsidR="004E4A14" w:rsidRDefault="00000000" w14:paraId="1898C8EC" w14:textId="77777777">
            <w:r>
              <w:rPr>
                <w:color w:val="1F2D3D"/>
                <w:sz w:val="21"/>
                <w:szCs w:val="21"/>
              </w:rPr>
              <w:t>0.22</w:t>
            </w:r>
          </w:p>
        </w:tc>
        <w:tc>
          <w:tcPr>
            <w:tcW w:w="1665" w:type="dxa"/>
            <w:tcBorders>
              <w:top w:val="single" w:color="CCCCCC" w:sz="1" w:space="0"/>
              <w:left w:val="single" w:color="CCCCCC" w:sz="1" w:space="0"/>
              <w:bottom w:val="single" w:color="CCCCCC" w:sz="1" w:space="0"/>
              <w:right w:val="single" w:color="CCCCCC" w:sz="1" w:space="0"/>
            </w:tcBorders>
            <w:shd w:val="clear" w:color="auto" w:fill="F2F2F2" w:themeFill="background1" w:themeFillShade="F2"/>
            <w:tcMar>
              <w:top w:w="100" w:type="dxa"/>
              <w:left w:w="140" w:type="dxa"/>
              <w:bottom w:w="100" w:type="dxa"/>
              <w:right w:w="140" w:type="dxa"/>
            </w:tcMar>
          </w:tcPr>
          <w:p w:rsidR="004E4A14" w:rsidRDefault="00000000" w14:paraId="3860D070" w14:textId="77777777">
            <w:r>
              <w:rPr>
                <w:color w:val="1F2D3D"/>
                <w:sz w:val="21"/>
                <w:szCs w:val="21"/>
              </w:rPr>
              <w:t>0.51</w:t>
            </w:r>
          </w:p>
        </w:tc>
        <w:tc>
          <w:tcPr>
            <w:tcW w:w="1665" w:type="dxa"/>
            <w:tcBorders>
              <w:top w:val="single" w:color="CCCCCC" w:sz="1" w:space="0"/>
              <w:left w:val="single" w:color="CCCCCC" w:sz="1" w:space="0"/>
              <w:bottom w:val="single" w:color="CCCCCC" w:sz="1" w:space="0"/>
              <w:right w:val="single" w:color="CCCCCC" w:sz="1" w:space="0"/>
            </w:tcBorders>
            <w:shd w:val="clear" w:color="auto" w:fill="F2F2F2" w:themeFill="background1" w:themeFillShade="F2"/>
            <w:tcMar>
              <w:top w:w="100" w:type="dxa"/>
              <w:left w:w="140" w:type="dxa"/>
              <w:bottom w:w="100" w:type="dxa"/>
              <w:right w:w="140" w:type="dxa"/>
            </w:tcMar>
          </w:tcPr>
          <w:p w:rsidR="004E4A14" w:rsidRDefault="00000000" w14:paraId="75293632" w14:textId="77777777">
            <w:r>
              <w:rPr>
                <w:color w:val="1F2D3D"/>
                <w:sz w:val="21"/>
                <w:szCs w:val="21"/>
              </w:rPr>
              <w:t>0.73</w:t>
            </w:r>
          </w:p>
        </w:tc>
        <w:tc>
          <w:tcPr>
            <w:tcW w:w="1665" w:type="dxa"/>
            <w:tcBorders>
              <w:top w:val="single" w:color="CCCCCC" w:sz="1" w:space="0"/>
              <w:left w:val="single" w:color="CCCCCC" w:sz="1" w:space="0"/>
              <w:bottom w:val="single" w:color="CCCCCC" w:sz="1" w:space="0"/>
              <w:right w:val="single" w:color="CCCCCC" w:sz="1" w:space="0"/>
            </w:tcBorders>
            <w:shd w:val="clear" w:color="auto" w:fill="F2F2F2" w:themeFill="background1" w:themeFillShade="F2"/>
            <w:tcMar>
              <w:top w:w="100" w:type="dxa"/>
              <w:left w:w="140" w:type="dxa"/>
              <w:bottom w:w="100" w:type="dxa"/>
              <w:right w:w="140" w:type="dxa"/>
            </w:tcMar>
          </w:tcPr>
          <w:p w:rsidR="004E4A14" w:rsidRDefault="00000000" w14:paraId="49111061" w14:textId="77777777">
            <w:r>
              <w:rPr>
                <w:color w:val="1F2D3D"/>
                <w:sz w:val="21"/>
                <w:szCs w:val="21"/>
              </w:rPr>
              <w:t>1.27</w:t>
            </w:r>
          </w:p>
        </w:tc>
      </w:tr>
      <w:tr w:rsidR="004E4A14" w:rsidTr="65C38002" w14:paraId="6E612FB9" w14:textId="77777777">
        <w:tblPrEx>
          <w:tblCellMar>
            <w:top w:w="0" w:type="dxa"/>
            <w:bottom w:w="0" w:type="dxa"/>
          </w:tblCellMar>
        </w:tblPrEx>
        <w:tc>
          <w:tcPr>
            <w:tcW w:w="27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100" w:type="dxa"/>
              <w:left w:w="140" w:type="dxa"/>
              <w:bottom w:w="100" w:type="dxa"/>
              <w:right w:w="140" w:type="dxa"/>
            </w:tcMar>
          </w:tcPr>
          <w:p w:rsidR="004E4A14" w:rsidRDefault="00000000" w14:paraId="6A57EA0A" w14:textId="77777777">
            <w:r>
              <w:rPr>
                <w:b/>
                <w:bCs/>
                <w:color w:val="1F2D3D"/>
                <w:sz w:val="21"/>
                <w:szCs w:val="21"/>
              </w:rPr>
              <w:t>Climate Vulnerable (USD Mn)</w:t>
            </w:r>
          </w:p>
        </w:tc>
        <w:tc>
          <w:tcPr>
            <w:tcW w:w="1665"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100" w:type="dxa"/>
              <w:left w:w="140" w:type="dxa"/>
              <w:bottom w:w="100" w:type="dxa"/>
              <w:right w:w="140" w:type="dxa"/>
            </w:tcMar>
          </w:tcPr>
          <w:p w:rsidR="004E4A14" w:rsidRDefault="00000000" w14:paraId="49BA82E2" w14:textId="77777777">
            <w:r>
              <w:rPr>
                <w:color w:val="1F2D3D"/>
                <w:sz w:val="21"/>
                <w:szCs w:val="21"/>
              </w:rPr>
              <w:t>0.09</w:t>
            </w:r>
          </w:p>
        </w:tc>
        <w:tc>
          <w:tcPr>
            <w:tcW w:w="1665"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100" w:type="dxa"/>
              <w:left w:w="140" w:type="dxa"/>
              <w:bottom w:w="100" w:type="dxa"/>
              <w:right w:w="140" w:type="dxa"/>
            </w:tcMar>
          </w:tcPr>
          <w:p w:rsidR="004E4A14" w:rsidRDefault="00000000" w14:paraId="133BFE9B" w14:textId="77777777">
            <w:r>
              <w:rPr>
                <w:color w:val="1F2D3D"/>
                <w:sz w:val="21"/>
                <w:szCs w:val="21"/>
              </w:rPr>
              <w:t>0.20</w:t>
            </w:r>
          </w:p>
        </w:tc>
        <w:tc>
          <w:tcPr>
            <w:tcW w:w="1665"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100" w:type="dxa"/>
              <w:left w:w="140" w:type="dxa"/>
              <w:bottom w:w="100" w:type="dxa"/>
              <w:right w:w="140" w:type="dxa"/>
            </w:tcMar>
          </w:tcPr>
          <w:p w:rsidR="004E4A14" w:rsidRDefault="00000000" w14:paraId="7FA3465D" w14:textId="77777777">
            <w:r>
              <w:rPr>
                <w:color w:val="1F2D3D"/>
                <w:sz w:val="21"/>
                <w:szCs w:val="21"/>
              </w:rPr>
              <w:t>0.29</w:t>
            </w:r>
          </w:p>
        </w:tc>
        <w:tc>
          <w:tcPr>
            <w:tcW w:w="1665"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100" w:type="dxa"/>
              <w:left w:w="140" w:type="dxa"/>
              <w:bottom w:w="100" w:type="dxa"/>
              <w:right w:w="140" w:type="dxa"/>
            </w:tcMar>
          </w:tcPr>
          <w:p w:rsidR="004E4A14" w:rsidRDefault="00000000" w14:paraId="35CF579F" w14:textId="77777777">
            <w:r>
              <w:rPr>
                <w:color w:val="1F2D3D"/>
                <w:sz w:val="21"/>
                <w:szCs w:val="21"/>
              </w:rPr>
              <w:t>0.50</w:t>
            </w:r>
          </w:p>
        </w:tc>
      </w:tr>
      <w:tr w:rsidR="004E4A14" w:rsidTr="65C38002" w14:paraId="39378EAD" w14:textId="77777777">
        <w:tblPrEx>
          <w:tblCellMar>
            <w:top w:w="0" w:type="dxa"/>
            <w:bottom w:w="0" w:type="dxa"/>
          </w:tblCellMar>
        </w:tblPrEx>
        <w:tc>
          <w:tcPr>
            <w:tcW w:w="2700" w:type="dxa"/>
            <w:tcBorders>
              <w:top w:val="single" w:color="CCCCCC" w:sz="1" w:space="0"/>
              <w:left w:val="single" w:color="CCCCCC" w:sz="1" w:space="0"/>
              <w:bottom w:val="single" w:color="CCCCCC" w:sz="1" w:space="0"/>
              <w:right w:val="single" w:color="CCCCCC" w:sz="1" w:space="0"/>
            </w:tcBorders>
            <w:shd w:val="clear" w:color="auto" w:fill="E8E8E8" w:themeFill="background2"/>
            <w:tcMar>
              <w:top w:w="100" w:type="dxa"/>
              <w:left w:w="140" w:type="dxa"/>
              <w:bottom w:w="100" w:type="dxa"/>
              <w:right w:w="140" w:type="dxa"/>
            </w:tcMar>
          </w:tcPr>
          <w:p w:rsidR="004E4A14" w:rsidRDefault="00000000" w14:paraId="2170B88E" w14:textId="77777777">
            <w:r>
              <w:rPr>
                <w:b/>
                <w:bCs/>
                <w:color w:val="1F2D3D"/>
                <w:sz w:val="21"/>
                <w:szCs w:val="21"/>
              </w:rPr>
              <w:t>Total (USD Mn)</w:t>
            </w:r>
          </w:p>
        </w:tc>
        <w:tc>
          <w:tcPr>
            <w:tcW w:w="1665" w:type="dxa"/>
            <w:tcBorders>
              <w:top w:val="single" w:color="CCCCCC" w:sz="1" w:space="0"/>
              <w:left w:val="single" w:color="CCCCCC" w:sz="1" w:space="0"/>
              <w:bottom w:val="single" w:color="CCCCCC" w:sz="1" w:space="0"/>
              <w:right w:val="single" w:color="CCCCCC" w:sz="1" w:space="0"/>
            </w:tcBorders>
            <w:shd w:val="clear" w:color="auto" w:fill="E8E8E8" w:themeFill="background2"/>
            <w:tcMar>
              <w:top w:w="100" w:type="dxa"/>
              <w:left w:w="140" w:type="dxa"/>
              <w:bottom w:w="100" w:type="dxa"/>
              <w:right w:w="140" w:type="dxa"/>
            </w:tcMar>
          </w:tcPr>
          <w:p w:rsidR="004E4A14" w:rsidRDefault="00000000" w14:paraId="7C64EC3C" w14:textId="77777777">
            <w:r>
              <w:rPr>
                <w:color w:val="1F2D3D"/>
                <w:sz w:val="21"/>
                <w:szCs w:val="21"/>
              </w:rPr>
              <w:t>0.31</w:t>
            </w:r>
          </w:p>
        </w:tc>
        <w:tc>
          <w:tcPr>
            <w:tcW w:w="1665" w:type="dxa"/>
            <w:tcBorders>
              <w:top w:val="single" w:color="CCCCCC" w:sz="1" w:space="0"/>
              <w:left w:val="single" w:color="CCCCCC" w:sz="1" w:space="0"/>
              <w:bottom w:val="single" w:color="CCCCCC" w:sz="1" w:space="0"/>
              <w:right w:val="single" w:color="CCCCCC" w:sz="1" w:space="0"/>
            </w:tcBorders>
            <w:shd w:val="clear" w:color="auto" w:fill="E8E8E8" w:themeFill="background2"/>
            <w:tcMar>
              <w:top w:w="100" w:type="dxa"/>
              <w:left w:w="140" w:type="dxa"/>
              <w:bottom w:w="100" w:type="dxa"/>
              <w:right w:w="140" w:type="dxa"/>
            </w:tcMar>
          </w:tcPr>
          <w:p w:rsidR="004E4A14" w:rsidRDefault="00000000" w14:paraId="46C7B308" w14:textId="77777777">
            <w:r>
              <w:rPr>
                <w:color w:val="1F2D3D"/>
                <w:sz w:val="21"/>
                <w:szCs w:val="21"/>
              </w:rPr>
              <w:t>0.71</w:t>
            </w:r>
          </w:p>
        </w:tc>
        <w:tc>
          <w:tcPr>
            <w:tcW w:w="1665" w:type="dxa"/>
            <w:tcBorders>
              <w:top w:val="single" w:color="CCCCCC" w:sz="1" w:space="0"/>
              <w:left w:val="single" w:color="CCCCCC" w:sz="1" w:space="0"/>
              <w:bottom w:val="single" w:color="CCCCCC" w:sz="1" w:space="0"/>
              <w:right w:val="single" w:color="CCCCCC" w:sz="1" w:space="0"/>
            </w:tcBorders>
            <w:shd w:val="clear" w:color="auto" w:fill="E8E8E8" w:themeFill="background2"/>
            <w:tcMar>
              <w:top w:w="100" w:type="dxa"/>
              <w:left w:w="140" w:type="dxa"/>
              <w:bottom w:w="100" w:type="dxa"/>
              <w:right w:w="140" w:type="dxa"/>
            </w:tcMar>
          </w:tcPr>
          <w:p w:rsidR="004E4A14" w:rsidRDefault="00000000" w14:paraId="762C0FD9" w14:textId="77777777">
            <w:r>
              <w:rPr>
                <w:color w:val="1F2D3D"/>
                <w:sz w:val="21"/>
                <w:szCs w:val="21"/>
              </w:rPr>
              <w:t>1.02</w:t>
            </w:r>
          </w:p>
        </w:tc>
        <w:tc>
          <w:tcPr>
            <w:tcW w:w="1665" w:type="dxa"/>
            <w:tcBorders>
              <w:top w:val="single" w:color="CCCCCC" w:sz="1" w:space="0"/>
              <w:left w:val="single" w:color="CCCCCC" w:sz="1" w:space="0"/>
              <w:bottom w:val="single" w:color="CCCCCC" w:sz="1" w:space="0"/>
              <w:right w:val="single" w:color="CCCCCC" w:sz="1" w:space="0"/>
            </w:tcBorders>
            <w:shd w:val="clear" w:color="auto" w:fill="E8E8E8" w:themeFill="background2"/>
            <w:tcMar>
              <w:top w:w="100" w:type="dxa"/>
              <w:left w:w="140" w:type="dxa"/>
              <w:bottom w:w="100" w:type="dxa"/>
              <w:right w:w="140" w:type="dxa"/>
            </w:tcMar>
          </w:tcPr>
          <w:p w:rsidR="004E4A14" w:rsidRDefault="00000000" w14:paraId="1368DEC9" w14:textId="77777777">
            <w:r>
              <w:rPr>
                <w:color w:val="1F2D3D"/>
                <w:sz w:val="21"/>
                <w:szCs w:val="21"/>
              </w:rPr>
              <w:t>1.77</w:t>
            </w:r>
          </w:p>
        </w:tc>
      </w:tr>
    </w:tbl>
    <w:p w:rsidR="004E4A14" w:rsidRDefault="00000000" w14:paraId="0971CC9C" w14:textId="655ABB00">
      <w:pPr>
        <w:pStyle w:val="Heading2"/>
      </w:pPr>
      <w:r w:rsidR="00000000">
        <w:rPr/>
        <w:t>Borrower reach</w:t>
      </w:r>
      <w:r w:rsidR="10BE90E4">
        <w:rPr/>
        <w:t xml:space="preserve"> [Numbers only placeholders]</w:t>
      </w:r>
    </w:p>
    <w:p w:rsidR="004E4A14" w:rsidRDefault="00000000" w14:paraId="6DC322E2" w14:textId="77777777">
      <w:pPr>
        <w:pStyle w:val="ListParagraph"/>
        <w:numPr>
          <w:ilvl w:val="0"/>
          <w:numId w:val="2"/>
        </w:numPr>
        <w:spacing w:before="60" w:after="60"/>
      </w:pPr>
      <w:r>
        <w:t>Total climate impact lending has reached approximately 3.63 million customers across the originator network</w:t>
      </w:r>
    </w:p>
    <w:p w:rsidR="004E4A14" w:rsidRDefault="00000000" w14:paraId="721E2A5D" w14:textId="77777777">
      <w:pPr>
        <w:pStyle w:val="ListParagraph"/>
        <w:numPr>
          <w:ilvl w:val="0"/>
          <w:numId w:val="2"/>
        </w:numPr>
        <w:spacing w:before="60" w:after="60"/>
      </w:pPr>
      <w:r>
        <w:t xml:space="preserve">2.51 million </w:t>
      </w:r>
      <w:proofErr w:type="spellStart"/>
      <w:r>
        <w:t>agri</w:t>
      </w:r>
      <w:proofErr w:type="spellEnd"/>
      <w:r>
        <w:t>-households have received climate-resilient credit, primarily through the Women Entrepreneur Loan product for income diversification</w:t>
      </w:r>
    </w:p>
    <w:p w:rsidR="004E4A14" w:rsidRDefault="00000000" w14:paraId="0A4C3224" w14:textId="77777777">
      <w:pPr>
        <w:pStyle w:val="ListParagraph"/>
        <w:numPr>
          <w:ilvl w:val="0"/>
          <w:numId w:val="2"/>
        </w:numPr>
        <w:spacing w:before="60" w:after="60"/>
      </w:pPr>
      <w:r>
        <w:t>1.12 million customers in climate-vulnerable non-</w:t>
      </w:r>
      <w:proofErr w:type="spellStart"/>
      <w:r>
        <w:t>agri</w:t>
      </w:r>
      <w:proofErr w:type="spellEnd"/>
      <w:r>
        <w:t xml:space="preserve"> segments have received productive credit underwritten by ki score</w:t>
      </w:r>
    </w:p>
    <w:p w:rsidR="004E4A14" w:rsidRDefault="00000000" w14:paraId="282C4866" w14:textId="77777777">
      <w:pPr>
        <w:pStyle w:val="ListParagraph"/>
        <w:numPr>
          <w:ilvl w:val="0"/>
          <w:numId w:val="2"/>
        </w:numPr>
        <w:spacing w:before="60" w:after="60"/>
      </w:pPr>
      <w:r>
        <w:t>98% of customers in climate-impacted segments are women</w:t>
      </w:r>
    </w:p>
    <w:p w:rsidR="004E4A14" w:rsidRDefault="00000000" w14:paraId="45E2492C" w14:textId="77777777">
      <w:pPr>
        <w:pStyle w:val="ListParagraph"/>
        <w:numPr>
          <w:ilvl w:val="0"/>
          <w:numId w:val="2"/>
        </w:numPr>
        <w:spacing w:before="60" w:after="60"/>
      </w:pPr>
      <w:r>
        <w:t xml:space="preserve">36% of </w:t>
      </w:r>
      <w:proofErr w:type="spellStart"/>
      <w:r>
        <w:t>Kaleidofin’s</w:t>
      </w:r>
      <w:proofErr w:type="spellEnd"/>
      <w:r>
        <w:t xml:space="preserve"> customer base has been assessed as climate-exposed through ki score geo-tagging</w:t>
      </w:r>
    </w:p>
    <w:p w:rsidR="004E4A14" w:rsidRDefault="00000000" w14:paraId="151DE7D7" w14:textId="77777777">
      <w:pPr>
        <w:pStyle w:val="ListParagraph"/>
        <w:numPr>
          <w:ilvl w:val="0"/>
          <w:numId w:val="2"/>
        </w:numPr>
        <w:spacing w:before="60" w:after="60"/>
        <w:rPr/>
      </w:pPr>
      <w:r w:rsidR="00000000">
        <w:rPr/>
        <w:t xml:space="preserve">4.19 million customers are </w:t>
      </w:r>
      <w:r w:rsidR="00000000">
        <w:rPr/>
        <w:t>agri</w:t>
      </w:r>
      <w:r w:rsidR="00000000">
        <w:rPr/>
        <w:t>-households classified as exposed to climate risk</w:t>
      </w:r>
    </w:p>
    <w:p w:rsidR="004E4A14" w:rsidRDefault="00000000" w14:paraId="39624727" w14:textId="77777777">
      <w:r>
        <w:rPr>
          <w:i/>
          <w:iCs/>
          <w:color w:val="7F7F7F"/>
          <w:sz w:val="18"/>
          <w:szCs w:val="18"/>
        </w:rPr>
        <w:t>Key references: Paris Agreement (2015, Article 2</w:t>
      </w:r>
      <w:proofErr w:type="gramStart"/>
      <w:r>
        <w:rPr>
          <w:i/>
          <w:iCs/>
          <w:color w:val="7F7F7F"/>
          <w:sz w:val="18"/>
          <w:szCs w:val="18"/>
        </w:rPr>
        <w:t>)  |</w:t>
      </w:r>
      <w:proofErr w:type="gramEnd"/>
      <w:r>
        <w:rPr>
          <w:i/>
          <w:iCs/>
          <w:color w:val="7F7F7F"/>
          <w:sz w:val="18"/>
          <w:szCs w:val="18"/>
        </w:rPr>
        <w:t xml:space="preserve">  Joint MDB Methodological Principles for Assessment of Paris Agreement Alignment (June 2023)  |  MDB/IDFC Common Principles for Climate Mitigation Finance Tracking (December 2023)  |  Kaleidofin climate impact data, internal  |  Ki score climate-credit risk research, Women’s World Banking / SUNY collaboration</w:t>
      </w:r>
    </w:p>
    <w:sectPr w:rsidR="004E4A14">
      <w:pgSz w:w="12240" w:h="15840" w:orient="portrait"/>
      <w:pgMar w:top="1440" w:right="1440" w:bottom="1440" w:left="1440" w:header="708" w:footer="708" w:gutter="0"/>
      <w:cols w:space="720"/>
      <w:docGrid w:linePitch="360"/>
    </w:sectPr>
  </w:body>
</w:document>
</file>

<file path=word/comments.xml><?xml version="1.0" encoding="utf-8"?>
<w:comments xmlns:w14="http://schemas.microsoft.com/office/word/2010/wordml" xmlns:w="http://schemas.openxmlformats.org/wordprocessingml/2006/main">
  <w:comment xmlns:w="http://schemas.openxmlformats.org/wordprocessingml/2006/main" w:initials="nk" w:author="natasha jethanandani | kaleidofin" w:date="2026-05-01T14:54:47" w:id="212899046">
    <w:p xmlns:w14="http://schemas.microsoft.com/office/word/2010/wordml" xmlns:w="http://schemas.openxmlformats.org/wordprocessingml/2006/main" w:rsidR="4227196F" w:rsidRDefault="703CE258" w14:paraId="78D68738" w14:textId="208F925B">
      <w:pPr>
        <w:pStyle w:val="CommentText"/>
      </w:pPr>
      <w:r>
        <w:rPr>
          <w:rStyle w:val="CommentReference"/>
        </w:rPr>
        <w:annotationRef/>
      </w:r>
      <w:r>
        <w:fldChar w:fldCharType="begin"/>
      </w:r>
      <w:r>
        <w:instrText xml:space="preserve"> HYPERLINK "mailto:adhip.jadhav@kaleidofin.com"</w:instrText>
      </w:r>
      <w:bookmarkStart w:name="_@_26B8D96B6046452AB03F76F02C62E4F8Z" w:id="830580973"/>
      <w:r>
        <w:fldChar w:fldCharType="separate"/>
      </w:r>
      <w:bookmarkEnd w:id="830580973"/>
      <w:r w:rsidRPr="4F4D63D7" w:rsidR="40272745">
        <w:rPr>
          <w:rStyle w:val="Mention"/>
          <w:noProof/>
        </w:rPr>
        <w:t>@adhip</w:t>
      </w:r>
      <w:r>
        <w:fldChar w:fldCharType="end"/>
      </w:r>
      <w:r w:rsidRPr="3A49E96F" w:rsidR="768357F8">
        <w:t xml:space="preserve"> Please help flesh out this section</w:t>
      </w:r>
    </w:p>
  </w:comment>
  <w:comment xmlns:w="http://schemas.openxmlformats.org/wordprocessingml/2006/main" w:initials="nk" w:author="natasha jethanandani | kaleidofin" w:date="2026-05-01T14:56:32" w:id="781426099">
    <w:p xmlns:w14="http://schemas.microsoft.com/office/word/2010/wordml" xmlns:w="http://schemas.openxmlformats.org/wordprocessingml/2006/main" w:rsidR="4CA42210" w:rsidRDefault="32FB6B4D" w14:paraId="2E2C418E" w14:textId="738452B1">
      <w:pPr>
        <w:pStyle w:val="CommentText"/>
      </w:pPr>
      <w:r>
        <w:rPr>
          <w:rStyle w:val="CommentReference"/>
        </w:rPr>
        <w:annotationRef/>
      </w:r>
      <w:r>
        <w:fldChar w:fldCharType="begin"/>
      </w:r>
      <w:r>
        <w:instrText xml:space="preserve"> HYPERLINK "mailto:karthik.velu@kaleidofin.com"</w:instrText>
      </w:r>
      <w:bookmarkStart w:name="_@_3509260F093147CFABB9AA12C08AC597Z" w:id="1090403311"/>
      <w:r>
        <w:fldChar w:fldCharType="separate"/>
      </w:r>
      <w:bookmarkEnd w:id="1090403311"/>
      <w:r w:rsidRPr="7A62143C" w:rsidR="163787AD">
        <w:rPr>
          <w:rStyle w:val="Mention"/>
          <w:noProof/>
        </w:rPr>
        <w:t>@karthik</w:t>
      </w:r>
      <w:r>
        <w:fldChar w:fldCharType="end"/>
      </w:r>
      <w:r w:rsidRPr="47FC1AD7" w:rsidR="5E828BC6">
        <w:t xml:space="preserve"> could you help add to the previous section on Early Warning Indicators and this 'growth opportunities' on ki monitor</w:t>
      </w:r>
    </w:p>
  </w:comment>
</w:comments>
</file>

<file path=word/commentsExtended.xml><?xml version="1.0" encoding="utf-8"?>
<w15:commentsEx xmlns:mc="http://schemas.openxmlformats.org/markup-compatibility/2006" xmlns:w15="http://schemas.microsoft.com/office/word/2012/wordml" mc:Ignorable="w15">
  <w15:commentEx w15:done="0" w15:paraId="78D68738"/>
  <w15:commentEx w15:done="0" w15:paraId="2E2C418E"/>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613BC5DC" w16cex:dateUtc="2026-05-01T09:24:47.358Z"/>
  <w16cex:commentExtensible w16cex:durableId="25BF3188" w16cex:dateUtc="2026-05-01T09:26:32.381Z"/>
</w16cex:commentsExtensible>
</file>

<file path=word/commentsIds.xml><?xml version="1.0" encoding="utf-8"?>
<w16cid:commentsIds xmlns:mc="http://schemas.openxmlformats.org/markup-compatibility/2006" xmlns:w16cid="http://schemas.microsoft.com/office/word/2016/wordml/cid" mc:Ignorable="w16cid">
  <w16cid:commentId w16cid:paraId="78D68738" w16cid:durableId="613BC5DC"/>
  <w16cid:commentId w16cid:paraId="2E2C418E" w16cid:durableId="25BF3188"/>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F2582"/>
    <w:multiLevelType w:val="hybridMultilevel"/>
    <w:tmpl w:val="2DB28ECC"/>
    <w:lvl w:ilvl="0" w:tplc="A560C42E">
      <w:start w:val="1"/>
      <w:numFmt w:val="bullet"/>
      <w:lvlText w:val="o"/>
      <w:lvlJc w:val="left"/>
      <w:pPr>
        <w:ind w:left="1080" w:hanging="360"/>
      </w:pPr>
    </w:lvl>
    <w:lvl w:ilvl="1" w:tplc="98A09B08">
      <w:numFmt w:val="decimal"/>
      <w:lvlText w:val=""/>
      <w:lvlJc w:val="left"/>
    </w:lvl>
    <w:lvl w:ilvl="2" w:tplc="F2C87A0A">
      <w:numFmt w:val="decimal"/>
      <w:lvlText w:val=""/>
      <w:lvlJc w:val="left"/>
    </w:lvl>
    <w:lvl w:ilvl="3" w:tplc="555878CC">
      <w:numFmt w:val="decimal"/>
      <w:lvlText w:val=""/>
      <w:lvlJc w:val="left"/>
    </w:lvl>
    <w:lvl w:ilvl="4" w:tplc="CFF4810E">
      <w:numFmt w:val="decimal"/>
      <w:lvlText w:val=""/>
      <w:lvlJc w:val="left"/>
    </w:lvl>
    <w:lvl w:ilvl="5" w:tplc="983004C2">
      <w:numFmt w:val="decimal"/>
      <w:lvlText w:val=""/>
      <w:lvlJc w:val="left"/>
    </w:lvl>
    <w:lvl w:ilvl="6" w:tplc="F07A2740">
      <w:numFmt w:val="decimal"/>
      <w:lvlText w:val=""/>
      <w:lvlJc w:val="left"/>
    </w:lvl>
    <w:lvl w:ilvl="7" w:tplc="13CE32EE">
      <w:numFmt w:val="decimal"/>
      <w:lvlText w:val=""/>
      <w:lvlJc w:val="left"/>
    </w:lvl>
    <w:lvl w:ilvl="8" w:tplc="426CBB68">
      <w:numFmt w:val="decimal"/>
      <w:lvlText w:val=""/>
      <w:lvlJc w:val="left"/>
    </w:lvl>
  </w:abstractNum>
  <w:abstractNum w:abstractNumId="1" w15:restartNumberingAfterBreak="0">
    <w:nsid w:val="477A537E"/>
    <w:multiLevelType w:val="hybridMultilevel"/>
    <w:tmpl w:val="BF025C4C"/>
    <w:lvl w:ilvl="0" w:tplc="31285948">
      <w:start w:val="1"/>
      <w:numFmt w:val="bullet"/>
      <w:lvlText w:val="•"/>
      <w:lvlJc w:val="left"/>
      <w:pPr>
        <w:ind w:left="720" w:hanging="360"/>
      </w:pPr>
    </w:lvl>
    <w:lvl w:ilvl="1" w:tplc="7C16DE7A">
      <w:numFmt w:val="decimal"/>
      <w:lvlText w:val=""/>
      <w:lvlJc w:val="left"/>
    </w:lvl>
    <w:lvl w:ilvl="2" w:tplc="962CAEE6">
      <w:numFmt w:val="decimal"/>
      <w:lvlText w:val=""/>
      <w:lvlJc w:val="left"/>
    </w:lvl>
    <w:lvl w:ilvl="3" w:tplc="588C7CEE">
      <w:numFmt w:val="decimal"/>
      <w:lvlText w:val=""/>
      <w:lvlJc w:val="left"/>
    </w:lvl>
    <w:lvl w:ilvl="4" w:tplc="1374CB34">
      <w:numFmt w:val="decimal"/>
      <w:lvlText w:val=""/>
      <w:lvlJc w:val="left"/>
    </w:lvl>
    <w:lvl w:ilvl="5" w:tplc="481CC5D8">
      <w:numFmt w:val="decimal"/>
      <w:lvlText w:val=""/>
      <w:lvlJc w:val="left"/>
    </w:lvl>
    <w:lvl w:ilvl="6" w:tplc="738ACE70">
      <w:numFmt w:val="decimal"/>
      <w:lvlText w:val=""/>
      <w:lvlJc w:val="left"/>
    </w:lvl>
    <w:lvl w:ilvl="7" w:tplc="5C02274C">
      <w:numFmt w:val="decimal"/>
      <w:lvlText w:val=""/>
      <w:lvlJc w:val="left"/>
    </w:lvl>
    <w:lvl w:ilvl="8" w:tplc="0CDE0FF0">
      <w:numFmt w:val="decimal"/>
      <w:lvlText w:val=""/>
      <w:lvlJc w:val="left"/>
    </w:lvl>
  </w:abstractNum>
  <w:abstractNum w:abstractNumId="2" w15:restartNumberingAfterBreak="0">
    <w:nsid w:val="60DD477B"/>
    <w:multiLevelType w:val="hybridMultilevel"/>
    <w:tmpl w:val="EFF2B42C"/>
    <w:lvl w:ilvl="0" w:tplc="8F2E4590">
      <w:start w:val="1"/>
      <w:numFmt w:val="bullet"/>
      <w:lvlText w:val="●"/>
      <w:lvlJc w:val="left"/>
      <w:pPr>
        <w:ind w:left="720" w:hanging="360"/>
      </w:pPr>
    </w:lvl>
    <w:lvl w:ilvl="1" w:tplc="3386E908">
      <w:start w:val="1"/>
      <w:numFmt w:val="bullet"/>
      <w:lvlText w:val="○"/>
      <w:lvlJc w:val="left"/>
      <w:pPr>
        <w:ind w:left="1440" w:hanging="360"/>
      </w:pPr>
    </w:lvl>
    <w:lvl w:ilvl="2" w:tplc="993632D6">
      <w:start w:val="1"/>
      <w:numFmt w:val="bullet"/>
      <w:lvlText w:val="■"/>
      <w:lvlJc w:val="left"/>
      <w:pPr>
        <w:ind w:left="2160" w:hanging="360"/>
      </w:pPr>
    </w:lvl>
    <w:lvl w:ilvl="3" w:tplc="870AFE68">
      <w:start w:val="1"/>
      <w:numFmt w:val="bullet"/>
      <w:lvlText w:val="●"/>
      <w:lvlJc w:val="left"/>
      <w:pPr>
        <w:ind w:left="2880" w:hanging="360"/>
      </w:pPr>
    </w:lvl>
    <w:lvl w:ilvl="4" w:tplc="A968665E">
      <w:start w:val="1"/>
      <w:numFmt w:val="bullet"/>
      <w:lvlText w:val="○"/>
      <w:lvlJc w:val="left"/>
      <w:pPr>
        <w:ind w:left="3600" w:hanging="360"/>
      </w:pPr>
    </w:lvl>
    <w:lvl w:ilvl="5" w:tplc="9BEC2D5E">
      <w:start w:val="1"/>
      <w:numFmt w:val="bullet"/>
      <w:lvlText w:val="■"/>
      <w:lvlJc w:val="left"/>
      <w:pPr>
        <w:ind w:left="4320" w:hanging="360"/>
      </w:pPr>
    </w:lvl>
    <w:lvl w:ilvl="6" w:tplc="E60A898C">
      <w:start w:val="1"/>
      <w:numFmt w:val="bullet"/>
      <w:lvlText w:val="●"/>
      <w:lvlJc w:val="left"/>
      <w:pPr>
        <w:ind w:left="5040" w:hanging="360"/>
      </w:pPr>
    </w:lvl>
    <w:lvl w:ilvl="7" w:tplc="2E98CDC8">
      <w:start w:val="1"/>
      <w:numFmt w:val="bullet"/>
      <w:lvlText w:val="●"/>
      <w:lvlJc w:val="left"/>
      <w:pPr>
        <w:ind w:left="5760" w:hanging="360"/>
      </w:pPr>
    </w:lvl>
    <w:lvl w:ilvl="8" w:tplc="09C4E0F8">
      <w:start w:val="1"/>
      <w:numFmt w:val="bullet"/>
      <w:lvlText w:val="●"/>
      <w:lvlJc w:val="left"/>
      <w:pPr>
        <w:ind w:left="6480" w:hanging="360"/>
      </w:pPr>
    </w:lvl>
  </w:abstractNum>
  <w:num w:numId="1" w16cid:durableId="1865364475">
    <w:abstractNumId w:val="2"/>
    <w:lvlOverride w:ilvl="0">
      <w:startOverride w:val="1"/>
    </w:lvlOverride>
  </w:num>
  <w:num w:numId="2" w16cid:durableId="1935897300">
    <w:abstractNumId w:val="1"/>
    <w:lvlOverride w:ilvl="0">
      <w:startOverride w:val="1"/>
    </w:lvlOverride>
  </w:num>
</w:numbering>
</file>

<file path=word/people.xml><?xml version="1.0" encoding="utf-8"?>
<w15:people xmlns:mc="http://schemas.openxmlformats.org/markup-compatibility/2006" xmlns:w15="http://schemas.microsoft.com/office/word/2012/wordml" mc:Ignorable="w15">
  <w15:person w15:author="natasha jethanandani | kaleidofin">
    <w15:presenceInfo w15:providerId="AD" w15:userId="S::natasha@kaleidofin.com::a6896937-8c02-4306-9315-499dadd3ba5d"/>
  </w15:person>
  <w15:person w15:author="natasha jethanandani | kaleidofin">
    <w15:presenceInfo w15:providerId="AD" w15:userId="S::natasha@kaleidofin.com::a6896937-8c02-4306-9315-499dadd3ba5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4A14"/>
    <w:rsid w:val="00000000"/>
    <w:rsid w:val="002B6A2D"/>
    <w:rsid w:val="003A0B3B"/>
    <w:rsid w:val="00471D25"/>
    <w:rsid w:val="004E4A14"/>
    <w:rsid w:val="005F4854"/>
    <w:rsid w:val="0076240A"/>
    <w:rsid w:val="0229AB66"/>
    <w:rsid w:val="0431069F"/>
    <w:rsid w:val="0501E40C"/>
    <w:rsid w:val="06FEC948"/>
    <w:rsid w:val="09E29D53"/>
    <w:rsid w:val="0D881FDD"/>
    <w:rsid w:val="0F728114"/>
    <w:rsid w:val="10BE90E4"/>
    <w:rsid w:val="129072CF"/>
    <w:rsid w:val="12A6546E"/>
    <w:rsid w:val="130B9B88"/>
    <w:rsid w:val="131E0A97"/>
    <w:rsid w:val="13B88C67"/>
    <w:rsid w:val="172C137F"/>
    <w:rsid w:val="19258020"/>
    <w:rsid w:val="1D3E408C"/>
    <w:rsid w:val="20BE281B"/>
    <w:rsid w:val="21E85F93"/>
    <w:rsid w:val="24BD8FA2"/>
    <w:rsid w:val="284F4921"/>
    <w:rsid w:val="2A33EFD9"/>
    <w:rsid w:val="2B6E868E"/>
    <w:rsid w:val="3126EBEB"/>
    <w:rsid w:val="316641A2"/>
    <w:rsid w:val="34F5E662"/>
    <w:rsid w:val="3526EDC8"/>
    <w:rsid w:val="358A9BF4"/>
    <w:rsid w:val="35D52D03"/>
    <w:rsid w:val="362715B2"/>
    <w:rsid w:val="36D94236"/>
    <w:rsid w:val="395FD3D7"/>
    <w:rsid w:val="3A2C44E5"/>
    <w:rsid w:val="3B634E13"/>
    <w:rsid w:val="3C8A87E4"/>
    <w:rsid w:val="3C959184"/>
    <w:rsid w:val="4363A32A"/>
    <w:rsid w:val="47D54B8B"/>
    <w:rsid w:val="484B5AD3"/>
    <w:rsid w:val="51556ED3"/>
    <w:rsid w:val="516C5429"/>
    <w:rsid w:val="523B94F7"/>
    <w:rsid w:val="524F4C5F"/>
    <w:rsid w:val="53FF9915"/>
    <w:rsid w:val="54E50936"/>
    <w:rsid w:val="5575B577"/>
    <w:rsid w:val="5668A2D0"/>
    <w:rsid w:val="577D13DA"/>
    <w:rsid w:val="57E772BC"/>
    <w:rsid w:val="5895AA40"/>
    <w:rsid w:val="5945EDDE"/>
    <w:rsid w:val="5A3168D3"/>
    <w:rsid w:val="5CFE9C2A"/>
    <w:rsid w:val="5D4432FB"/>
    <w:rsid w:val="5E30B617"/>
    <w:rsid w:val="5F3FDADC"/>
    <w:rsid w:val="649BF42B"/>
    <w:rsid w:val="65C38002"/>
    <w:rsid w:val="6634753D"/>
    <w:rsid w:val="6FDE1DC6"/>
    <w:rsid w:val="70E0206D"/>
    <w:rsid w:val="7203BCA1"/>
    <w:rsid w:val="72C35009"/>
    <w:rsid w:val="75DF112E"/>
    <w:rsid w:val="7B24EF2E"/>
    <w:rsid w:val="7E4B1082"/>
    <w:rsid w:val="7EBDE02C"/>
    <w:rsid w:val="7F2A3D2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737A48"/>
  <w15:docId w15:val="{90F0F1EF-309A-47FB-B9B4-AF23C31649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hAnsi="Calibri" w:eastAsia="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uiPriority w:val="9"/>
    <w:qFormat/>
    <w:pPr>
      <w:spacing w:before="360" w:after="120"/>
      <w:outlineLvl w:val="0"/>
    </w:pPr>
    <w:rPr>
      <w:b/>
      <w:bCs/>
      <w:sz w:val="28"/>
      <w:szCs w:val="28"/>
    </w:rPr>
  </w:style>
  <w:style w:type="paragraph" w:styleId="Heading2">
    <w:name w:val="heading 2"/>
    <w:uiPriority w:val="9"/>
    <w:unhideWhenUsed/>
    <w:qFormat/>
    <w:pPr>
      <w:spacing w:before="280" w:after="80"/>
      <w:outlineLvl w:val="1"/>
    </w:pPr>
    <w:rPr>
      <w:b/>
      <w:bCs/>
      <w:sz w:val="24"/>
      <w:szCs w:val="24"/>
    </w:rPr>
  </w:style>
  <w:style w:type="paragraph" w:styleId="Heading3">
    <w:name w:val="heading 3"/>
    <w:uiPriority w:val="9"/>
    <w:unhideWhenUsed/>
    <w:qFormat/>
    <w:pPr>
      <w:spacing w:before="220" w:after="6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uiPriority w:val="10"/>
    <w:qFormat/>
    <w:rPr>
      <w:sz w:val="56"/>
      <w:szCs w:val="56"/>
    </w:rPr>
  </w:style>
  <w:style w:type="paragraph" w:styleId="Strong1" w:customStyle="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styleId="FootnoteTextChar" w:customStyle="1">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styleId="EndnoteTextChar" w:customStyle="1">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styles" Target="styles.xml" Id="rId5" /><Relationship Type="http://schemas.openxmlformats.org/officeDocument/2006/relationships/numbering" Target="numbering.xml" Id="rId4" /><Relationship Type="http://schemas.openxmlformats.org/officeDocument/2006/relationships/theme" Target="theme/theme1.xml" Id="rId9" /><Relationship Type="http://schemas.openxmlformats.org/officeDocument/2006/relationships/comments" Target="comments.xml" Id="Rfa17c18185824931" /><Relationship Type="http://schemas.microsoft.com/office/2016/09/relationships/commentsIds" Target="commentsIds.xml" Id="R249dfa70db954865" /><Relationship Type="http://schemas.microsoft.com/office/2011/relationships/commentsExtended" Target="commentsExtended.xml" Id="Rfe8e5b454cb84f5f" /><Relationship Type="http://schemas.microsoft.com/office/2018/08/relationships/commentsExtensible" Target="commentsExtensible.xml" Id="Rfffad0097a0548f4" /><Relationship Type="http://schemas.microsoft.com/office/2011/relationships/people" Target="people.xml" Id="R58f05099ea674f3e"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709E15D7732294B9D2771B7DB7EAEC7" ma:contentTypeVersion="14" ma:contentTypeDescription="Create a new document." ma:contentTypeScope="" ma:versionID="9bf3f1e896d08dbe4b86f39916569d7b">
  <xsd:schema xmlns:xsd="http://www.w3.org/2001/XMLSchema" xmlns:xs="http://www.w3.org/2001/XMLSchema" xmlns:p="http://schemas.microsoft.com/office/2006/metadata/properties" xmlns:ns2="6d19c5f9-731e-4df5-b1a5-0ae60e9f4085" xmlns:ns3="1de558d3-0d8b-47ea-97b3-fd429b30f9a0" targetNamespace="http://schemas.microsoft.com/office/2006/metadata/properties" ma:root="true" ma:fieldsID="fa3bb6e16fba93185bf7f9707e61cc5d" ns2:_="" ns3:_="">
    <xsd:import namespace="6d19c5f9-731e-4df5-b1a5-0ae60e9f4085"/>
    <xsd:import namespace="1de558d3-0d8b-47ea-97b3-fd429b30f9a0"/>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19c5f9-731e-4df5-b1a5-0ae60e9f408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0ee5a1dd-5bd4-4e26-a931-4cf1e7dc2b7c"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de558d3-0d8b-47ea-97b3-fd429b30f9a0"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bb549f52-996c-4d8f-a9ef-993eddc0e712}" ma:internalName="TaxCatchAll" ma:showField="CatchAllData" ma:web="1de558d3-0d8b-47ea-97b3-fd429b30f9a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6d19c5f9-731e-4df5-b1a5-0ae60e9f4085">
      <Terms xmlns="http://schemas.microsoft.com/office/infopath/2007/PartnerControls"/>
    </lcf76f155ced4ddcb4097134ff3c332f>
    <TaxCatchAll xmlns="1de558d3-0d8b-47ea-97b3-fd429b30f9a0" xsi:nil="true"/>
  </documentManagement>
</p:properties>
</file>

<file path=customXml/itemProps1.xml><?xml version="1.0" encoding="utf-8"?>
<ds:datastoreItem xmlns:ds="http://schemas.openxmlformats.org/officeDocument/2006/customXml" ds:itemID="{CDB1BA24-3E67-401B-B8E0-8BC8D93F2C57}"/>
</file>

<file path=customXml/itemProps2.xml><?xml version="1.0" encoding="utf-8"?>
<ds:datastoreItem xmlns:ds="http://schemas.openxmlformats.org/officeDocument/2006/customXml" ds:itemID="{3BEF81B8-E9FE-43C3-B995-5E76A63748FF}">
  <ds:schemaRefs>
    <ds:schemaRef ds:uri="http://schemas.microsoft.com/sharepoint/v3/contenttype/forms"/>
  </ds:schemaRefs>
</ds:datastoreItem>
</file>

<file path=customXml/itemProps3.xml><?xml version="1.0" encoding="utf-8"?>
<ds:datastoreItem xmlns:ds="http://schemas.openxmlformats.org/officeDocument/2006/customXml" ds:itemID="{87FEA4B4-B679-4A77-B89D-345738FFD976}">
  <ds:schemaRefs>
    <ds:schemaRef ds:uri="http://schemas.microsoft.com/office/2006/metadata/properties"/>
    <ds:schemaRef ds:uri="http://schemas.microsoft.com/office/infopath/2007/PartnerControls"/>
    <ds:schemaRef ds:uri="39c8a414-0e5d-4184-9c97-430ef3b91253"/>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natasha jethanandani | kaleidofin</lastModifiedBy>
  <revision>8</revision>
  <dcterms:created xsi:type="dcterms:W3CDTF">2026-04-30T13:24:00.0000000Z</dcterms:created>
  <dcterms:modified xsi:type="dcterms:W3CDTF">2026-05-01T09:27:13.0157972Z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0x0101000709E15D7732294B9D2771B7DB7EAEC7</vt:lpwstr>
  </property>
  <property fmtid="{D5CDD505-2E9C-101B-9397-08002B2CF9AE}" pid="3" name="MediaServiceImageTags">
    <vt:lpwstr/>
  </property>
</Properties>
</file>