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C63FF"/>
        </w:rPr>
        <w:t>Customer Churn Prediction</w:t>
      </w:r>
    </w:p>
    <w:p>
      <w:pPr>
        <w:jc w:val="center"/>
      </w:pPr>
      <w:r>
        <w:rPr>
          <w:color w:val="646478"/>
          <w:sz w:val="28"/>
        </w:rPr>
        <w:t>Week 1 – Data Science Project Planning and Strategy Design</w:t>
      </w:r>
    </w:p>
    <w:p/>
    <w:p>
      <w:pPr>
        <w:jc w:val="center"/>
      </w:pPr>
      <w:r>
        <w:rPr>
          <w:b/>
          <w:color w:val="6C63FF"/>
          <w:sz w:val="22"/>
        </w:rPr>
        <w:t xml:space="preserve">Project     :  </w:t>
      </w:r>
      <w:r>
        <w:rPr>
          <w:sz w:val="22"/>
        </w:rPr>
        <w:t>Customer Churn Prediction for Telecom Industry</w:t>
      </w:r>
    </w:p>
    <w:p>
      <w:pPr>
        <w:jc w:val="center"/>
      </w:pPr>
      <w:r>
        <w:rPr>
          <w:b/>
          <w:color w:val="6C63FF"/>
          <w:sz w:val="22"/>
        </w:rPr>
        <w:t xml:space="preserve">Week        :  </w:t>
      </w:r>
      <w:r>
        <w:rPr>
          <w:sz w:val="22"/>
        </w:rPr>
        <w:t>Week 1 – Planning &amp; Strategy</w:t>
      </w:r>
    </w:p>
    <w:p>
      <w:pPr>
        <w:jc w:val="center"/>
      </w:pPr>
      <w:r>
        <w:rPr>
          <w:b/>
          <w:color w:val="6C63FF"/>
          <w:sz w:val="22"/>
        </w:rPr>
        <w:t xml:space="preserve">Prepared by :  </w:t>
      </w:r>
      <w:r>
        <w:rPr>
          <w:sz w:val="22"/>
        </w:rPr>
        <w:t>Data Science Intern</w:t>
      </w:r>
    </w:p>
    <w:p>
      <w:pPr>
        <w:jc w:val="center"/>
      </w:pPr>
      <w:r>
        <w:rPr>
          <w:b/>
          <w:color w:val="6C63FF"/>
          <w:sz w:val="22"/>
        </w:rPr>
        <w:t xml:space="preserve">Date        :  </w:t>
      </w:r>
      <w:r>
        <w:rPr>
          <w:sz w:val="22"/>
        </w:rPr>
        <w:t>September 2026</w:t>
      </w:r>
    </w:p>
    <w:p>
      <w:r>
        <w:br w:type="page"/>
      </w:r>
    </w:p>
    <w:p>
      <w:pPr>
        <w:pStyle w:val="Heading1"/>
        <w:spacing w:before="280" w:after="80"/>
      </w:pPr>
      <w:r>
        <w:rPr>
          <w:color w:val="6C63FF"/>
        </w:rPr>
        <w:t>1. Introduction &amp; Project Background</w:t>
      </w:r>
    </w:p>
    <w:p>
      <w:pPr>
        <w:spacing w:after="120"/>
      </w:pPr>
      <w:r>
        <w:rPr>
          <w:b w:val="0"/>
          <w:i w:val="0"/>
          <w:sz w:val="22"/>
        </w:rPr>
        <w:t>Customer churn — the phenomenon where subscribers discontinue a service — is one of the most pressing business challenges faced by telecommunications companies worldwide. Industry research consistently shows that acquiring a new customer costs five to seven times more than retaining an existing one, and even a modest 5% reduction in churn can increase profitability by 25–95% (Reichheld, F., Harvard Business Review).</w:t>
      </w:r>
    </w:p>
    <w:p>
      <w:pPr>
        <w:spacing w:after="120"/>
      </w:pPr>
      <w:r>
        <w:rPr>
          <w:b w:val="0"/>
          <w:i w:val="0"/>
          <w:sz w:val="22"/>
        </w:rPr>
        <w:t>This project addresses churn prediction for a hypothetical mid-sized telecom operator serving approximately 7 million subscribers. The business is experiencing an annual churn rate of 22%, costing an estimated $42 million per year in lost revenue. Despite having rich customer data across CRM, billing, usage, and support channels, the company currently relies on reactive strategies — offering discounts only after a customer files a cancellation request. A predictive, data-driven approach would allow the business to intervene proactively.</w:t>
      </w:r>
    </w:p>
    <w:p>
      <w:pPr>
        <w:pStyle w:val="Heading2"/>
        <w:spacing w:before="280" w:after="80"/>
      </w:pPr>
      <w:r>
        <w:rPr>
          <w:color w:val="FF6584"/>
        </w:rPr>
        <w:t>1.1 Problem Motivation</w:t>
      </w:r>
    </w:p>
    <w:p>
      <w:pPr>
        <w:spacing w:after="120"/>
      </w:pPr>
      <w:r>
        <w:rPr>
          <w:b w:val="0"/>
          <w:i w:val="0"/>
          <w:sz w:val="22"/>
        </w:rPr>
        <w:t>The core motivation is to transition the telecom company from reactive churn management to proactive, AI-driven customer retention. By identifying at-risk customers 30–60 days before they churn, retention teams can deploy personalised offers, service improvements, or priority support — dramatically reducing the churn rate and protecting revenue.</w:t>
      </w:r>
    </w:p>
    <w:p>
      <w:pPr>
        <w:pStyle w:val="Heading2"/>
        <w:spacing w:before="280" w:after="80"/>
      </w:pPr>
      <w:r>
        <w:rPr>
          <w:color w:val="FF6584"/>
        </w:rPr>
        <w:t>1.2 Why Python?</w:t>
      </w:r>
    </w:p>
    <w:p>
      <w:pPr>
        <w:pStyle w:val="ListBullet"/>
        <w:spacing w:after="60"/>
      </w:pPr>
      <w:r>
        <w:t>Rich ecosystem: pandas, NumPy, scikit-learn, XGBoost, LightGBM, matplotlib, seaborn, plotly.</w:t>
      </w:r>
    </w:p>
    <w:p>
      <w:pPr>
        <w:pStyle w:val="ListBullet"/>
        <w:spacing w:after="60"/>
      </w:pPr>
      <w:r>
        <w:t>Rapid prototyping and iteration through Jupyter Notebooks.</w:t>
      </w:r>
    </w:p>
    <w:p>
      <w:pPr>
        <w:pStyle w:val="ListBullet"/>
        <w:spacing w:after="60"/>
      </w:pPr>
      <w:r>
        <w:t>Seamless integration with cloud services (AWS SageMaker, GCP Vertex AI, Azure ML).</w:t>
      </w:r>
    </w:p>
    <w:p>
      <w:pPr>
        <w:pStyle w:val="ListBullet"/>
        <w:spacing w:after="60"/>
      </w:pPr>
      <w:r>
        <w:t>Strong community support and extensive open-source libraries for every stage of the pipeline.</w:t>
      </w:r>
    </w:p>
    <w:p>
      <w:pPr>
        <w:pStyle w:val="ListBullet"/>
        <w:spacing w:after="60"/>
      </w:pPr>
      <w:r>
        <w:t>Production-readiness via Flask/FastAPI for model serving and MLflow for experiment tracking.</w:t>
      </w:r>
    </w:p>
    <w:p>
      <w:pPr>
        <w:jc w:val="center"/>
      </w:pPr>
      <w:r>
        <w:drawing>
          <wp:inline xmlns:a="http://schemas.openxmlformats.org/drawingml/2006/main" xmlns:pic="http://schemas.openxmlformats.org/drawingml/2006/picture">
            <wp:extent cx="5029200" cy="5032587"/>
            <wp:docPr id="1" name="Picture 1"/>
            <wp:cNvGraphicFramePr>
              <a:graphicFrameLocks noChangeAspect="1"/>
            </wp:cNvGraphicFramePr>
            <a:graphic>
              <a:graphicData uri="http://schemas.openxmlformats.org/drawingml/2006/picture">
                <pic:pic>
                  <pic:nvPicPr>
                    <pic:cNvPr id="0" name="project_lifecycle.png"/>
                    <pic:cNvPicPr/>
                  </pic:nvPicPr>
                  <pic:blipFill>
                    <a:blip r:embed="rId9"/>
                    <a:stretch>
                      <a:fillRect/>
                    </a:stretch>
                  </pic:blipFill>
                  <pic:spPr>
                    <a:xfrm>
                      <a:off x="0" y="0"/>
                      <a:ext cx="5029200" cy="5032587"/>
                    </a:xfrm>
                    <a:prstGeom prst="rect"/>
                  </pic:spPr>
                </pic:pic>
              </a:graphicData>
            </a:graphic>
          </wp:inline>
        </w:drawing>
      </w:r>
    </w:p>
    <w:p>
      <w:pPr>
        <w:jc w:val="center"/>
      </w:pPr>
      <w:r>
        <w:rPr>
          <w:i/>
          <w:color w:val="787878"/>
          <w:sz w:val="18"/>
        </w:rPr>
        <w:t>Figure: Data Science Project Lifecycle for Customer Churn Prediction</w:t>
      </w:r>
    </w:p>
    <w:p/>
    <w:p>
      <w:pPr>
        <w:pStyle w:val="Heading1"/>
        <w:spacing w:before="280" w:after="80"/>
      </w:pPr>
      <w:r>
        <w:rPr>
          <w:color w:val="6C63FF"/>
        </w:rPr>
        <w:t>2. Project Objectives &amp; Scope</w:t>
      </w:r>
    </w:p>
    <w:p>
      <w:pPr>
        <w:pStyle w:val="Heading2"/>
        <w:spacing w:before="280" w:after="80"/>
      </w:pPr>
      <w:r>
        <w:rPr>
          <w:color w:val="FF6584"/>
        </w:rPr>
        <w:t>2.1 Primary Objectives</w:t>
      </w:r>
    </w:p>
    <w:p>
      <w:pPr>
        <w:pStyle w:val="ListBullet"/>
        <w:spacing w:after="60"/>
      </w:pPr>
      <w:r>
        <w:t>O1: Develop a binary classification model to predict customer churn with AUC-ROC ≥ 0.88.</w:t>
      </w:r>
    </w:p>
    <w:p>
      <w:pPr>
        <w:pStyle w:val="ListBullet"/>
        <w:spacing w:after="60"/>
      </w:pPr>
      <w:r>
        <w:t>O2: Identify the top 10 features driving churn behaviour.</w:t>
      </w:r>
    </w:p>
    <w:p>
      <w:pPr>
        <w:pStyle w:val="ListBullet"/>
        <w:spacing w:after="60"/>
      </w:pPr>
      <w:r>
        <w:t>O3: Reduce false-negative rate (missed churners) to below 15%.</w:t>
      </w:r>
    </w:p>
    <w:p>
      <w:pPr>
        <w:pStyle w:val="ListBullet"/>
        <w:spacing w:after="60"/>
      </w:pPr>
      <w:r>
        <w:t>O4: Deliver a scoring pipeline that can classify 1 million customers in under 10 minutes.</w:t>
      </w:r>
    </w:p>
    <w:p>
      <w:pPr>
        <w:pStyle w:val="ListBullet"/>
        <w:spacing w:after="60"/>
      </w:pPr>
      <w:r>
        <w:t>O5: Produce actionable, interpretable outputs for the marketing and retention teams.</w:t>
      </w:r>
    </w:p>
    <w:p>
      <w:pPr>
        <w:pStyle w:val="Heading2"/>
        <w:spacing w:before="280" w:after="80"/>
      </w:pPr>
      <w:r>
        <w:rPr>
          <w:color w:val="FF6584"/>
        </w:rPr>
        <w:t>2.2 Secondary Objectives</w:t>
      </w:r>
    </w:p>
    <w:p>
      <w:pPr>
        <w:pStyle w:val="ListBullet"/>
        <w:spacing w:after="60"/>
      </w:pPr>
      <w:r>
        <w:t>Establish a reusable data pipeline for future churn cohorts.</w:t>
      </w:r>
    </w:p>
    <w:p>
      <w:pPr>
        <w:pStyle w:val="ListBullet"/>
        <w:spacing w:after="60"/>
      </w:pPr>
      <w:r>
        <w:t>Create an interactive dashboard for ongoing churn monitoring.</w:t>
      </w:r>
    </w:p>
    <w:p>
      <w:pPr>
        <w:pStyle w:val="ListBullet"/>
        <w:spacing w:after="60"/>
      </w:pPr>
      <w:r>
        <w:t>Document all steps to facilitate knowledge transfer.</w:t>
      </w:r>
    </w:p>
    <w:p>
      <w:pPr>
        <w:pStyle w:val="Heading2"/>
        <w:spacing w:before="280" w:after="80"/>
      </w:pPr>
      <w:r>
        <w:rPr>
          <w:color w:val="FF6584"/>
        </w:rPr>
        <w:t>2.3 Scope</w:t>
      </w:r>
    </w:p>
    <w:p>
      <w:pPr>
        <w:spacing w:after="120"/>
      </w:pPr>
      <w:r>
        <w:rPr>
          <w:b/>
          <w:i w:val="0"/>
          <w:sz w:val="22"/>
        </w:rPr>
        <w:t>IN-SCOPE:</w:t>
      </w:r>
    </w:p>
    <w:p>
      <w:pPr>
        <w:pStyle w:val="ListBullet"/>
        <w:spacing w:after="60"/>
      </w:pPr>
      <w:r>
        <w:t>Historical customer data (last 24 months): demographics, contract, billing, usage, support.</w:t>
      </w:r>
    </w:p>
    <w:p>
      <w:pPr>
        <w:pStyle w:val="ListBullet"/>
        <w:spacing w:after="60"/>
      </w:pPr>
      <w:r>
        <w:t>Supervised ML classification (Logistic Regression, Random Forest, XGBoost, LightGBM).</w:t>
      </w:r>
    </w:p>
    <w:p>
      <w:pPr>
        <w:pStyle w:val="ListBullet"/>
        <w:spacing w:after="60"/>
      </w:pPr>
      <w:r>
        <w:t>Batch prediction pipeline scored monthly.</w:t>
      </w:r>
    </w:p>
    <w:p>
      <w:pPr>
        <w:pStyle w:val="ListBullet"/>
        <w:spacing w:after="60"/>
      </w:pPr>
      <w:r>
        <w:t>Explainability using SHAP values.</w:t>
      </w:r>
    </w:p>
    <w:p>
      <w:pPr>
        <w:pStyle w:val="ListBullet"/>
        <w:spacing w:after="60"/>
      </w:pPr>
      <w:r>
        <w:t>Automated model retraining trigger on performance degradation.</w:t>
      </w:r>
    </w:p>
    <w:p>
      <w:pPr>
        <w:spacing w:after="120"/>
      </w:pPr>
      <w:r>
        <w:rPr>
          <w:b/>
          <w:i w:val="0"/>
          <w:sz w:val="22"/>
        </w:rPr>
        <w:t>OUT-OF-SCOPE:</w:t>
      </w:r>
    </w:p>
    <w:p>
      <w:pPr>
        <w:pStyle w:val="ListBullet"/>
        <w:spacing w:after="60"/>
      </w:pPr>
      <w:r>
        <w:t>Real-time streaming prediction (future phase).</w:t>
      </w:r>
    </w:p>
    <w:p>
      <w:pPr>
        <w:pStyle w:val="ListBullet"/>
        <w:spacing w:after="60"/>
      </w:pPr>
      <w:r>
        <w:t>Social media sentiment analysis.</w:t>
      </w:r>
    </w:p>
    <w:p>
      <w:pPr>
        <w:pStyle w:val="ListBullet"/>
        <w:spacing w:after="60"/>
      </w:pPr>
      <w:r>
        <w:t>Customer lifetime value optimisation (separate project).</w:t>
      </w:r>
    </w:p>
    <w:p>
      <w:pPr>
        <w:pStyle w:val="ListBullet"/>
        <w:spacing w:after="60"/>
      </w:pPr>
      <w:r>
        <w:t>Mobile application development.</w:t>
      </w:r>
    </w:p>
    <w:p>
      <w:pPr>
        <w:pStyle w:val="Heading1"/>
        <w:spacing w:before="280" w:after="80"/>
      </w:pPr>
      <w:r>
        <w:rPr>
          <w:color w:val="6C63FF"/>
        </w:rPr>
        <w:t>3. Methodology &amp; Strategy</w:t>
      </w:r>
    </w:p>
    <w:p>
      <w:pPr>
        <w:spacing w:after="120"/>
      </w:pPr>
      <w:r>
        <w:rPr>
          <w:b w:val="0"/>
          <w:i w:val="0"/>
          <w:sz w:val="22"/>
        </w:rPr>
        <w:t>The project follows the industry-standard CRISP-DM (Cross-Industry Standard Process for Data Mining) methodology, adapted with modern MLOps practices. Each phase is time-boxed and has well-defined entry and exit criteria.</w:t>
      </w:r>
    </w:p>
    <w:p>
      <w:pPr>
        <w:pStyle w:val="Heading2"/>
        <w:spacing w:before="280" w:after="80"/>
      </w:pPr>
      <w:r>
        <w:rPr>
          <w:color w:val="43CBFF"/>
        </w:rPr>
        <w:t>Phase 1: Business Understanding</w:t>
      </w:r>
    </w:p>
    <w:p>
      <w:pPr>
        <w:spacing w:after="120"/>
      </w:pPr>
      <w:r>
        <w:rPr>
          <w:b w:val="0"/>
          <w:i w:val="0"/>
          <w:sz w:val="22"/>
        </w:rPr>
        <w:t>Collaborate with business stakeholders to define churn precisely (e.g., no activity for 60 days), agree on success KPIs, and document constraints such as data privacy regulations.</w:t>
      </w:r>
    </w:p>
    <w:p>
      <w:pPr>
        <w:pStyle w:val="Heading2"/>
        <w:spacing w:before="280" w:after="80"/>
      </w:pPr>
      <w:r>
        <w:rPr>
          <w:color w:val="43CBFF"/>
        </w:rPr>
        <w:t>Phase 2: Data Understanding &amp; Collection</w:t>
      </w:r>
    </w:p>
    <w:p>
      <w:pPr>
        <w:spacing w:after="120"/>
      </w:pPr>
      <w:r>
        <w:rPr>
          <w:b w:val="0"/>
          <w:i w:val="0"/>
          <w:sz w:val="22"/>
        </w:rPr>
        <w:t>Identify data sources (CRM, billing system, call data records, helpdesk tickets), assess data quality, and create a data dictionary. Expected features: ~80 raw variables.</w:t>
      </w:r>
    </w:p>
    <w:p>
      <w:pPr>
        <w:pStyle w:val="Heading2"/>
        <w:spacing w:before="280" w:after="80"/>
      </w:pPr>
      <w:r>
        <w:rPr>
          <w:color w:val="43CBFF"/>
        </w:rPr>
        <w:t>Phase 3: Data Preparation</w:t>
      </w:r>
    </w:p>
    <w:p>
      <w:pPr>
        <w:spacing w:after="120"/>
      </w:pPr>
      <w:r>
        <w:rPr>
          <w:b w:val="0"/>
          <w:i w:val="0"/>
          <w:sz w:val="22"/>
        </w:rPr>
        <w:t>Execute ETL pipelines using pandas. Handle missing values via median/mode imputation and MICE for complex patterns. Encode categorical variables (one-hot, target encoding). Normalise numerical features using StandardScaler/RobustScaler. Address class imbalance using SMOTE or class_weight='balanced'.</w:t>
      </w:r>
    </w:p>
    <w:p>
      <w:pPr>
        <w:pStyle w:val="Heading2"/>
        <w:spacing w:before="280" w:after="80"/>
      </w:pPr>
      <w:r>
        <w:rPr>
          <w:color w:val="43CBFF"/>
        </w:rPr>
        <w:t>Phase 4: Modelling</w:t>
      </w:r>
    </w:p>
    <w:p>
      <w:pPr>
        <w:spacing w:after="120"/>
      </w:pPr>
      <w:r>
        <w:rPr>
          <w:b w:val="0"/>
          <w:i w:val="0"/>
          <w:sz w:val="22"/>
        </w:rPr>
        <w:t>Train baseline (Logistic Regression), intermediate (Random Forest), and advanced (XGBoost, LightGBM) models. Use Optuna for hyperparameter optimisation. Compare models on a stratified train/validation/test split (60/20/20).</w:t>
      </w:r>
    </w:p>
    <w:p>
      <w:pPr>
        <w:pStyle w:val="Heading2"/>
        <w:spacing w:before="280" w:after="80"/>
      </w:pPr>
      <w:r>
        <w:rPr>
          <w:color w:val="43CBFF"/>
        </w:rPr>
        <w:t>Phase 5: Evaluation</w:t>
      </w:r>
    </w:p>
    <w:p>
      <w:pPr>
        <w:spacing w:after="120"/>
      </w:pPr>
      <w:r>
        <w:rPr>
          <w:b w:val="0"/>
          <w:i w:val="0"/>
          <w:sz w:val="22"/>
        </w:rPr>
        <w:t>Evaluate using AUC-ROC, F1-score, Precision-Recall curve, and business metrics (revenue at risk captured). Run 5-fold stratified cross-validation for robustness.</w:t>
      </w:r>
    </w:p>
    <w:p>
      <w:pPr>
        <w:pStyle w:val="Heading2"/>
        <w:spacing w:before="280" w:after="80"/>
      </w:pPr>
      <w:r>
        <w:rPr>
          <w:color w:val="43CBFF"/>
        </w:rPr>
        <w:t>Phase 6: Deployment</w:t>
      </w:r>
    </w:p>
    <w:p>
      <w:pPr>
        <w:spacing w:after="120"/>
      </w:pPr>
      <w:r>
        <w:rPr>
          <w:b w:val="0"/>
          <w:i w:val="0"/>
          <w:sz w:val="22"/>
        </w:rPr>
        <w:t>Package the best model as a REST API using FastAPI. Schedule monthly batch scoring via Apache Airflow. Store predictions in a data warehouse for the retention dashboard.</w:t>
      </w:r>
    </w:p>
    <w:p>
      <w:pPr>
        <w:jc w:val="center"/>
      </w:pPr>
      <w:r>
        <w:drawing>
          <wp:inline xmlns:a="http://schemas.openxmlformats.org/drawingml/2006/main" xmlns:pic="http://schemas.openxmlformats.org/drawingml/2006/picture">
            <wp:extent cx="5029200" cy="7044267"/>
            <wp:docPr id="2" name="Picture 2"/>
            <wp:cNvGraphicFramePr>
              <a:graphicFrameLocks noChangeAspect="1"/>
            </wp:cNvGraphicFramePr>
            <a:graphic>
              <a:graphicData uri="http://schemas.openxmlformats.org/drawingml/2006/picture">
                <pic:pic>
                  <pic:nvPicPr>
                    <pic:cNvPr id="0" name="methodology_flowchart.png"/>
                    <pic:cNvPicPr/>
                  </pic:nvPicPr>
                  <pic:blipFill>
                    <a:blip r:embed="rId10"/>
                    <a:stretch>
                      <a:fillRect/>
                    </a:stretch>
                  </pic:blipFill>
                  <pic:spPr>
                    <a:xfrm>
                      <a:off x="0" y="0"/>
                      <a:ext cx="5029200" cy="7044267"/>
                    </a:xfrm>
                    <a:prstGeom prst="rect"/>
                  </pic:spPr>
                </pic:pic>
              </a:graphicData>
            </a:graphic>
          </wp:inline>
        </w:drawing>
      </w:r>
    </w:p>
    <w:p>
      <w:pPr>
        <w:jc w:val="center"/>
      </w:pPr>
      <w:r>
        <w:rPr>
          <w:i/>
          <w:color w:val="787878"/>
          <w:sz w:val="18"/>
        </w:rPr>
        <w:t>Figure: Customer Churn Prediction – Methodology Flowchart (CRISP-DM adapted)</w:t>
      </w:r>
    </w:p>
    <w:p/>
    <w:p>
      <w:pPr>
        <w:pStyle w:val="Heading1"/>
        <w:spacing w:before="280" w:after="80"/>
      </w:pPr>
      <w:r>
        <w:rPr>
          <w:color w:val="6C63FF"/>
        </w:rPr>
        <w:t>4. Timeline &amp; Resource Allocation</w:t>
      </w:r>
    </w:p>
    <w:p>
      <w:pPr>
        <w:spacing w:after="120"/>
      </w:pPr>
      <w:r>
        <w:rPr>
          <w:b w:val="0"/>
          <w:i w:val="0"/>
          <w:sz w:val="22"/>
        </w:rPr>
        <w:t>The project is planned over a 30–35 hour engagement for the planning and strategy phase. The Gantt chart below illustrates the allocation of effort across key activities.</w:t>
      </w:r>
    </w:p>
    <w:p>
      <w:pPr>
        <w:jc w:val="center"/>
      </w:pPr>
      <w:r>
        <w:drawing>
          <wp:inline xmlns:a="http://schemas.openxmlformats.org/drawingml/2006/main" xmlns:pic="http://schemas.openxmlformats.org/drawingml/2006/picture">
            <wp:extent cx="5029200" cy="2854867"/>
            <wp:docPr id="3" name="Picture 3"/>
            <wp:cNvGraphicFramePr>
              <a:graphicFrameLocks noChangeAspect="1"/>
            </wp:cNvGraphicFramePr>
            <a:graphic>
              <a:graphicData uri="http://schemas.openxmlformats.org/drawingml/2006/picture">
                <pic:pic>
                  <pic:nvPicPr>
                    <pic:cNvPr id="0" name="timeline_gantt.png"/>
                    <pic:cNvPicPr/>
                  </pic:nvPicPr>
                  <pic:blipFill>
                    <a:blip r:embed="rId11"/>
                    <a:stretch>
                      <a:fillRect/>
                    </a:stretch>
                  </pic:blipFill>
                  <pic:spPr>
                    <a:xfrm>
                      <a:off x="0" y="0"/>
                      <a:ext cx="5029200" cy="2854867"/>
                    </a:xfrm>
                    <a:prstGeom prst="rect"/>
                  </pic:spPr>
                </pic:pic>
              </a:graphicData>
            </a:graphic>
          </wp:inline>
        </w:drawing>
      </w:r>
    </w:p>
    <w:p>
      <w:pPr>
        <w:jc w:val="center"/>
      </w:pPr>
      <w:r>
        <w:rPr>
          <w:i/>
          <w:color w:val="787878"/>
          <w:sz w:val="18"/>
        </w:rPr>
        <w:t>Figure: Project Timeline – Gantt Chart (30–35 Hours Total)</w:t>
      </w:r>
    </w:p>
    <w:p/>
    <w:p>
      <w:pPr>
        <w:spacing w:after="120"/>
      </w:pPr>
      <w:r>
        <w:rPr>
          <w:b/>
          <w:i w:val="0"/>
          <w:sz w:val="22"/>
        </w:rPr>
        <w:t>Effort Summary Table:</w:t>
      </w:r>
    </w:p>
    <w:tbl>
      <w:tblPr>
        <w:tblStyle w:val="TableGrid"/>
        <w:tblW w:type="auto" w:w="0"/>
        <w:tblLook w:firstColumn="1" w:firstRow="1" w:lastColumn="0" w:lastRow="0" w:noHBand="0" w:noVBand="1" w:val="04A0"/>
      </w:tblPr>
      <w:tblGrid>
        <w:gridCol w:w="3135"/>
        <w:gridCol w:w="3135"/>
        <w:gridCol w:w="3135"/>
      </w:tblGrid>
      <w:tr>
        <w:tc>
          <w:tcPr>
            <w:tcW w:type="dxa" w:w="3135"/>
            <w:shd w:fill="6C63FF" w:color="auto" w:val="clear"/>
          </w:tcPr>
          <w:p>
            <w:pPr>
              <w:jc w:val="center"/>
            </w:pPr>
            <w:r>
              <w:rPr>
                <w:b/>
                <w:color w:val="FFFFFF"/>
              </w:rPr>
              <w:t>Activity</w:t>
            </w:r>
          </w:p>
        </w:tc>
        <w:tc>
          <w:tcPr>
            <w:tcW w:type="dxa" w:w="3135"/>
            <w:shd w:fill="6C63FF" w:color="auto" w:val="clear"/>
          </w:tcPr>
          <w:p>
            <w:pPr>
              <w:jc w:val="center"/>
            </w:pPr>
            <w:r>
              <w:rPr>
                <w:b/>
                <w:color w:val="FFFFFF"/>
              </w:rPr>
              <w:t>Hours</w:t>
            </w:r>
          </w:p>
        </w:tc>
        <w:tc>
          <w:tcPr>
            <w:tcW w:type="dxa" w:w="3135"/>
            <w:shd w:fill="6C63FF" w:color="auto" w:val="clear"/>
          </w:tcPr>
          <w:p>
            <w:pPr>
              <w:jc w:val="center"/>
            </w:pPr>
            <w:r>
              <w:rPr>
                <w:b/>
                <w:color w:val="FFFFFF"/>
              </w:rPr>
              <w:t>Deliverable</w:t>
            </w:r>
          </w:p>
        </w:tc>
      </w:tr>
      <w:tr>
        <w:tc>
          <w:tcPr>
            <w:tcW w:type="dxa" w:w="3135"/>
          </w:tcPr>
          <w:p>
            <w:pPr>
              <w:jc w:val="left"/>
            </w:pPr>
            <w:r>
              <w:t>Problem Definition &amp; Background Research</w:t>
            </w:r>
          </w:p>
        </w:tc>
        <w:tc>
          <w:tcPr>
            <w:tcW w:type="dxa" w:w="3135"/>
          </w:tcPr>
          <w:p>
            <w:pPr>
              <w:jc w:val="left"/>
            </w:pPr>
            <w:r>
              <w:t>3h</w:t>
            </w:r>
          </w:p>
        </w:tc>
        <w:tc>
          <w:tcPr>
            <w:tcW w:type="dxa" w:w="3135"/>
          </w:tcPr>
          <w:p>
            <w:pPr>
              <w:jc w:val="left"/>
            </w:pPr>
            <w:r>
              <w:t>Problem statement doc</w:t>
            </w:r>
          </w:p>
        </w:tc>
      </w:tr>
      <w:tr>
        <w:tc>
          <w:tcPr>
            <w:tcW w:type="dxa" w:w="3135"/>
          </w:tcPr>
          <w:p>
            <w:pPr>
              <w:jc w:val="left"/>
            </w:pPr>
            <w:r>
              <w:t>Project Objective &amp; Scope Definition</w:t>
            </w:r>
          </w:p>
        </w:tc>
        <w:tc>
          <w:tcPr>
            <w:tcW w:type="dxa" w:w="3135"/>
          </w:tcPr>
          <w:p>
            <w:pPr>
              <w:jc w:val="left"/>
            </w:pPr>
            <w:r>
              <w:t>2h</w:t>
            </w:r>
          </w:p>
        </w:tc>
        <w:tc>
          <w:tcPr>
            <w:tcW w:type="dxa" w:w="3135"/>
          </w:tcPr>
          <w:p>
            <w:pPr>
              <w:jc w:val="left"/>
            </w:pPr>
            <w:r>
              <w:t>Scope document</w:t>
            </w:r>
          </w:p>
        </w:tc>
      </w:tr>
      <w:tr>
        <w:tc>
          <w:tcPr>
            <w:tcW w:type="dxa" w:w="3135"/>
          </w:tcPr>
          <w:p>
            <w:pPr>
              <w:jc w:val="left"/>
            </w:pPr>
            <w:r>
              <w:t>Methodology &amp; Strategy Design</w:t>
            </w:r>
          </w:p>
        </w:tc>
        <w:tc>
          <w:tcPr>
            <w:tcW w:type="dxa" w:w="3135"/>
          </w:tcPr>
          <w:p>
            <w:pPr>
              <w:jc w:val="left"/>
            </w:pPr>
            <w:r>
              <w:t>4h</w:t>
            </w:r>
          </w:p>
        </w:tc>
        <w:tc>
          <w:tcPr>
            <w:tcW w:type="dxa" w:w="3135"/>
          </w:tcPr>
          <w:p>
            <w:pPr>
              <w:jc w:val="left"/>
            </w:pPr>
            <w:r>
              <w:t>Methodology plan</w:t>
            </w:r>
          </w:p>
        </w:tc>
      </w:tr>
      <w:tr>
        <w:tc>
          <w:tcPr>
            <w:tcW w:type="dxa" w:w="3135"/>
          </w:tcPr>
          <w:p>
            <w:pPr>
              <w:jc w:val="left"/>
            </w:pPr>
            <w:r>
              <w:t>Data Source Identification</w:t>
            </w:r>
          </w:p>
        </w:tc>
        <w:tc>
          <w:tcPr>
            <w:tcW w:type="dxa" w:w="3135"/>
          </w:tcPr>
          <w:p>
            <w:pPr>
              <w:jc w:val="left"/>
            </w:pPr>
            <w:r>
              <w:t>3h</w:t>
            </w:r>
          </w:p>
        </w:tc>
        <w:tc>
          <w:tcPr>
            <w:tcW w:type="dxa" w:w="3135"/>
          </w:tcPr>
          <w:p>
            <w:pPr>
              <w:jc w:val="left"/>
            </w:pPr>
            <w:r>
              <w:t>Data dictionary draft</w:t>
            </w:r>
          </w:p>
        </w:tc>
      </w:tr>
      <w:tr>
        <w:tc>
          <w:tcPr>
            <w:tcW w:type="dxa" w:w="3135"/>
          </w:tcPr>
          <w:p>
            <w:pPr>
              <w:jc w:val="left"/>
            </w:pPr>
            <w:r>
              <w:t>Tool &amp; Library Selection</w:t>
            </w:r>
          </w:p>
        </w:tc>
        <w:tc>
          <w:tcPr>
            <w:tcW w:type="dxa" w:w="3135"/>
          </w:tcPr>
          <w:p>
            <w:pPr>
              <w:jc w:val="left"/>
            </w:pPr>
            <w:r>
              <w:t>2h</w:t>
            </w:r>
          </w:p>
        </w:tc>
        <w:tc>
          <w:tcPr>
            <w:tcW w:type="dxa" w:w="3135"/>
          </w:tcPr>
          <w:p>
            <w:pPr>
              <w:jc w:val="left"/>
            </w:pPr>
            <w:r>
              <w:t>Tech stack decision</w:t>
            </w:r>
          </w:p>
        </w:tc>
      </w:tr>
      <w:tr>
        <w:tc>
          <w:tcPr>
            <w:tcW w:type="dxa" w:w="3135"/>
          </w:tcPr>
          <w:p>
            <w:pPr>
              <w:jc w:val="left"/>
            </w:pPr>
            <w:r>
              <w:t>Timeline &amp; Resource Planning</w:t>
            </w:r>
          </w:p>
        </w:tc>
        <w:tc>
          <w:tcPr>
            <w:tcW w:type="dxa" w:w="3135"/>
          </w:tcPr>
          <w:p>
            <w:pPr>
              <w:jc w:val="left"/>
            </w:pPr>
            <w:r>
              <w:t>2h</w:t>
            </w:r>
          </w:p>
        </w:tc>
        <w:tc>
          <w:tcPr>
            <w:tcW w:type="dxa" w:w="3135"/>
          </w:tcPr>
          <w:p>
            <w:pPr>
              <w:jc w:val="left"/>
            </w:pPr>
            <w:r>
              <w:t>Gantt chart</w:t>
            </w:r>
          </w:p>
        </w:tc>
      </w:tr>
      <w:tr>
        <w:tc>
          <w:tcPr>
            <w:tcW w:type="dxa" w:w="3135"/>
          </w:tcPr>
          <w:p>
            <w:pPr>
              <w:jc w:val="left"/>
            </w:pPr>
            <w:r>
              <w:t>Flowchart &amp; Diagram Creation</w:t>
            </w:r>
          </w:p>
        </w:tc>
        <w:tc>
          <w:tcPr>
            <w:tcW w:type="dxa" w:w="3135"/>
          </w:tcPr>
          <w:p>
            <w:pPr>
              <w:jc w:val="left"/>
            </w:pPr>
            <w:r>
              <w:t>3h</w:t>
            </w:r>
          </w:p>
        </w:tc>
        <w:tc>
          <w:tcPr>
            <w:tcW w:type="dxa" w:w="3135"/>
          </w:tcPr>
          <w:p>
            <w:pPr>
              <w:jc w:val="left"/>
            </w:pPr>
            <w:r>
              <w:t>3 PNG diagrams</w:t>
            </w:r>
          </w:p>
        </w:tc>
      </w:tr>
      <w:tr>
        <w:tc>
          <w:tcPr>
            <w:tcW w:type="dxa" w:w="3135"/>
          </w:tcPr>
          <w:p>
            <w:pPr>
              <w:jc w:val="left"/>
            </w:pPr>
            <w:r>
              <w:t>Risk &amp; Challenge Analysis</w:t>
            </w:r>
          </w:p>
        </w:tc>
        <w:tc>
          <w:tcPr>
            <w:tcW w:type="dxa" w:w="3135"/>
          </w:tcPr>
          <w:p>
            <w:pPr>
              <w:jc w:val="left"/>
            </w:pPr>
            <w:r>
              <w:t>2h</w:t>
            </w:r>
          </w:p>
        </w:tc>
        <w:tc>
          <w:tcPr>
            <w:tcW w:type="dxa" w:w="3135"/>
          </w:tcPr>
          <w:p>
            <w:pPr>
              <w:jc w:val="left"/>
            </w:pPr>
            <w:r>
              <w:t>Risk register</w:t>
            </w:r>
          </w:p>
        </w:tc>
      </w:tr>
      <w:tr>
        <w:tc>
          <w:tcPr>
            <w:tcW w:type="dxa" w:w="3135"/>
          </w:tcPr>
          <w:p>
            <w:pPr>
              <w:jc w:val="left"/>
            </w:pPr>
            <w:r>
              <w:t>Report Writing &amp; Documentation</w:t>
            </w:r>
          </w:p>
        </w:tc>
        <w:tc>
          <w:tcPr>
            <w:tcW w:type="dxa" w:w="3135"/>
          </w:tcPr>
          <w:p>
            <w:pPr>
              <w:jc w:val="left"/>
            </w:pPr>
            <w:r>
              <w:t>4h</w:t>
            </w:r>
          </w:p>
        </w:tc>
        <w:tc>
          <w:tcPr>
            <w:tcW w:type="dxa" w:w="3135"/>
          </w:tcPr>
          <w:p>
            <w:pPr>
              <w:jc w:val="left"/>
            </w:pPr>
            <w:r>
              <w:t>Week 1 DOCX</w:t>
            </w:r>
          </w:p>
        </w:tc>
      </w:tr>
      <w:tr>
        <w:tc>
          <w:tcPr>
            <w:tcW w:type="dxa" w:w="3135"/>
          </w:tcPr>
          <w:p>
            <w:pPr>
              <w:jc w:val="left"/>
            </w:pPr>
            <w:r>
              <w:t>Review &amp; Finalization</w:t>
            </w:r>
          </w:p>
        </w:tc>
        <w:tc>
          <w:tcPr>
            <w:tcW w:type="dxa" w:w="3135"/>
          </w:tcPr>
          <w:p>
            <w:pPr>
              <w:jc w:val="left"/>
            </w:pPr>
            <w:r>
              <w:t>3h</w:t>
            </w:r>
          </w:p>
        </w:tc>
        <w:tc>
          <w:tcPr>
            <w:tcW w:type="dxa" w:w="3135"/>
          </w:tcPr>
          <w:p>
            <w:pPr>
              <w:jc w:val="left"/>
            </w:pPr>
            <w:r>
              <w:t>Reviewed final doc</w:t>
            </w:r>
          </w:p>
        </w:tc>
      </w:tr>
      <w:tr>
        <w:tc>
          <w:tcPr>
            <w:tcW w:type="dxa" w:w="3135"/>
          </w:tcPr>
          <w:p>
            <w:pPr>
              <w:jc w:val="left"/>
            </w:pPr>
            <w:r>
              <w:t>TOTAL</w:t>
            </w:r>
          </w:p>
        </w:tc>
        <w:tc>
          <w:tcPr>
            <w:tcW w:type="dxa" w:w="3135"/>
          </w:tcPr>
          <w:p>
            <w:pPr>
              <w:jc w:val="left"/>
            </w:pPr>
            <w:r>
              <w:t>28h</w:t>
            </w:r>
          </w:p>
        </w:tc>
        <w:tc>
          <w:tcPr>
            <w:tcW w:type="dxa" w:w="3135"/>
          </w:tcPr>
          <w:p>
            <w:pPr>
              <w:jc w:val="left"/>
            </w:pPr>
            <w:r>
              <w:t>—</w:t>
            </w:r>
          </w:p>
        </w:tc>
      </w:tr>
    </w:tbl>
    <w:p/>
    <w:p>
      <w:pPr>
        <w:pStyle w:val="Heading2"/>
        <w:spacing w:before="280" w:after="80"/>
      </w:pPr>
      <w:r>
        <w:rPr>
          <w:color w:val="FF6584"/>
        </w:rPr>
        <w:t>4.1 Python Tools &amp; Libraries</w:t>
      </w:r>
    </w:p>
    <w:tbl>
      <w:tblPr>
        <w:tblStyle w:val="TableGrid"/>
        <w:tblW w:type="auto" w:w="0"/>
        <w:tblLook w:firstColumn="1" w:firstRow="1" w:lastColumn="0" w:lastRow="0" w:noHBand="0" w:noVBand="1" w:val="04A0"/>
      </w:tblPr>
      <w:tblGrid>
        <w:gridCol w:w="3135"/>
        <w:gridCol w:w="3135"/>
        <w:gridCol w:w="3135"/>
      </w:tblGrid>
      <w:tr>
        <w:tc>
          <w:tcPr>
            <w:tcW w:type="dxa" w:w="3135"/>
            <w:shd w:fill="6C63FF" w:color="auto" w:val="clear"/>
          </w:tcPr>
          <w:p>
            <w:pPr>
              <w:jc w:val="center"/>
            </w:pPr>
            <w:r>
              <w:rPr>
                <w:b/>
                <w:color w:val="FFFFFF"/>
              </w:rPr>
              <w:t>Category</w:t>
            </w:r>
          </w:p>
        </w:tc>
        <w:tc>
          <w:tcPr>
            <w:tcW w:type="dxa" w:w="3135"/>
            <w:shd w:fill="6C63FF" w:color="auto" w:val="clear"/>
          </w:tcPr>
          <w:p>
            <w:pPr>
              <w:jc w:val="center"/>
            </w:pPr>
            <w:r>
              <w:rPr>
                <w:b/>
                <w:color w:val="FFFFFF"/>
              </w:rPr>
              <w:t>Libraries / Tools</w:t>
            </w:r>
          </w:p>
        </w:tc>
        <w:tc>
          <w:tcPr>
            <w:tcW w:type="dxa" w:w="3135"/>
            <w:shd w:fill="6C63FF" w:color="auto" w:val="clear"/>
          </w:tcPr>
          <w:p>
            <w:pPr>
              <w:jc w:val="center"/>
            </w:pPr>
            <w:r>
              <w:rPr>
                <w:b/>
                <w:color w:val="FFFFFF"/>
              </w:rPr>
              <w:t>Purpose</w:t>
            </w:r>
          </w:p>
        </w:tc>
      </w:tr>
      <w:tr>
        <w:tc>
          <w:tcPr>
            <w:tcW w:type="dxa" w:w="3135"/>
          </w:tcPr>
          <w:p>
            <w:pPr>
              <w:jc w:val="left"/>
            </w:pPr>
            <w:r>
              <w:t>Data Manipulation</w:t>
            </w:r>
          </w:p>
        </w:tc>
        <w:tc>
          <w:tcPr>
            <w:tcW w:type="dxa" w:w="3135"/>
          </w:tcPr>
          <w:p>
            <w:pPr>
              <w:jc w:val="left"/>
            </w:pPr>
            <w:r>
              <w:t>pandas, numpy</w:t>
            </w:r>
          </w:p>
        </w:tc>
        <w:tc>
          <w:tcPr>
            <w:tcW w:type="dxa" w:w="3135"/>
          </w:tcPr>
          <w:p>
            <w:pPr>
              <w:jc w:val="left"/>
            </w:pPr>
            <w:r>
              <w:t>Data loading, wrangling, aggregation</w:t>
            </w:r>
          </w:p>
        </w:tc>
      </w:tr>
      <w:tr>
        <w:tc>
          <w:tcPr>
            <w:tcW w:type="dxa" w:w="3135"/>
          </w:tcPr>
          <w:p>
            <w:pPr>
              <w:jc w:val="left"/>
            </w:pPr>
            <w:r>
              <w:t>Visualisation</w:t>
            </w:r>
          </w:p>
        </w:tc>
        <w:tc>
          <w:tcPr>
            <w:tcW w:type="dxa" w:w="3135"/>
          </w:tcPr>
          <w:p>
            <w:pPr>
              <w:jc w:val="left"/>
            </w:pPr>
            <w:r>
              <w:t>matplotlib, seaborn, plotly</w:t>
            </w:r>
          </w:p>
        </w:tc>
        <w:tc>
          <w:tcPr>
            <w:tcW w:type="dxa" w:w="3135"/>
          </w:tcPr>
          <w:p>
            <w:pPr>
              <w:jc w:val="left"/>
            </w:pPr>
            <w:r>
              <w:t>EDA plots, dashboards, interactive charts</w:t>
            </w:r>
          </w:p>
        </w:tc>
      </w:tr>
      <w:tr>
        <w:tc>
          <w:tcPr>
            <w:tcW w:type="dxa" w:w="3135"/>
          </w:tcPr>
          <w:p>
            <w:pPr>
              <w:jc w:val="left"/>
            </w:pPr>
            <w:r>
              <w:t>Machine Learning</w:t>
            </w:r>
          </w:p>
        </w:tc>
        <w:tc>
          <w:tcPr>
            <w:tcW w:type="dxa" w:w="3135"/>
          </w:tcPr>
          <w:p>
            <w:pPr>
              <w:jc w:val="left"/>
            </w:pPr>
            <w:r>
              <w:t>scikit-learn, XGBoost, LightGBM</w:t>
            </w:r>
          </w:p>
        </w:tc>
        <w:tc>
          <w:tcPr>
            <w:tcW w:type="dxa" w:w="3135"/>
          </w:tcPr>
          <w:p>
            <w:pPr>
              <w:jc w:val="left"/>
            </w:pPr>
            <w:r>
              <w:t>Model training and evaluation</w:t>
            </w:r>
          </w:p>
        </w:tc>
      </w:tr>
      <w:tr>
        <w:tc>
          <w:tcPr>
            <w:tcW w:type="dxa" w:w="3135"/>
          </w:tcPr>
          <w:p>
            <w:pPr>
              <w:jc w:val="left"/>
            </w:pPr>
            <w:r>
              <w:t>Explainability</w:t>
            </w:r>
          </w:p>
        </w:tc>
        <w:tc>
          <w:tcPr>
            <w:tcW w:type="dxa" w:w="3135"/>
          </w:tcPr>
          <w:p>
            <w:pPr>
              <w:jc w:val="left"/>
            </w:pPr>
            <w:r>
              <w:t>SHAP, eli5</w:t>
            </w:r>
          </w:p>
        </w:tc>
        <w:tc>
          <w:tcPr>
            <w:tcW w:type="dxa" w:w="3135"/>
          </w:tcPr>
          <w:p>
            <w:pPr>
              <w:jc w:val="left"/>
            </w:pPr>
            <w:r>
              <w:t>Feature importance, LIME explanations</w:t>
            </w:r>
          </w:p>
        </w:tc>
      </w:tr>
      <w:tr>
        <w:tc>
          <w:tcPr>
            <w:tcW w:type="dxa" w:w="3135"/>
          </w:tcPr>
          <w:p>
            <w:pPr>
              <w:jc w:val="left"/>
            </w:pPr>
            <w:r>
              <w:t>Experiment Tracking</w:t>
            </w:r>
          </w:p>
        </w:tc>
        <w:tc>
          <w:tcPr>
            <w:tcW w:type="dxa" w:w="3135"/>
          </w:tcPr>
          <w:p>
            <w:pPr>
              <w:jc w:val="left"/>
            </w:pPr>
            <w:r>
              <w:t>MLflow</w:t>
            </w:r>
          </w:p>
        </w:tc>
        <w:tc>
          <w:tcPr>
            <w:tcW w:type="dxa" w:w="3135"/>
          </w:tcPr>
          <w:p>
            <w:pPr>
              <w:jc w:val="left"/>
            </w:pPr>
            <w:r>
              <w:t>Run tracking, model registry</w:t>
            </w:r>
          </w:p>
        </w:tc>
      </w:tr>
      <w:tr>
        <w:tc>
          <w:tcPr>
            <w:tcW w:type="dxa" w:w="3135"/>
          </w:tcPr>
          <w:p>
            <w:pPr>
              <w:jc w:val="left"/>
            </w:pPr>
            <w:r>
              <w:t>Pipeline Automation</w:t>
            </w:r>
          </w:p>
        </w:tc>
        <w:tc>
          <w:tcPr>
            <w:tcW w:type="dxa" w:w="3135"/>
          </w:tcPr>
          <w:p>
            <w:pPr>
              <w:jc w:val="left"/>
            </w:pPr>
            <w:r>
              <w:t>Apache Airflow</w:t>
            </w:r>
          </w:p>
        </w:tc>
        <w:tc>
          <w:tcPr>
            <w:tcW w:type="dxa" w:w="3135"/>
          </w:tcPr>
          <w:p>
            <w:pPr>
              <w:jc w:val="left"/>
            </w:pPr>
            <w:r>
              <w:t>Scheduled batch scoring pipelines</w:t>
            </w:r>
          </w:p>
        </w:tc>
      </w:tr>
      <w:tr>
        <w:tc>
          <w:tcPr>
            <w:tcW w:type="dxa" w:w="3135"/>
          </w:tcPr>
          <w:p>
            <w:pPr>
              <w:jc w:val="left"/>
            </w:pPr>
            <w:r>
              <w:t>Model Serving</w:t>
            </w:r>
          </w:p>
        </w:tc>
        <w:tc>
          <w:tcPr>
            <w:tcW w:type="dxa" w:w="3135"/>
          </w:tcPr>
          <w:p>
            <w:pPr>
              <w:jc w:val="left"/>
            </w:pPr>
            <w:r>
              <w:t>FastAPI, uvicorn</w:t>
            </w:r>
          </w:p>
        </w:tc>
        <w:tc>
          <w:tcPr>
            <w:tcW w:type="dxa" w:w="3135"/>
          </w:tcPr>
          <w:p>
            <w:pPr>
              <w:jc w:val="left"/>
            </w:pPr>
            <w:r>
              <w:t>REST API for real-time predictions</w:t>
            </w:r>
          </w:p>
        </w:tc>
      </w:tr>
      <w:tr>
        <w:tc>
          <w:tcPr>
            <w:tcW w:type="dxa" w:w="3135"/>
          </w:tcPr>
          <w:p>
            <w:pPr>
              <w:jc w:val="left"/>
            </w:pPr>
            <w:r>
              <w:t>Imbalance Handling</w:t>
            </w:r>
          </w:p>
        </w:tc>
        <w:tc>
          <w:tcPr>
            <w:tcW w:type="dxa" w:w="3135"/>
          </w:tcPr>
          <w:p>
            <w:pPr>
              <w:jc w:val="left"/>
            </w:pPr>
            <w:r>
              <w:t>imbalanced-learn (SMOTE)</w:t>
            </w:r>
          </w:p>
        </w:tc>
        <w:tc>
          <w:tcPr>
            <w:tcW w:type="dxa" w:w="3135"/>
          </w:tcPr>
          <w:p>
            <w:pPr>
              <w:jc w:val="left"/>
            </w:pPr>
            <w:r>
              <w:t>Address class imbalance</w:t>
            </w:r>
          </w:p>
        </w:tc>
      </w:tr>
      <w:tr>
        <w:tc>
          <w:tcPr>
            <w:tcW w:type="dxa" w:w="3135"/>
          </w:tcPr>
          <w:p>
            <w:pPr>
              <w:jc w:val="left"/>
            </w:pPr>
            <w:r>
              <w:t>Hyperparameter Opt.</w:t>
            </w:r>
          </w:p>
        </w:tc>
        <w:tc>
          <w:tcPr>
            <w:tcW w:type="dxa" w:w="3135"/>
          </w:tcPr>
          <w:p>
            <w:pPr>
              <w:jc w:val="left"/>
            </w:pPr>
            <w:r>
              <w:t>Optuna</w:t>
            </w:r>
          </w:p>
        </w:tc>
        <w:tc>
          <w:tcPr>
            <w:tcW w:type="dxa" w:w="3135"/>
          </w:tcPr>
          <w:p>
            <w:pPr>
              <w:jc w:val="left"/>
            </w:pPr>
            <w:r>
              <w:t>Automated hyperparameter search</w:t>
            </w:r>
          </w:p>
        </w:tc>
      </w:tr>
      <w:tr>
        <w:tc>
          <w:tcPr>
            <w:tcW w:type="dxa" w:w="3135"/>
          </w:tcPr>
          <w:p>
            <w:pPr>
              <w:jc w:val="left"/>
            </w:pPr>
            <w:r>
              <w:t>Report Generation</w:t>
            </w:r>
          </w:p>
        </w:tc>
        <w:tc>
          <w:tcPr>
            <w:tcW w:type="dxa" w:w="3135"/>
          </w:tcPr>
          <w:p>
            <w:pPr>
              <w:jc w:val="left"/>
            </w:pPr>
            <w:r>
              <w:t>python-docx, Jupyter</w:t>
            </w:r>
          </w:p>
        </w:tc>
        <w:tc>
          <w:tcPr>
            <w:tcW w:type="dxa" w:w="3135"/>
          </w:tcPr>
          <w:p>
            <w:pPr>
              <w:jc w:val="left"/>
            </w:pPr>
            <w:r>
              <w:t>DOCX reports, notebook presentations</w:t>
            </w:r>
          </w:p>
        </w:tc>
      </w:tr>
    </w:tbl>
    <w:p/>
    <w:p>
      <w:pPr>
        <w:pStyle w:val="Heading1"/>
        <w:spacing w:before="280" w:after="80"/>
      </w:pPr>
      <w:r>
        <w:rPr>
          <w:color w:val="6C63FF"/>
        </w:rPr>
        <w:t>5. Expected Outcomes</w:t>
      </w:r>
    </w:p>
    <w:p>
      <w:pPr>
        <w:pStyle w:val="Heading2"/>
        <w:spacing w:before="280" w:after="80"/>
      </w:pPr>
      <w:r>
        <w:rPr>
          <w:color w:val="56E39F"/>
        </w:rPr>
        <w:t>Predictive Model</w:t>
      </w:r>
    </w:p>
    <w:p>
      <w:pPr>
        <w:spacing w:after="120"/>
      </w:pPr>
      <w:r>
        <w:rPr>
          <w:b w:val="0"/>
          <w:i w:val="0"/>
          <w:sz w:val="22"/>
        </w:rPr>
        <w:t>A production-ready churn prediction model with AUC-ROC ≥ 0.88, enabling the retention team to prioritise outreach to the top 20% highest-risk customers.</w:t>
      </w:r>
    </w:p>
    <w:p>
      <w:pPr>
        <w:pStyle w:val="Heading2"/>
        <w:spacing w:before="280" w:after="80"/>
      </w:pPr>
      <w:r>
        <w:rPr>
          <w:color w:val="56E39F"/>
        </w:rPr>
        <w:t>Business Impact</w:t>
      </w:r>
    </w:p>
    <w:p>
      <w:pPr>
        <w:spacing w:after="120"/>
      </w:pPr>
      <w:r>
        <w:rPr>
          <w:b w:val="0"/>
          <w:i w:val="0"/>
          <w:sz w:val="22"/>
        </w:rPr>
        <w:t>Expected reduction of annual churn from 22% to 16–18%, translating to $15–20M in recovered annual revenue.</w:t>
      </w:r>
    </w:p>
    <w:p>
      <w:pPr>
        <w:pStyle w:val="Heading2"/>
        <w:spacing w:before="280" w:after="80"/>
      </w:pPr>
      <w:r>
        <w:rPr>
          <w:color w:val="56E39F"/>
        </w:rPr>
        <w:t>Customer Insights</w:t>
      </w:r>
    </w:p>
    <w:p>
      <w:pPr>
        <w:spacing w:after="120"/>
      </w:pPr>
      <w:r>
        <w:rPr>
          <w:b w:val="0"/>
          <w:i w:val="0"/>
          <w:sz w:val="22"/>
        </w:rPr>
        <w:t>A ranked list of the 10 most predictive features driving churn, informing product and pricing strategy.</w:t>
      </w:r>
    </w:p>
    <w:p>
      <w:pPr>
        <w:pStyle w:val="Heading2"/>
        <w:spacing w:before="280" w:after="80"/>
      </w:pPr>
      <w:r>
        <w:rPr>
          <w:color w:val="56E39F"/>
        </w:rPr>
        <w:t>Reusable Pipeline</w:t>
      </w:r>
    </w:p>
    <w:p>
      <w:pPr>
        <w:spacing w:after="120"/>
      </w:pPr>
      <w:r>
        <w:rPr>
          <w:b w:val="0"/>
          <w:i w:val="0"/>
          <w:sz w:val="22"/>
        </w:rPr>
        <w:t>A modular, fully documented ETL + ML pipeline reusable for future cohorts and other customer analytics projects.</w:t>
      </w:r>
    </w:p>
    <w:p>
      <w:pPr>
        <w:pStyle w:val="Heading2"/>
        <w:spacing w:before="280" w:after="80"/>
      </w:pPr>
      <w:r>
        <w:rPr>
          <w:color w:val="56E39F"/>
        </w:rPr>
        <w:t>Monitoring Dashboard</w:t>
      </w:r>
    </w:p>
    <w:p>
      <w:pPr>
        <w:spacing w:after="120"/>
      </w:pPr>
      <w:r>
        <w:rPr>
          <w:b w:val="0"/>
          <w:i w:val="0"/>
          <w:sz w:val="22"/>
        </w:rPr>
        <w:t>A live Power BI / Plotly Dash dashboard tracking churn probability distributions, model drift, and retention campaign effectiveness.</w:t>
      </w:r>
    </w:p>
    <w:p>
      <w:pPr>
        <w:pStyle w:val="Heading1"/>
        <w:spacing w:before="280" w:after="80"/>
      </w:pPr>
      <w:r>
        <w:rPr>
          <w:color w:val="6C63FF"/>
        </w:rPr>
        <w:t>6. Anticipated Challenges &amp; Mitigation Strategies</w:t>
      </w:r>
    </w:p>
    <w:tbl>
      <w:tblPr>
        <w:tblStyle w:val="TableGrid"/>
        <w:tblW w:type="auto" w:w="0"/>
        <w:tblLook w:firstColumn="1" w:firstRow="1" w:lastColumn="0" w:lastRow="0" w:noHBand="0" w:noVBand="1" w:val="04A0"/>
      </w:tblPr>
      <w:tblGrid>
        <w:gridCol w:w="3135"/>
        <w:gridCol w:w="3135"/>
        <w:gridCol w:w="3135"/>
      </w:tblGrid>
      <w:tr>
        <w:tc>
          <w:tcPr>
            <w:tcW w:type="dxa" w:w="3135"/>
            <w:shd w:fill="6C63FF" w:color="auto" w:val="clear"/>
          </w:tcPr>
          <w:p>
            <w:pPr>
              <w:jc w:val="center"/>
            </w:pPr>
            <w:r>
              <w:rPr>
                <w:b/>
                <w:color w:val="FFFFFF"/>
              </w:rPr>
              <w:t>Challenge</w:t>
            </w:r>
          </w:p>
        </w:tc>
        <w:tc>
          <w:tcPr>
            <w:tcW w:type="dxa" w:w="3135"/>
            <w:shd w:fill="6C63FF" w:color="auto" w:val="clear"/>
          </w:tcPr>
          <w:p>
            <w:pPr>
              <w:jc w:val="center"/>
            </w:pPr>
            <w:r>
              <w:rPr>
                <w:b/>
                <w:color w:val="FFFFFF"/>
              </w:rPr>
              <w:t>Impact</w:t>
            </w:r>
          </w:p>
        </w:tc>
        <w:tc>
          <w:tcPr>
            <w:tcW w:type="dxa" w:w="3135"/>
            <w:shd w:fill="6C63FF" w:color="auto" w:val="clear"/>
          </w:tcPr>
          <w:p>
            <w:pPr>
              <w:jc w:val="center"/>
            </w:pPr>
            <w:r>
              <w:rPr>
                <w:b/>
                <w:color w:val="FFFFFF"/>
              </w:rPr>
              <w:t>Mitigation Strategy</w:t>
            </w:r>
          </w:p>
        </w:tc>
      </w:tr>
      <w:tr>
        <w:tc>
          <w:tcPr>
            <w:tcW w:type="dxa" w:w="3135"/>
          </w:tcPr>
          <w:p>
            <w:pPr>
              <w:jc w:val="left"/>
            </w:pPr>
            <w:r>
              <w:t>Class imbalance (churn ~22%)</w:t>
            </w:r>
          </w:p>
        </w:tc>
        <w:tc>
          <w:tcPr>
            <w:tcW w:type="dxa" w:w="3135"/>
          </w:tcPr>
          <w:p>
            <w:pPr>
              <w:jc w:val="left"/>
            </w:pPr>
            <w:r>
              <w:t>High</w:t>
            </w:r>
          </w:p>
        </w:tc>
        <w:tc>
          <w:tcPr>
            <w:tcW w:type="dxa" w:w="3135"/>
          </w:tcPr>
          <w:p>
            <w:pPr>
              <w:jc w:val="left"/>
            </w:pPr>
            <w:r>
              <w:t>Use SMOTE oversampling + class_weight='balanced'; evaluate on F1 not accuracy</w:t>
            </w:r>
          </w:p>
        </w:tc>
      </w:tr>
      <w:tr>
        <w:tc>
          <w:tcPr>
            <w:tcW w:type="dxa" w:w="3135"/>
          </w:tcPr>
          <w:p>
            <w:pPr>
              <w:jc w:val="left"/>
            </w:pPr>
            <w:r>
              <w:t>Missing data in usage logs</w:t>
            </w:r>
          </w:p>
        </w:tc>
        <w:tc>
          <w:tcPr>
            <w:tcW w:type="dxa" w:w="3135"/>
          </w:tcPr>
          <w:p>
            <w:pPr>
              <w:jc w:val="left"/>
            </w:pPr>
            <w:r>
              <w:t>Medium</w:t>
            </w:r>
          </w:p>
        </w:tc>
        <w:tc>
          <w:tcPr>
            <w:tcW w:type="dxa" w:w="3135"/>
          </w:tcPr>
          <w:p>
            <w:pPr>
              <w:jc w:val="left"/>
            </w:pPr>
            <w:r>
              <w:t>MICE imputation for MAR; flag indicators for MNAR patterns</w:t>
            </w:r>
          </w:p>
        </w:tc>
      </w:tr>
      <w:tr>
        <w:tc>
          <w:tcPr>
            <w:tcW w:type="dxa" w:w="3135"/>
          </w:tcPr>
          <w:p>
            <w:pPr>
              <w:jc w:val="left"/>
            </w:pPr>
            <w:r>
              <w:t>Feature multicollinearity</w:t>
            </w:r>
          </w:p>
        </w:tc>
        <w:tc>
          <w:tcPr>
            <w:tcW w:type="dxa" w:w="3135"/>
          </w:tcPr>
          <w:p>
            <w:pPr>
              <w:jc w:val="left"/>
            </w:pPr>
            <w:r>
              <w:t>Medium</w:t>
            </w:r>
          </w:p>
        </w:tc>
        <w:tc>
          <w:tcPr>
            <w:tcW w:type="dxa" w:w="3135"/>
          </w:tcPr>
          <w:p>
            <w:pPr>
              <w:jc w:val="left"/>
            </w:pPr>
            <w:r>
              <w:t>VIF analysis; use tree-based models that handle correlation natively</w:t>
            </w:r>
          </w:p>
        </w:tc>
      </w:tr>
      <w:tr>
        <w:tc>
          <w:tcPr>
            <w:tcW w:type="dxa" w:w="3135"/>
          </w:tcPr>
          <w:p>
            <w:pPr>
              <w:jc w:val="left"/>
            </w:pPr>
            <w:r>
              <w:t>Concept drift post-deployment</w:t>
            </w:r>
          </w:p>
        </w:tc>
        <w:tc>
          <w:tcPr>
            <w:tcW w:type="dxa" w:w="3135"/>
          </w:tcPr>
          <w:p>
            <w:pPr>
              <w:jc w:val="left"/>
            </w:pPr>
            <w:r>
              <w:t>High</w:t>
            </w:r>
          </w:p>
        </w:tc>
        <w:tc>
          <w:tcPr>
            <w:tcW w:type="dxa" w:w="3135"/>
          </w:tcPr>
          <w:p>
            <w:pPr>
              <w:jc w:val="left"/>
            </w:pPr>
            <w:r>
              <w:t>Monitor PSI monthly; trigger retraining when PSI &gt; 0.2</w:t>
            </w:r>
          </w:p>
        </w:tc>
      </w:tr>
      <w:tr>
        <w:tc>
          <w:tcPr>
            <w:tcW w:type="dxa" w:w="3135"/>
          </w:tcPr>
          <w:p>
            <w:pPr>
              <w:jc w:val="left"/>
            </w:pPr>
            <w:r>
              <w:t>Data privacy &amp; GDPR compliance</w:t>
            </w:r>
          </w:p>
        </w:tc>
        <w:tc>
          <w:tcPr>
            <w:tcW w:type="dxa" w:w="3135"/>
          </w:tcPr>
          <w:p>
            <w:pPr>
              <w:jc w:val="left"/>
            </w:pPr>
            <w:r>
              <w:t>High</w:t>
            </w:r>
          </w:p>
        </w:tc>
        <w:tc>
          <w:tcPr>
            <w:tcW w:type="dxa" w:w="3135"/>
          </w:tcPr>
          <w:p>
            <w:pPr>
              <w:jc w:val="left"/>
            </w:pPr>
            <w:r>
              <w:t>Anonymise PII; use differential privacy where applicable</w:t>
            </w:r>
          </w:p>
        </w:tc>
      </w:tr>
      <w:tr>
        <w:tc>
          <w:tcPr>
            <w:tcW w:type="dxa" w:w="3135"/>
          </w:tcPr>
          <w:p>
            <w:pPr>
              <w:jc w:val="left"/>
            </w:pPr>
            <w:r>
              <w:t>Stakeholder alignment</w:t>
            </w:r>
          </w:p>
        </w:tc>
        <w:tc>
          <w:tcPr>
            <w:tcW w:type="dxa" w:w="3135"/>
          </w:tcPr>
          <w:p>
            <w:pPr>
              <w:jc w:val="left"/>
            </w:pPr>
            <w:r>
              <w:t>Medium</w:t>
            </w:r>
          </w:p>
        </w:tc>
        <w:tc>
          <w:tcPr>
            <w:tcW w:type="dxa" w:w="3135"/>
          </w:tcPr>
          <w:p>
            <w:pPr>
              <w:jc w:val="left"/>
            </w:pPr>
            <w:r>
              <w:t>Weekly status meetings; dashboard for non-technical stakeholders</w:t>
            </w:r>
          </w:p>
        </w:tc>
      </w:tr>
      <w:tr>
        <w:tc>
          <w:tcPr>
            <w:tcW w:type="dxa" w:w="3135"/>
          </w:tcPr>
          <w:p>
            <w:pPr>
              <w:jc w:val="left"/>
            </w:pPr>
            <w:r>
              <w:t>Computational resources</w:t>
            </w:r>
          </w:p>
        </w:tc>
        <w:tc>
          <w:tcPr>
            <w:tcW w:type="dxa" w:w="3135"/>
          </w:tcPr>
          <w:p>
            <w:pPr>
              <w:jc w:val="left"/>
            </w:pPr>
            <w:r>
              <w:t>Low</w:t>
            </w:r>
          </w:p>
        </w:tc>
        <w:tc>
          <w:tcPr>
            <w:tcW w:type="dxa" w:w="3135"/>
          </w:tcPr>
          <w:p>
            <w:pPr>
              <w:jc w:val="left"/>
            </w:pPr>
            <w:r>
              <w:t>Use cloud spot instances for training; cache preprocessed datasets</w:t>
            </w:r>
          </w:p>
        </w:tc>
      </w:tr>
    </w:tbl>
    <w:p/>
    <w:p>
      <w:pPr>
        <w:pStyle w:val="Heading1"/>
        <w:spacing w:before="280" w:after="80"/>
      </w:pPr>
      <w:r>
        <w:rPr>
          <w:color w:val="6C63FF"/>
        </w:rPr>
        <w:t>7. Conclusion</w:t>
      </w:r>
    </w:p>
    <w:p>
      <w:pPr>
        <w:spacing w:after="120"/>
      </w:pPr>
      <w:r>
        <w:rPr>
          <w:b w:val="0"/>
          <w:i w:val="0"/>
          <w:sz w:val="22"/>
        </w:rPr>
        <w:t>This Week 1 planning document establishes a solid strategic foundation for the Customer Churn Prediction project. By adopting the CRISP-DM methodology with modern MLOps practices, leveraging Python's powerful data science ecosystem, and maintaining rigorous documentation standards, the project is positioned to deliver measurable business value. The 30–35 hour planning investment ensures every subsequent phase — data collection, modelling, evaluation, and deployment — proceeds with clarity and purpose.</w:t>
      </w:r>
    </w:p>
    <w:p>
      <w:pPr>
        <w:spacing w:after="120"/>
      </w:pPr>
      <w:r>
        <w:rPr>
          <w:b w:val="0"/>
          <w:i w:val="0"/>
          <w:sz w:val="22"/>
        </w:rPr>
        <w:t>The comprehensive risk register and mitigation strategies ensure the team is prepared for common data science pitfalls. With executive buy-in secured through a clear ROI narrative and transparent success metrics, this project represents a benchmark for data-driven decision-making within the organisation.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