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FF8C42"/>
        </w:rPr>
        <w:t>Week 3 – ML Model Development &amp; Evaluation Plan</w:t>
      </w:r>
    </w:p>
    <w:p>
      <w:pPr>
        <w:jc w:val="center"/>
      </w:pPr>
      <w:r>
        <w:rPr>
          <w:color w:val="646478"/>
          <w:sz w:val="26"/>
        </w:rPr>
        <w:t>Customer Churn Prediction | Machine Learning Strategy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FF8C42"/>
        </w:rPr>
        <w:t>1. Problem Definition &amp; ML Justification</w:t>
      </w:r>
    </w:p>
    <w:p>
      <w:pPr>
        <w:spacing w:after="120"/>
      </w:pPr>
      <w:r>
        <w:rPr>
          <w:b w:val="0"/>
          <w:sz w:val="22"/>
        </w:rPr>
        <w:t>The business problem is binary classification: given a set of customer attributes and behavioural signals, predict whether a customer will churn within the next 30 days. This is formally defined as:</w:t>
      </w:r>
    </w:p>
    <w:p>
      <w:pPr>
        <w:spacing w:after="40"/>
        <w:ind w:left="567"/>
      </w:pPr>
      <w:r>
        <w:rPr>
          <w:rFonts w:ascii="Courier New" w:hAnsi="Courier New"/>
          <w:color w:val="56E39F"/>
          <w:sz w:val="18"/>
        </w:rPr>
        <w:t>Input  : X = {demographic, contract, usage, support} features</w:t>
      </w:r>
    </w:p>
    <w:p>
      <w:pPr>
        <w:spacing w:after="40"/>
        <w:ind w:left="567"/>
      </w:pPr>
      <w:r>
        <w:rPr>
          <w:rFonts w:ascii="Courier New" w:hAnsi="Courier New"/>
          <w:color w:val="56E39F"/>
          <w:sz w:val="18"/>
        </w:rPr>
        <w:t>Output : y ∈ {0: No Churn, 1: Churn}</w:t>
      </w:r>
    </w:p>
    <w:p>
      <w:pPr>
        <w:spacing w:after="40"/>
        <w:ind w:left="567"/>
      </w:pPr>
      <w:r>
        <w:rPr>
          <w:rFonts w:ascii="Courier New" w:hAnsi="Courier New"/>
          <w:color w:val="56E39F"/>
          <w:sz w:val="18"/>
        </w:rPr>
        <w:t>Goal   : P(y=1 | X) → ranked risk score per customer</w:t>
      </w:r>
    </w:p>
    <w:p>
      <w:pPr>
        <w:spacing w:after="120"/>
      </w:pPr>
      <w:r>
        <w:rPr>
          <w:b w:val="0"/>
          <w:sz w:val="22"/>
        </w:rPr>
        <w:t>Machine learning is justified over rule-based systems because: (1) the relationship between 80+ features and churn is non-linear and highly interactive, (2) customer behaviour patterns shift over time requiring model updates, (3) ML provides probabilistic risk scores enabling ranked prioritisation.</w:t>
      </w:r>
    </w:p>
    <w:p>
      <w:pPr>
        <w:pStyle w:val="Heading1"/>
        <w:spacing w:before="280" w:after="80"/>
      </w:pPr>
      <w:r>
        <w:rPr>
          <w:color w:val="FF8C42"/>
        </w:rPr>
        <w:t>2. Data Preprocessing</w:t>
      </w:r>
    </w:p>
    <w:p>
      <w:pPr>
        <w:pStyle w:val="Heading2"/>
        <w:spacing w:before="280" w:after="80"/>
      </w:pPr>
      <w:r>
        <w:rPr>
          <w:color w:val="43CBFF"/>
        </w:rPr>
        <w:t>2.1 Missing Value Handling</w:t>
      </w:r>
    </w:p>
    <w:p>
      <w:pPr>
        <w:spacing w:after="40"/>
        <w:ind w:left="567"/>
      </w:pPr>
      <w:r>
        <w:rPr>
          <w:rFonts w:ascii="Courier New" w:hAnsi="Courier New"/>
          <w:color w:val="56E39F"/>
          <w:sz w:val="18"/>
        </w:rPr>
        <w:t>from sklearn.impute import SimpleImputer, KNNImputer</w:t>
      </w:r>
    </w:p>
    <w:p>
      <w:pPr>
        <w:spacing w:after="40"/>
        <w:ind w:left="567"/>
      </w:pPr>
      <w:r>
        <w:rPr>
          <w:rFonts w:ascii="Courier New" w:hAnsi="Courier New"/>
          <w:color w:val="56E39F"/>
          <w:sz w:val="18"/>
        </w:rPr>
        <w:t># Numerical: median imputation</w:t>
      </w:r>
    </w:p>
    <w:p>
      <w:pPr>
        <w:spacing w:after="40"/>
        <w:ind w:left="567"/>
      </w:pPr>
      <w:r>
        <w:rPr>
          <w:rFonts w:ascii="Courier New" w:hAnsi="Courier New"/>
          <w:color w:val="56E39F"/>
          <w:sz w:val="18"/>
        </w:rPr>
        <w:t>num_imputer = SimpleImputer(strategy='median')</w:t>
      </w:r>
    </w:p>
    <w:p>
      <w:pPr>
        <w:spacing w:after="40"/>
        <w:ind w:left="567"/>
      </w:pPr>
      <w:r>
        <w:rPr>
          <w:rFonts w:ascii="Courier New" w:hAnsi="Courier New"/>
          <w:color w:val="56E39F"/>
          <w:sz w:val="18"/>
        </w:rPr>
        <w:t># Categorical: mode imputation</w:t>
      </w:r>
    </w:p>
    <w:p>
      <w:pPr>
        <w:spacing w:after="40"/>
        <w:ind w:left="567"/>
      </w:pPr>
      <w:r>
        <w:rPr>
          <w:rFonts w:ascii="Courier New" w:hAnsi="Courier New"/>
          <w:color w:val="56E39F"/>
          <w:sz w:val="18"/>
        </w:rPr>
        <w:t>cat_imputer = SimpleImputer(strategy='most_frequent')</w:t>
      </w:r>
    </w:p>
    <w:p>
      <w:pPr>
        <w:pStyle w:val="Heading2"/>
        <w:spacing w:before="280" w:after="80"/>
      </w:pPr>
      <w:r>
        <w:rPr>
          <w:color w:val="43CBFF"/>
        </w:rPr>
        <w:t>2.2 Encoding Categorical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FF8C4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Variable Type</w:t>
            </w:r>
          </w:p>
        </w:tc>
        <w:tc>
          <w:tcPr>
            <w:tcW w:type="dxa" w:w="2351"/>
            <w:shd w:fill="FF8C4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Encoding Method</w:t>
            </w:r>
          </w:p>
        </w:tc>
        <w:tc>
          <w:tcPr>
            <w:tcW w:type="dxa" w:w="2351"/>
            <w:shd w:fill="FF8C4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Example Features</w:t>
            </w:r>
          </w:p>
        </w:tc>
        <w:tc>
          <w:tcPr>
            <w:tcW w:type="dxa" w:w="2351"/>
            <w:shd w:fill="FF8C4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Python API</w:t>
            </w:r>
          </w:p>
        </w:tc>
      </w:tr>
      <w:tr>
        <w:tc>
          <w:tcPr>
            <w:tcW w:type="dxa" w:w="2351"/>
          </w:tcPr>
          <w:p>
            <w:r>
              <w:t>Nominal (≤5 categories)</w:t>
            </w:r>
          </w:p>
        </w:tc>
        <w:tc>
          <w:tcPr>
            <w:tcW w:type="dxa" w:w="2351"/>
          </w:tcPr>
          <w:p>
            <w:r>
              <w:t>One-Hot Encoding</w:t>
            </w:r>
          </w:p>
        </w:tc>
        <w:tc>
          <w:tcPr>
            <w:tcW w:type="dxa" w:w="2351"/>
          </w:tcPr>
          <w:p>
            <w:r>
              <w:t>Gender, InternetService</w:t>
            </w:r>
          </w:p>
        </w:tc>
        <w:tc>
          <w:tcPr>
            <w:tcW w:type="dxa" w:w="2351"/>
          </w:tcPr>
          <w:p>
            <w:r>
              <w:t>OneHotEncoder(drop='first')</w:t>
            </w:r>
          </w:p>
        </w:tc>
      </w:tr>
      <w:tr>
        <w:tc>
          <w:tcPr>
            <w:tcW w:type="dxa" w:w="2351"/>
          </w:tcPr>
          <w:p>
            <w:r>
              <w:t>Nominal (&gt;5 categories)</w:t>
            </w:r>
          </w:p>
        </w:tc>
        <w:tc>
          <w:tcPr>
            <w:tcW w:type="dxa" w:w="2351"/>
          </w:tcPr>
          <w:p>
            <w:r>
              <w:t>Target Encoding</w:t>
            </w:r>
          </w:p>
        </w:tc>
        <w:tc>
          <w:tcPr>
            <w:tcW w:type="dxa" w:w="2351"/>
          </w:tcPr>
          <w:p>
            <w:r>
              <w:t>PaymentMethod, City</w:t>
            </w:r>
          </w:p>
        </w:tc>
        <w:tc>
          <w:tcPr>
            <w:tcW w:type="dxa" w:w="2351"/>
          </w:tcPr>
          <w:p>
            <w:r>
              <w:t>category_encoders.TargetEncoder</w:t>
            </w:r>
          </w:p>
        </w:tc>
      </w:tr>
      <w:tr>
        <w:tc>
          <w:tcPr>
            <w:tcW w:type="dxa" w:w="2351"/>
          </w:tcPr>
          <w:p>
            <w:r>
              <w:t>Ordinal</w:t>
            </w:r>
          </w:p>
        </w:tc>
        <w:tc>
          <w:tcPr>
            <w:tcW w:type="dxa" w:w="2351"/>
          </w:tcPr>
          <w:p>
            <w:r>
              <w:t>Ordinal Encoding</w:t>
            </w:r>
          </w:p>
        </w:tc>
        <w:tc>
          <w:tcPr>
            <w:tcW w:type="dxa" w:w="2351"/>
          </w:tcPr>
          <w:p>
            <w:r>
              <w:t>Contract tier, Rating</w:t>
            </w:r>
          </w:p>
        </w:tc>
        <w:tc>
          <w:tcPr>
            <w:tcW w:type="dxa" w:w="2351"/>
          </w:tcPr>
          <w:p>
            <w:r>
              <w:t>OrdinalEncoder(categories=[...])</w:t>
            </w:r>
          </w:p>
        </w:tc>
      </w:tr>
      <w:tr>
        <w:tc>
          <w:tcPr>
            <w:tcW w:type="dxa" w:w="2351"/>
          </w:tcPr>
          <w:p>
            <w:r>
              <w:t>Binary</w:t>
            </w:r>
          </w:p>
        </w:tc>
        <w:tc>
          <w:tcPr>
            <w:tcW w:type="dxa" w:w="2351"/>
          </w:tcPr>
          <w:p>
            <w:r>
              <w:t>Binary (0/1)</w:t>
            </w:r>
          </w:p>
        </w:tc>
        <w:tc>
          <w:tcPr>
            <w:tcW w:type="dxa" w:w="2351"/>
          </w:tcPr>
          <w:p>
            <w:r>
              <w:t>SeniorCitizen, PaperlessBilling</w:t>
            </w:r>
          </w:p>
        </w:tc>
        <w:tc>
          <w:tcPr>
            <w:tcW w:type="dxa" w:w="2351"/>
          </w:tcPr>
          <w:p>
            <w:r>
              <w:t>Already binary in dataset</w:t>
            </w:r>
          </w:p>
        </w:tc>
      </w:tr>
    </w:tbl>
    <w:p/>
    <w:p>
      <w:pPr>
        <w:pStyle w:val="Heading2"/>
        <w:spacing w:before="280" w:after="80"/>
      </w:pPr>
      <w:r>
        <w:rPr>
          <w:color w:val="43CBFF"/>
        </w:rPr>
        <w:t>2.3 Feature Scaling</w:t>
      </w:r>
    </w:p>
    <w:p>
      <w:pPr>
        <w:spacing w:after="40"/>
        <w:ind w:left="567"/>
      </w:pPr>
      <w:r>
        <w:rPr>
          <w:rFonts w:ascii="Courier New" w:hAnsi="Courier New"/>
          <w:color w:val="56E39F"/>
          <w:sz w:val="18"/>
        </w:rPr>
        <w:t>from sklearn.preprocessing import StandardScaler, RobustScaler</w:t>
      </w:r>
    </w:p>
    <w:p>
      <w:pPr>
        <w:spacing w:after="40"/>
        <w:ind w:left="567"/>
      </w:pPr>
      <w:r>
        <w:rPr>
          <w:rFonts w:ascii="Courier New" w:hAnsi="Courier New"/>
          <w:color w:val="56E39F"/>
          <w:sz w:val="18"/>
        </w:rPr>
        <w:t># StandardScaler: for Logistic Regression, Neural Nets</w:t>
      </w:r>
    </w:p>
    <w:p>
      <w:pPr>
        <w:spacing w:after="40"/>
        <w:ind w:left="567"/>
      </w:pPr>
      <w:r>
        <w:rPr>
          <w:rFonts w:ascii="Courier New" w:hAnsi="Courier New"/>
          <w:color w:val="56E39F"/>
          <w:sz w:val="18"/>
        </w:rPr>
        <w:t># RobustScaler: for data with outliers (uses IQR, not std)</w:t>
      </w:r>
    </w:p>
    <w:p>
      <w:pPr>
        <w:spacing w:after="120"/>
      </w:pPr>
      <w:r>
        <w:rPr>
          <w:b w:val="0"/>
          <w:sz w:val="22"/>
        </w:rPr>
        <w:t>Tree-based models (Random Forest, XGBoost, LightGBM) are invariant to scaling and do not require this step.</w:t>
      </w:r>
    </w:p>
    <w:p>
      <w:pPr>
        <w:pStyle w:val="Heading2"/>
        <w:spacing w:before="280" w:after="80"/>
      </w:pPr>
      <w:r>
        <w:rPr>
          <w:color w:val="43CBFF"/>
        </w:rPr>
        <w:t>2.4 Handling Class Imbalance</w:t>
      </w:r>
    </w:p>
    <w:p>
      <w:pPr>
        <w:spacing w:after="120"/>
      </w:pPr>
      <w:r>
        <w:rPr>
          <w:b w:val="0"/>
          <w:sz w:val="22"/>
        </w:rPr>
        <w:t>The churn class comprises ~22% of records. Three strategies will be compared: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FF8C4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Strategy</w:t>
            </w:r>
          </w:p>
        </w:tc>
        <w:tc>
          <w:tcPr>
            <w:tcW w:type="dxa" w:w="2351"/>
            <w:shd w:fill="FF8C4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Mechanism</w:t>
            </w:r>
          </w:p>
        </w:tc>
        <w:tc>
          <w:tcPr>
            <w:tcW w:type="dxa" w:w="2351"/>
            <w:shd w:fill="FF8C4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Library</w:t>
            </w:r>
          </w:p>
        </w:tc>
        <w:tc>
          <w:tcPr>
            <w:tcW w:type="dxa" w:w="2351"/>
            <w:shd w:fill="FF8C4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Applied When</w:t>
            </w:r>
          </w:p>
        </w:tc>
      </w:tr>
      <w:tr>
        <w:tc>
          <w:tcPr>
            <w:tcW w:type="dxa" w:w="2351"/>
          </w:tcPr>
          <w:p>
            <w:r>
              <w:t>SMOTE</w:t>
            </w:r>
          </w:p>
        </w:tc>
        <w:tc>
          <w:tcPr>
            <w:tcW w:type="dxa" w:w="2351"/>
          </w:tcPr>
          <w:p>
            <w:r>
              <w:t>Synthetic minority oversampling</w:t>
            </w:r>
          </w:p>
        </w:tc>
        <w:tc>
          <w:tcPr>
            <w:tcW w:type="dxa" w:w="2351"/>
          </w:tcPr>
          <w:p>
            <w:r>
              <w:t>imbalanced-learn</w:t>
            </w:r>
          </w:p>
        </w:tc>
        <w:tc>
          <w:tcPr>
            <w:tcW w:type="dxa" w:w="2351"/>
          </w:tcPr>
          <w:p>
            <w:r>
              <w:t>Training set only</w:t>
            </w:r>
          </w:p>
        </w:tc>
      </w:tr>
      <w:tr>
        <w:tc>
          <w:tcPr>
            <w:tcW w:type="dxa" w:w="2351"/>
          </w:tcPr>
          <w:p>
            <w:r>
              <w:t>class_weight</w:t>
            </w:r>
          </w:p>
        </w:tc>
        <w:tc>
          <w:tcPr>
            <w:tcW w:type="dxa" w:w="2351"/>
          </w:tcPr>
          <w:p>
            <w:r>
              <w:t>Penalise majority class in loss function</w:t>
            </w:r>
          </w:p>
        </w:tc>
        <w:tc>
          <w:tcPr>
            <w:tcW w:type="dxa" w:w="2351"/>
          </w:tcPr>
          <w:p>
            <w:r>
              <w:t>Built into sklearn</w:t>
            </w:r>
          </w:p>
        </w:tc>
        <w:tc>
          <w:tcPr>
            <w:tcW w:type="dxa" w:w="2351"/>
          </w:tcPr>
          <w:p>
            <w:r>
              <w:t>All models</w:t>
            </w:r>
          </w:p>
        </w:tc>
      </w:tr>
      <w:tr>
        <w:tc>
          <w:tcPr>
            <w:tcW w:type="dxa" w:w="2351"/>
          </w:tcPr>
          <w:p>
            <w:r>
              <w:t>Threshold Tuning</w:t>
            </w:r>
          </w:p>
        </w:tc>
        <w:tc>
          <w:tcPr>
            <w:tcW w:type="dxa" w:w="2351"/>
          </w:tcPr>
          <w:p>
            <w:r>
              <w:t>Adjust decision boundary post-training</w:t>
            </w:r>
          </w:p>
        </w:tc>
        <w:tc>
          <w:tcPr>
            <w:tcW w:type="dxa" w:w="2351"/>
          </w:tcPr>
          <w:p>
            <w:r>
              <w:t>Youden's J statistic</w:t>
            </w:r>
          </w:p>
        </w:tc>
        <w:tc>
          <w:tcPr>
            <w:tcW w:type="dxa" w:w="2351"/>
          </w:tcPr>
          <w:p>
            <w:r>
              <w:t>Evaluation phase</w:t>
            </w:r>
          </w:p>
        </w:tc>
      </w:tr>
    </w:tbl>
    <w:p/>
    <w:p>
      <w:pPr>
        <w:pStyle w:val="Heading2"/>
        <w:spacing w:before="280" w:after="80"/>
      </w:pPr>
      <w:r>
        <w:rPr>
          <w:color w:val="43CBFF"/>
        </w:rPr>
        <w:t>2.5 Feature Engineering</w:t>
      </w:r>
    </w:p>
    <w:p>
      <w:pPr>
        <w:pStyle w:val="ListBullet"/>
        <w:spacing w:after="60"/>
      </w:pPr>
      <w:r>
        <w:t>tenure_bin: Bucket tenure into Early (0–12m), Mid (13–36m), Loyal (37m+)</w:t>
      </w:r>
    </w:p>
    <w:p>
      <w:pPr>
        <w:pStyle w:val="ListBullet"/>
        <w:spacing w:after="60"/>
      </w:pPr>
      <w:r>
        <w:t>avg_monthly_spend_rank: Percentile rank of monthly charges within contract type</w:t>
      </w:r>
    </w:p>
    <w:p>
      <w:pPr>
        <w:pStyle w:val="ListBullet"/>
        <w:spacing w:after="60"/>
      </w:pPr>
      <w:r>
        <w:t>support_intensity: support_calls / tenure (calls per month)</w:t>
      </w:r>
    </w:p>
    <w:p>
      <w:pPr>
        <w:pStyle w:val="ListBullet"/>
        <w:spacing w:after="60"/>
      </w:pPr>
      <w:r>
        <w:t>contract_risk_score: Ordinal score (Month-to-month=2, One year=1, Two year=0)</w:t>
      </w:r>
    </w:p>
    <w:p>
      <w:pPr>
        <w:pStyle w:val="ListBullet"/>
        <w:spacing w:after="60"/>
      </w:pPr>
      <w:r>
        <w:t>usage_per_dollar: data_usage_gb / monthly_charges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3177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317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7878"/>
          <w:sz w:val="18"/>
        </w:rPr>
        <w:t>Figure: End-to-End ML Pipeline for Customer Churn Prediction</w:t>
      </w:r>
    </w:p>
    <w:p/>
    <w:p>
      <w:pPr>
        <w:pStyle w:val="Heading1"/>
        <w:spacing w:before="280" w:after="80"/>
      </w:pPr>
      <w:r>
        <w:rPr>
          <w:color w:val="FF8C42"/>
        </w:rPr>
        <w:t>3. Model Selection &amp; Training Strategy</w:t>
      </w:r>
    </w:p>
    <w:p>
      <w:pPr>
        <w:spacing w:after="120"/>
      </w:pPr>
      <w:r>
        <w:rPr>
          <w:b w:val="0"/>
          <w:sz w:val="22"/>
        </w:rPr>
        <w:t>A progressive model selection strategy is adopted: start simple (Logistic Regression) as a baseline, add complexity (Random Forest), then deploy the most powerful model (LightGBM) if gains justify added complexity. This follows Occam's Razor — the simplest model that meets performance targets is preferred for interpretability.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FF8C4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1881"/>
            <w:shd w:fill="FF8C4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1881"/>
            <w:shd w:fill="FF8C4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Strengths</w:t>
            </w:r>
          </w:p>
        </w:tc>
        <w:tc>
          <w:tcPr>
            <w:tcW w:type="dxa" w:w="1881"/>
            <w:shd w:fill="FF8C4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Weaknesses</w:t>
            </w:r>
          </w:p>
        </w:tc>
        <w:tc>
          <w:tcPr>
            <w:tcW w:type="dxa" w:w="1881"/>
            <w:shd w:fill="FF8C4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Expected AUC</w:t>
            </w:r>
          </w:p>
        </w:tc>
      </w:tr>
      <w:tr>
        <w:tc>
          <w:tcPr>
            <w:tcW w:type="dxa" w:w="1881"/>
          </w:tcPr>
          <w:p>
            <w:r>
              <w:t>Logistic Regression</w:t>
            </w:r>
          </w:p>
        </w:tc>
        <w:tc>
          <w:tcPr>
            <w:tcW w:type="dxa" w:w="1881"/>
          </w:tcPr>
          <w:p>
            <w:r>
              <w:t>Baseline</w:t>
            </w:r>
          </w:p>
        </w:tc>
        <w:tc>
          <w:tcPr>
            <w:tcW w:type="dxa" w:w="1881"/>
          </w:tcPr>
          <w:p>
            <w:r>
              <w:t>Fast, highly interpretable</w:t>
            </w:r>
          </w:p>
        </w:tc>
        <w:tc>
          <w:tcPr>
            <w:tcW w:type="dxa" w:w="1881"/>
          </w:tcPr>
          <w:p>
            <w:r>
              <w:t>Assumes linearity; poor with interactions</w:t>
            </w:r>
          </w:p>
        </w:tc>
        <w:tc>
          <w:tcPr>
            <w:tcW w:type="dxa" w:w="1881"/>
          </w:tcPr>
          <w:p>
            <w:r>
              <w:t>AUC-ROC ~0.79</w:t>
            </w:r>
          </w:p>
        </w:tc>
      </w:tr>
      <w:tr>
        <w:tc>
          <w:tcPr>
            <w:tcW w:type="dxa" w:w="1881"/>
          </w:tcPr>
          <w:p>
            <w:r>
              <w:t>Decision Tree</w:t>
            </w:r>
          </w:p>
        </w:tc>
        <w:tc>
          <w:tcPr>
            <w:tcW w:type="dxa" w:w="1881"/>
          </w:tcPr>
          <w:p>
            <w:r>
              <w:t>Intermediate</w:t>
            </w:r>
          </w:p>
        </w:tc>
        <w:tc>
          <w:tcPr>
            <w:tcW w:type="dxa" w:w="1881"/>
          </w:tcPr>
          <w:p>
            <w:r>
              <w:t>Interpretable; captures non-linearity</w:t>
            </w:r>
          </w:p>
        </w:tc>
        <w:tc>
          <w:tcPr>
            <w:tcW w:type="dxa" w:w="1881"/>
          </w:tcPr>
          <w:p>
            <w:r>
              <w:t>Overfits without heavy pruning</w:t>
            </w:r>
          </w:p>
        </w:tc>
        <w:tc>
          <w:tcPr>
            <w:tcW w:type="dxa" w:w="1881"/>
          </w:tcPr>
          <w:p>
            <w:r>
              <w:t>AUC-ROC ~0.74</w:t>
            </w:r>
          </w:p>
        </w:tc>
      </w:tr>
      <w:tr>
        <w:tc>
          <w:tcPr>
            <w:tcW w:type="dxa" w:w="1881"/>
          </w:tcPr>
          <w:p>
            <w:r>
              <w:t>Random Forest</w:t>
            </w:r>
          </w:p>
        </w:tc>
        <w:tc>
          <w:tcPr>
            <w:tcW w:type="dxa" w:w="1881"/>
          </w:tcPr>
          <w:p>
            <w:r>
              <w:t>Strong Baseline</w:t>
            </w:r>
          </w:p>
        </w:tc>
        <w:tc>
          <w:tcPr>
            <w:tcW w:type="dxa" w:w="1881"/>
          </w:tcPr>
          <w:p>
            <w:r>
              <w:t>Ensemble; handles missing values</w:t>
            </w:r>
          </w:p>
        </w:tc>
        <w:tc>
          <w:tcPr>
            <w:tcW w:type="dxa" w:w="1881"/>
          </w:tcPr>
          <w:p>
            <w:r>
              <w:t>Less interpretable; slow for large data</w:t>
            </w:r>
          </w:p>
        </w:tc>
        <w:tc>
          <w:tcPr>
            <w:tcW w:type="dxa" w:w="1881"/>
          </w:tcPr>
          <w:p>
            <w:r>
              <w:t>AUC-ROC ~0.87</w:t>
            </w:r>
          </w:p>
        </w:tc>
      </w:tr>
      <w:tr>
        <w:tc>
          <w:tcPr>
            <w:tcW w:type="dxa" w:w="1881"/>
          </w:tcPr>
          <w:p>
            <w:r>
              <w:t>XGBoost</w:t>
            </w:r>
          </w:p>
        </w:tc>
        <w:tc>
          <w:tcPr>
            <w:tcW w:type="dxa" w:w="1881"/>
          </w:tcPr>
          <w:p>
            <w:r>
              <w:t>Primary Candidate</w:t>
            </w:r>
          </w:p>
        </w:tc>
        <w:tc>
          <w:tcPr>
            <w:tcW w:type="dxa" w:w="1881"/>
          </w:tcPr>
          <w:p>
            <w:r>
              <w:t>State-of-the-art on tabular data</w:t>
            </w:r>
          </w:p>
        </w:tc>
        <w:tc>
          <w:tcPr>
            <w:tcW w:type="dxa" w:w="1881"/>
          </w:tcPr>
          <w:p>
            <w:r>
              <w:t>Many hyperparameters; longer tuning</w:t>
            </w:r>
          </w:p>
        </w:tc>
        <w:tc>
          <w:tcPr>
            <w:tcW w:type="dxa" w:w="1881"/>
          </w:tcPr>
          <w:p>
            <w:r>
              <w:t>AUC-ROC ~0.91</w:t>
            </w:r>
          </w:p>
        </w:tc>
      </w:tr>
      <w:tr>
        <w:tc>
          <w:tcPr>
            <w:tcW w:type="dxa" w:w="1881"/>
          </w:tcPr>
          <w:p>
            <w:r>
              <w:t>LightGBM</w:t>
            </w:r>
          </w:p>
        </w:tc>
        <w:tc>
          <w:tcPr>
            <w:tcW w:type="dxa" w:w="1881"/>
          </w:tcPr>
          <w:p>
            <w:r>
              <w:t>Primary Candidate</w:t>
            </w:r>
          </w:p>
        </w:tc>
        <w:tc>
          <w:tcPr>
            <w:tcW w:type="dxa" w:w="1881"/>
          </w:tcPr>
          <w:p>
            <w:r>
              <w:t>Faster than XGBoost; handles categoricals</w:t>
            </w:r>
          </w:p>
        </w:tc>
        <w:tc>
          <w:tcPr>
            <w:tcW w:type="dxa" w:w="1881"/>
          </w:tcPr>
          <w:p>
            <w:r>
              <w:t>Can overfit small datasets</w:t>
            </w:r>
          </w:p>
        </w:tc>
        <w:tc>
          <w:tcPr>
            <w:tcW w:type="dxa" w:w="1881"/>
          </w:tcPr>
          <w:p>
            <w:r>
              <w:t>AUC-ROC ~0.92</w:t>
            </w:r>
          </w:p>
        </w:tc>
      </w:tr>
      <w:tr>
        <w:tc>
          <w:tcPr>
            <w:tcW w:type="dxa" w:w="1881"/>
          </w:tcPr>
          <w:p>
            <w:r>
              <w:t>Neural Network</w:t>
            </w:r>
          </w:p>
        </w:tc>
        <w:tc>
          <w:tcPr>
            <w:tcW w:type="dxa" w:w="1881"/>
          </w:tcPr>
          <w:p>
            <w:r>
              <w:t>Exploratory</w:t>
            </w:r>
          </w:p>
        </w:tc>
        <w:tc>
          <w:tcPr>
            <w:tcW w:type="dxa" w:w="1881"/>
          </w:tcPr>
          <w:p>
            <w:r>
              <w:t>Captures complex patterns</w:t>
            </w:r>
          </w:p>
        </w:tc>
        <w:tc>
          <w:tcPr>
            <w:tcW w:type="dxa" w:w="1881"/>
          </w:tcPr>
          <w:p>
            <w:r>
              <w:t>Requires more data; black-box</w:t>
            </w:r>
          </w:p>
        </w:tc>
        <w:tc>
          <w:tcPr>
            <w:tcW w:type="dxa" w:w="1881"/>
          </w:tcPr>
          <w:p>
            <w:r>
              <w:t>AUC-ROC ~0.89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52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5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7878"/>
          <w:sz w:val="18"/>
        </w:rPr>
        <w:t>Figure: Model Performance Comparison – AUC-ROC and F1-Score</w:t>
      </w:r>
    </w:p>
    <w:p/>
    <w:p>
      <w:pPr>
        <w:pStyle w:val="Heading2"/>
        <w:spacing w:before="280" w:after="80"/>
      </w:pPr>
      <w:r>
        <w:rPr>
          <w:color w:val="43CBFF"/>
        </w:rPr>
        <w:t>3.1 Hyperparameter Tuning Strategy</w:t>
      </w:r>
    </w:p>
    <w:p>
      <w:pPr>
        <w:spacing w:after="120"/>
      </w:pPr>
      <w:r>
        <w:rPr>
          <w:b w:val="0"/>
          <w:sz w:val="22"/>
        </w:rPr>
        <w:t>Hyperparameter tuning uses Optuna (Bayesian Optimisation) with 100 trials, using 5-fold Stratified CV as the objective. Key hyperparameters for LightGBM: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FF8C4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Hyperparameter</w:t>
            </w:r>
          </w:p>
        </w:tc>
        <w:tc>
          <w:tcPr>
            <w:tcW w:type="dxa" w:w="2351"/>
            <w:shd w:fill="FF8C4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351"/>
            <w:shd w:fill="FF8C4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Search Range</w:t>
            </w:r>
          </w:p>
        </w:tc>
        <w:tc>
          <w:tcPr>
            <w:tcW w:type="dxa" w:w="2351"/>
            <w:shd w:fill="FF8C4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Effect</w:t>
            </w:r>
          </w:p>
        </w:tc>
      </w:tr>
      <w:tr>
        <w:tc>
          <w:tcPr>
            <w:tcW w:type="dxa" w:w="2351"/>
          </w:tcPr>
          <w:p>
            <w:r>
              <w:t>num_leaves</w:t>
            </w:r>
          </w:p>
        </w:tc>
        <w:tc>
          <w:tcPr>
            <w:tcW w:type="dxa" w:w="2351"/>
          </w:tcPr>
          <w:p>
            <w:r>
              <w:t>31</w:t>
            </w:r>
          </w:p>
        </w:tc>
        <w:tc>
          <w:tcPr>
            <w:tcW w:type="dxa" w:w="2351"/>
          </w:tcPr>
          <w:p>
            <w:r>
              <w:t>50–500</w:t>
            </w:r>
          </w:p>
        </w:tc>
        <w:tc>
          <w:tcPr>
            <w:tcW w:type="dxa" w:w="2351"/>
          </w:tcPr>
          <w:p>
            <w:r>
              <w:t>Controls tree complexity</w:t>
            </w:r>
          </w:p>
        </w:tc>
      </w:tr>
      <w:tr>
        <w:tc>
          <w:tcPr>
            <w:tcW w:type="dxa" w:w="2351"/>
          </w:tcPr>
          <w:p>
            <w:r>
              <w:t>learning_rate</w:t>
            </w:r>
          </w:p>
        </w:tc>
        <w:tc>
          <w:tcPr>
            <w:tcW w:type="dxa" w:w="2351"/>
          </w:tcPr>
          <w:p>
            <w:r>
              <w:t>0.05</w:t>
            </w:r>
          </w:p>
        </w:tc>
        <w:tc>
          <w:tcPr>
            <w:tcW w:type="dxa" w:w="2351"/>
          </w:tcPr>
          <w:p>
            <w:r>
              <w:t>0.01–0.3</w:t>
            </w:r>
          </w:p>
        </w:tc>
        <w:tc>
          <w:tcPr>
            <w:tcW w:type="dxa" w:w="2351"/>
          </w:tcPr>
          <w:p>
            <w:r>
              <w:t>Step size per boosting round</w:t>
            </w:r>
          </w:p>
        </w:tc>
      </w:tr>
      <w:tr>
        <w:tc>
          <w:tcPr>
            <w:tcW w:type="dxa" w:w="2351"/>
          </w:tcPr>
          <w:p>
            <w:r>
              <w:t>min_child_samples</w:t>
            </w:r>
          </w:p>
        </w:tc>
        <w:tc>
          <w:tcPr>
            <w:tcW w:type="dxa" w:w="2351"/>
          </w:tcPr>
          <w:p>
            <w:r>
              <w:t>20</w:t>
            </w:r>
          </w:p>
        </w:tc>
        <w:tc>
          <w:tcPr>
            <w:tcW w:type="dxa" w:w="2351"/>
          </w:tcPr>
          <w:p>
            <w:r>
              <w:t>10–100</w:t>
            </w:r>
          </w:p>
        </w:tc>
        <w:tc>
          <w:tcPr>
            <w:tcW w:type="dxa" w:w="2351"/>
          </w:tcPr>
          <w:p>
            <w:r>
              <w:t>Minimum leaf samples (regularisation)</w:t>
            </w:r>
          </w:p>
        </w:tc>
      </w:tr>
      <w:tr>
        <w:tc>
          <w:tcPr>
            <w:tcW w:type="dxa" w:w="2351"/>
          </w:tcPr>
          <w:p>
            <w:r>
              <w:t>subsample</w:t>
            </w:r>
          </w:p>
        </w:tc>
        <w:tc>
          <w:tcPr>
            <w:tcW w:type="dxa" w:w="2351"/>
          </w:tcPr>
          <w:p>
            <w:r>
              <w:t>0.8</w:t>
            </w:r>
          </w:p>
        </w:tc>
        <w:tc>
          <w:tcPr>
            <w:tcW w:type="dxa" w:w="2351"/>
          </w:tcPr>
          <w:p>
            <w:r>
              <w:t>0.5–1.0</w:t>
            </w:r>
          </w:p>
        </w:tc>
        <w:tc>
          <w:tcPr>
            <w:tcW w:type="dxa" w:w="2351"/>
          </w:tcPr>
          <w:p>
            <w:r>
              <w:t>Row subsampling fraction</w:t>
            </w:r>
          </w:p>
        </w:tc>
      </w:tr>
      <w:tr>
        <w:tc>
          <w:tcPr>
            <w:tcW w:type="dxa" w:w="2351"/>
          </w:tcPr>
          <w:p>
            <w:r>
              <w:t>colsample_bytree</w:t>
            </w:r>
          </w:p>
        </w:tc>
        <w:tc>
          <w:tcPr>
            <w:tcW w:type="dxa" w:w="2351"/>
          </w:tcPr>
          <w:p>
            <w:r>
              <w:t>0.8</w:t>
            </w:r>
          </w:p>
        </w:tc>
        <w:tc>
          <w:tcPr>
            <w:tcW w:type="dxa" w:w="2351"/>
          </w:tcPr>
          <w:p>
            <w:r>
              <w:t>0.5–1.0</w:t>
            </w:r>
          </w:p>
        </w:tc>
        <w:tc>
          <w:tcPr>
            <w:tcW w:type="dxa" w:w="2351"/>
          </w:tcPr>
          <w:p>
            <w:r>
              <w:t>Feature subsampling fraction</w:t>
            </w:r>
          </w:p>
        </w:tc>
      </w:tr>
      <w:tr>
        <w:tc>
          <w:tcPr>
            <w:tcW w:type="dxa" w:w="2351"/>
          </w:tcPr>
          <w:p>
            <w:r>
              <w:t>n_estimators</w:t>
            </w:r>
          </w:p>
        </w:tc>
        <w:tc>
          <w:tcPr>
            <w:tcW w:type="dxa" w:w="2351"/>
          </w:tcPr>
          <w:p>
            <w:r>
              <w:t>500</w:t>
            </w:r>
          </w:p>
        </w:tc>
        <w:tc>
          <w:tcPr>
            <w:tcW w:type="dxa" w:w="2351"/>
          </w:tcPr>
          <w:p>
            <w:r>
              <w:t>100–2000</w:t>
            </w:r>
          </w:p>
        </w:tc>
        <w:tc>
          <w:tcPr>
            <w:tcW w:type="dxa" w:w="2351"/>
          </w:tcPr>
          <w:p>
            <w:r>
              <w:t>Number of boosting rounds</w:t>
            </w:r>
          </w:p>
        </w:tc>
      </w:tr>
      <w:tr>
        <w:tc>
          <w:tcPr>
            <w:tcW w:type="dxa" w:w="2351"/>
          </w:tcPr>
          <w:p>
            <w:r>
              <w:t>reg_lambda</w:t>
            </w:r>
          </w:p>
        </w:tc>
        <w:tc>
          <w:tcPr>
            <w:tcW w:type="dxa" w:w="2351"/>
          </w:tcPr>
          <w:p>
            <w:r>
              <w:t>0.1</w:t>
            </w:r>
          </w:p>
        </w:tc>
        <w:tc>
          <w:tcPr>
            <w:tcW w:type="dxa" w:w="2351"/>
          </w:tcPr>
          <w:p>
            <w:r>
              <w:t>0.0–10.0</w:t>
            </w:r>
          </w:p>
        </w:tc>
        <w:tc>
          <w:tcPr>
            <w:tcW w:type="dxa" w:w="2351"/>
          </w:tcPr>
          <w:p>
            <w:r>
              <w:t>L2 regularisation</w:t>
            </w:r>
          </w:p>
        </w:tc>
      </w:tr>
    </w:tbl>
    <w:p/>
    <w:p>
      <w:pPr>
        <w:spacing w:after="40"/>
        <w:ind w:left="567"/>
      </w:pPr>
      <w:r>
        <w:rPr>
          <w:rFonts w:ascii="Courier New" w:hAnsi="Courier New"/>
          <w:color w:val="56E39F"/>
          <w:sz w:val="18"/>
        </w:rPr>
        <w:t>import optuna</w:t>
      </w:r>
    </w:p>
    <w:p>
      <w:pPr>
        <w:spacing w:after="40"/>
        <w:ind w:left="567"/>
      </w:pPr>
      <w:r>
        <w:rPr>
          <w:rFonts w:ascii="Courier New" w:hAnsi="Courier New"/>
          <w:color w:val="56E39F"/>
          <w:sz w:val="18"/>
        </w:rPr>
        <w:t>def objective(trial):</w:t>
      </w:r>
    </w:p>
    <w:p>
      <w:pPr>
        <w:spacing w:after="40"/>
        <w:ind w:left="567"/>
      </w:pPr>
      <w:r>
        <w:rPr>
          <w:rFonts w:ascii="Courier New" w:hAnsi="Courier New"/>
          <w:color w:val="56E39F"/>
          <w:sz w:val="18"/>
        </w:rPr>
        <w:t xml:space="preserve">    params = {</w:t>
      </w:r>
    </w:p>
    <w:p>
      <w:pPr>
        <w:spacing w:after="40"/>
        <w:ind w:left="567"/>
      </w:pPr>
      <w:r>
        <w:rPr>
          <w:rFonts w:ascii="Courier New" w:hAnsi="Courier New"/>
          <w:color w:val="56E39F"/>
          <w:sz w:val="18"/>
        </w:rPr>
        <w:t xml:space="preserve">        'num_leaves': trial.suggest_int('num_leaves', 50, 500),</w:t>
      </w:r>
    </w:p>
    <w:p>
      <w:pPr>
        <w:spacing w:after="40"/>
        <w:ind w:left="567"/>
      </w:pPr>
      <w:r>
        <w:rPr>
          <w:rFonts w:ascii="Courier New" w:hAnsi="Courier New"/>
          <w:color w:val="56E39F"/>
          <w:sz w:val="18"/>
        </w:rPr>
        <w:t xml:space="preserve">        'learning_rate': trial.suggest_float('lr', 0.01, 0.3, log=True),</w:t>
      </w:r>
    </w:p>
    <w:p>
      <w:pPr>
        <w:spacing w:after="40"/>
        <w:ind w:left="567"/>
      </w:pPr>
      <w:r>
        <w:rPr>
          <w:rFonts w:ascii="Courier New" w:hAnsi="Courier New"/>
          <w:color w:val="56E39F"/>
          <w:sz w:val="18"/>
        </w:rPr>
        <w:t xml:space="preserve">    }</w:t>
      </w:r>
    </w:p>
    <w:p>
      <w:pPr>
        <w:spacing w:after="40"/>
        <w:ind w:left="567"/>
      </w:pPr>
      <w:r>
        <w:rPr>
          <w:rFonts w:ascii="Courier New" w:hAnsi="Courier New"/>
          <w:color w:val="56E39F"/>
          <w:sz w:val="18"/>
        </w:rPr>
        <w:t xml:space="preserve">    return cross_val_score(lgbm_pipe, X_train, y_train, cv=cv, scoring='roc_auc').mean()</w:t>
      </w:r>
    </w:p>
    <w:p>
      <w:pPr>
        <w:spacing w:after="40"/>
        <w:ind w:left="567"/>
      </w:pPr>
      <w:r>
        <w:rPr>
          <w:rFonts w:ascii="Courier New" w:hAnsi="Courier New"/>
          <w:color w:val="56E39F"/>
          <w:sz w:val="18"/>
        </w:rPr>
        <w:t>study = optuna.create_study(direction='maximize')</w:t>
      </w:r>
    </w:p>
    <w:p>
      <w:pPr>
        <w:spacing w:after="40"/>
        <w:ind w:left="567"/>
      </w:pPr>
      <w:r>
        <w:rPr>
          <w:rFonts w:ascii="Courier New" w:hAnsi="Courier New"/>
          <w:color w:val="56E39F"/>
          <w:sz w:val="18"/>
        </w:rPr>
        <w:t>study.optimize(objective, n_trials=100)</w:t>
      </w:r>
    </w:p>
    <w:p>
      <w:pPr>
        <w:pStyle w:val="Heading1"/>
        <w:spacing w:before="280" w:after="80"/>
      </w:pPr>
      <w:r>
        <w:rPr>
          <w:color w:val="FF8C42"/>
        </w:rPr>
        <w:t>4. Evaluation Metrics &amp; Validation Strategy</w:t>
      </w:r>
    </w:p>
    <w:p>
      <w:pPr>
        <w:spacing w:after="120"/>
      </w:pPr>
      <w:r>
        <w:rPr>
          <w:b w:val="0"/>
          <w:sz w:val="22"/>
        </w:rPr>
        <w:t>Given the class imbalance and the asymmetric cost of errors, we prioritise metrics that are robust to imbalance and align with business objectives.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FF8C4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351"/>
            <w:shd w:fill="FF8C4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351"/>
            <w:shd w:fill="FF8C4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351"/>
            <w:shd w:fill="FF8C4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Justification</w:t>
            </w:r>
          </w:p>
        </w:tc>
      </w:tr>
      <w:tr>
        <w:tc>
          <w:tcPr>
            <w:tcW w:type="dxa" w:w="2351"/>
          </w:tcPr>
          <w:p>
            <w:r>
              <w:t>AUC-ROC</w:t>
            </w:r>
          </w:p>
        </w:tc>
        <w:tc>
          <w:tcPr>
            <w:tcW w:type="dxa" w:w="2351"/>
          </w:tcPr>
          <w:p>
            <w:r>
              <w:t>Primary</w:t>
            </w:r>
          </w:p>
        </w:tc>
        <w:tc>
          <w:tcPr>
            <w:tcW w:type="dxa" w:w="2351"/>
          </w:tcPr>
          <w:p>
            <w:r>
              <w:t>≥ 0.88</w:t>
            </w:r>
          </w:p>
        </w:tc>
        <w:tc>
          <w:tcPr>
            <w:tcW w:type="dxa" w:w="2351"/>
          </w:tcPr>
          <w:p>
            <w:r>
              <w:t>Measures overall ranking ability; threshold-independent</w:t>
            </w:r>
          </w:p>
        </w:tc>
      </w:tr>
      <w:tr>
        <w:tc>
          <w:tcPr>
            <w:tcW w:type="dxa" w:w="2351"/>
          </w:tcPr>
          <w:p>
            <w:r>
              <w:t>F1-Score (Churn)</w:t>
            </w:r>
          </w:p>
        </w:tc>
        <w:tc>
          <w:tcPr>
            <w:tcW w:type="dxa" w:w="2351"/>
          </w:tcPr>
          <w:p>
            <w:r>
              <w:t>Primary</w:t>
            </w:r>
          </w:p>
        </w:tc>
        <w:tc>
          <w:tcPr>
            <w:tcW w:type="dxa" w:w="2351"/>
          </w:tcPr>
          <w:p>
            <w:r>
              <w:t>≥ 0.78</w:t>
            </w:r>
          </w:p>
        </w:tc>
        <w:tc>
          <w:tcPr>
            <w:tcW w:type="dxa" w:w="2351"/>
          </w:tcPr>
          <w:p>
            <w:r>
              <w:t>Harmonic mean of precision &amp; recall for minority class</w:t>
            </w:r>
          </w:p>
        </w:tc>
      </w:tr>
      <w:tr>
        <w:tc>
          <w:tcPr>
            <w:tcW w:type="dxa" w:w="2351"/>
          </w:tcPr>
          <w:p>
            <w:r>
              <w:t>Recall (Churn)</w:t>
            </w:r>
          </w:p>
        </w:tc>
        <w:tc>
          <w:tcPr>
            <w:tcW w:type="dxa" w:w="2351"/>
          </w:tcPr>
          <w:p>
            <w:r>
              <w:t>Business</w:t>
            </w:r>
          </w:p>
        </w:tc>
        <w:tc>
          <w:tcPr>
            <w:tcW w:type="dxa" w:w="2351"/>
          </w:tcPr>
          <w:p>
            <w:r>
              <w:t>≥ 0.85</w:t>
            </w:r>
          </w:p>
        </w:tc>
        <w:tc>
          <w:tcPr>
            <w:tcW w:type="dxa" w:w="2351"/>
          </w:tcPr>
          <w:p>
            <w:r>
              <w:t>Minimise missed churners (FN); each missed = lost revenue</w:t>
            </w:r>
          </w:p>
        </w:tc>
      </w:tr>
      <w:tr>
        <w:tc>
          <w:tcPr>
            <w:tcW w:type="dxa" w:w="2351"/>
          </w:tcPr>
          <w:p>
            <w:r>
              <w:t>Precision (Churn)</w:t>
            </w:r>
          </w:p>
        </w:tc>
        <w:tc>
          <w:tcPr>
            <w:tcW w:type="dxa" w:w="2351"/>
          </w:tcPr>
          <w:p>
            <w:r>
              <w:t>Secondary</w:t>
            </w:r>
          </w:p>
        </w:tc>
        <w:tc>
          <w:tcPr>
            <w:tcW w:type="dxa" w:w="2351"/>
          </w:tcPr>
          <w:p>
            <w:r>
              <w:t>≥ 0.72</w:t>
            </w:r>
          </w:p>
        </w:tc>
        <w:tc>
          <w:tcPr>
            <w:tcW w:type="dxa" w:w="2351"/>
          </w:tcPr>
          <w:p>
            <w:r>
              <w:t>Control false positives; overly aggressive = wasted offers</w:t>
            </w:r>
          </w:p>
        </w:tc>
      </w:tr>
      <w:tr>
        <w:tc>
          <w:tcPr>
            <w:tcW w:type="dxa" w:w="2351"/>
          </w:tcPr>
          <w:p>
            <w:r>
              <w:t>PR-AUC</w:t>
            </w:r>
          </w:p>
        </w:tc>
        <w:tc>
          <w:tcPr>
            <w:tcW w:type="dxa" w:w="2351"/>
          </w:tcPr>
          <w:p>
            <w:r>
              <w:t>Secondary</w:t>
            </w:r>
          </w:p>
        </w:tc>
        <w:tc>
          <w:tcPr>
            <w:tcW w:type="dxa" w:w="2351"/>
          </w:tcPr>
          <w:p>
            <w:r>
              <w:t>≥ 0.75</w:t>
            </w:r>
          </w:p>
        </w:tc>
        <w:tc>
          <w:tcPr>
            <w:tcW w:type="dxa" w:w="2351"/>
          </w:tcPr>
          <w:p>
            <w:r>
              <w:t>Better than AUC-ROC for highly imbalanced datasets</w:t>
            </w:r>
          </w:p>
        </w:tc>
      </w:tr>
      <w:tr>
        <w:tc>
          <w:tcPr>
            <w:tcW w:type="dxa" w:w="2351"/>
          </w:tcPr>
          <w:p>
            <w:r>
              <w:t>Business Uplift</w:t>
            </w:r>
          </w:p>
        </w:tc>
        <w:tc>
          <w:tcPr>
            <w:tcW w:type="dxa" w:w="2351"/>
          </w:tcPr>
          <w:p>
            <w:r>
              <w:t>KPI</w:t>
            </w:r>
          </w:p>
        </w:tc>
        <w:tc>
          <w:tcPr>
            <w:tcW w:type="dxa" w:w="2351"/>
          </w:tcPr>
          <w:p>
            <w:r>
              <w:t>≥ 15% churn reduction</w:t>
            </w:r>
          </w:p>
        </w:tc>
        <w:tc>
          <w:tcPr>
            <w:tcW w:type="dxa" w:w="2351"/>
          </w:tcPr>
          <w:p>
            <w:r>
              <w:t>Revenue recovered vs. cost of retention offers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285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uation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28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7878"/>
          <w:sz w:val="18"/>
        </w:rPr>
        <w:t>Figure: Evaluation Metrics Visual – ROC Curves, Confusion Matrix, CV Folds</w:t>
      </w:r>
    </w:p>
    <w:p/>
    <w:p>
      <w:pPr>
        <w:pStyle w:val="Heading2"/>
        <w:spacing w:before="280" w:after="80"/>
      </w:pPr>
      <w:r>
        <w:rPr>
          <w:color w:val="43CBFF"/>
        </w:rPr>
        <w:t>4.1 Cross-Validation Strategy</w:t>
      </w:r>
    </w:p>
    <w:p>
      <w:pPr>
        <w:spacing w:after="120"/>
      </w:pPr>
      <w:r>
        <w:rPr>
          <w:b w:val="0"/>
          <w:sz w:val="22"/>
        </w:rPr>
        <w:t>We use 5-Fold Stratified K-Fold Cross-Validation to ensure each fold maintains the original churn ratio (~22%). This prevents over-optimistic estimates from random splits with different class distributions.</w:t>
      </w:r>
    </w:p>
    <w:p>
      <w:pPr>
        <w:spacing w:after="40"/>
        <w:ind w:left="567"/>
      </w:pPr>
      <w:r>
        <w:rPr>
          <w:rFonts w:ascii="Courier New" w:hAnsi="Courier New"/>
          <w:color w:val="56E39F"/>
          <w:sz w:val="18"/>
        </w:rPr>
        <w:t>from sklearn.model_selection import StratifiedKFold, cross_val_score</w:t>
      </w:r>
    </w:p>
    <w:p>
      <w:pPr>
        <w:spacing w:after="40"/>
        <w:ind w:left="567"/>
      </w:pPr>
      <w:r>
        <w:rPr>
          <w:rFonts w:ascii="Courier New" w:hAnsi="Courier New"/>
          <w:color w:val="56E39F"/>
          <w:sz w:val="18"/>
        </w:rPr>
        <w:t>cv = StratifiedKFold(n_splits=5, shuffle=True, random_state=42)</w:t>
      </w:r>
    </w:p>
    <w:p>
      <w:pPr>
        <w:spacing w:after="40"/>
        <w:ind w:left="567"/>
      </w:pPr>
      <w:r>
        <w:rPr>
          <w:rFonts w:ascii="Courier New" w:hAnsi="Courier New"/>
          <w:color w:val="56E39F"/>
          <w:sz w:val="18"/>
        </w:rPr>
        <w:t>scores = cross_val_score(pipeline, X_train, y_train,</w:t>
      </w:r>
    </w:p>
    <w:p>
      <w:pPr>
        <w:spacing w:after="40"/>
        <w:ind w:left="567"/>
      </w:pPr>
      <w:r>
        <w:rPr>
          <w:rFonts w:ascii="Courier New" w:hAnsi="Courier New"/>
          <w:color w:val="56E39F"/>
          <w:sz w:val="18"/>
        </w:rPr>
        <w:t xml:space="preserve">                         cv=cv, scoring='roc_auc', n_jobs=-1)</w:t>
      </w:r>
    </w:p>
    <w:p>
      <w:pPr>
        <w:spacing w:after="40"/>
        <w:ind w:left="567"/>
      </w:pPr>
      <w:r>
        <w:rPr>
          <w:rFonts w:ascii="Courier New" w:hAnsi="Courier New"/>
          <w:color w:val="56E39F"/>
          <w:sz w:val="18"/>
        </w:rPr>
        <w:t>print(f'CV AUC: {scores.mean():.4f} ± {scores.std():.4f}')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874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pipeline_resul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7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7878"/>
          <w:sz w:val="18"/>
        </w:rPr>
        <w:t>Figure: Actual ML Pipeline Results on Synthetic Churn Dataset</w:t>
      </w:r>
    </w:p>
    <w:p/>
    <w:p>
      <w:pPr>
        <w:pStyle w:val="Heading1"/>
        <w:spacing w:before="280" w:after="80"/>
      </w:pPr>
      <w:r>
        <w:rPr>
          <w:color w:val="FF8C42"/>
        </w:rPr>
        <w:t>5. Model Deployment &amp; Monitoring (Conceptual)</w:t>
      </w:r>
    </w:p>
    <w:p>
      <w:pPr>
        <w:pStyle w:val="Heading2"/>
        <w:spacing w:before="280" w:after="80"/>
      </w:pPr>
      <w:r>
        <w:rPr>
          <w:color w:val="43CBFF"/>
        </w:rPr>
        <w:t>5.1 Deployment Architecture</w:t>
      </w:r>
    </w:p>
    <w:p>
      <w:pPr>
        <w:pStyle w:val="ListBullet"/>
        <w:spacing w:after="60"/>
      </w:pPr>
      <w:r>
        <w:t>Model Artefact: Serialise best model using joblib; version with MLflow Model Registry.</w:t>
      </w:r>
    </w:p>
    <w:p>
      <w:pPr>
        <w:pStyle w:val="ListBullet"/>
        <w:spacing w:after="60"/>
      </w:pPr>
      <w:r>
        <w:t>Batch Scoring: Monthly Airflow DAG → preprocessed features → LightGBM → predictions table.</w:t>
      </w:r>
    </w:p>
    <w:p>
      <w:pPr>
        <w:pStyle w:val="ListBullet"/>
        <w:spacing w:after="60"/>
      </w:pPr>
      <w:r>
        <w:t>REST API: FastAPI endpoint for real-time single-customer scoring by CRM systems.</w:t>
      </w:r>
    </w:p>
    <w:p>
      <w:pPr>
        <w:pStyle w:val="ListBullet"/>
        <w:spacing w:after="60"/>
      </w:pPr>
      <w:r>
        <w:t>Infrastructure: Docker container on AWS ECS; auto-scaling based on request volume.</w:t>
      </w:r>
    </w:p>
    <w:p>
      <w:pPr>
        <w:pStyle w:val="ListBullet"/>
        <w:spacing w:after="60"/>
      </w:pPr>
      <w:r>
        <w:t>A/B Testing: Compare model-driven vs. rule-based retention strategies on 10% of customers.</w:t>
      </w:r>
    </w:p>
    <w:p>
      <w:pPr>
        <w:pStyle w:val="Heading2"/>
        <w:spacing w:before="280" w:after="80"/>
      </w:pPr>
      <w:r>
        <w:rPr>
          <w:color w:val="43CBFF"/>
        </w:rPr>
        <w:t>5.2 Model Monitoring</w:t>
      </w:r>
    </w:p>
    <w:p>
      <w:pPr>
        <w:spacing w:after="120"/>
      </w:pPr>
      <w:r>
        <w:rPr>
          <w:b w:val="0"/>
          <w:sz w:val="22"/>
        </w:rPr>
        <w:t>• Data Drift: Monitor Population Stability Index (PSI) monthly; retrain if PSI &gt; 0.2</w:t>
      </w:r>
    </w:p>
    <w:p>
      <w:pPr>
        <w:spacing w:after="120"/>
      </w:pPr>
      <w:r>
        <w:rPr>
          <w:b w:val="0"/>
          <w:sz w:val="22"/>
        </w:rPr>
        <w:t>• Model Drift: Track AUC-ROC on rolling 30-day labelled window; alert if drop &gt; 0.03</w:t>
      </w:r>
    </w:p>
    <w:p>
      <w:pPr>
        <w:spacing w:after="120"/>
      </w:pPr>
      <w:r>
        <w:rPr>
          <w:b w:val="0"/>
          <w:sz w:val="22"/>
        </w:rPr>
        <w:t>• Feature Drift: Monitor feature distribution shifts with KS test</w:t>
      </w:r>
    </w:p>
    <w:p>
      <w:pPr>
        <w:spacing w:after="120"/>
      </w:pPr>
      <w:r>
        <w:rPr>
          <w:b w:val="0"/>
          <w:sz w:val="22"/>
        </w:rPr>
        <w:t>• Business KPI: Track monthly churn rate vs. pre-model baseline</w:t>
      </w:r>
    </w:p>
    <w:p>
      <w:pPr>
        <w:pStyle w:val="Heading1"/>
        <w:spacing w:before="280" w:after="80"/>
      </w:pPr>
      <w:r>
        <w:rPr>
          <w:color w:val="FF8C42"/>
        </w:rPr>
        <w:t>6. Conclusion</w:t>
      </w:r>
    </w:p>
    <w:p>
      <w:pPr>
        <w:spacing w:after="120"/>
      </w:pPr>
      <w:r>
        <w:rPr>
          <w:b w:val="0"/>
          <w:sz w:val="22"/>
        </w:rPr>
        <w:t>This Week 3 document presents a rigorous, production-ready plan for developing and evaluating a machine learning model for customer churn prediction. The progressive modelling strategy — from interpretable baselines to powerful gradient boosting — ensures both technical performance (AUC-ROC ≥ 0.88) and business interpretability are achieved simultaneously. The comprehensive validation framework, including 5-fold stratified cross-validation and business-aligned metrics, guarantees that the model performs robustly on unseen data. The deployment and monitoring plan ensures the system remains accurate and aligned with business objectives over time, making this a fully production-ready machine learning strategy.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