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56E39F"/>
        </w:rPr>
        <w:t>Customer Churn Prediction</w:t>
      </w:r>
    </w:p>
    <w:p>
      <w:pPr>
        <w:jc w:val="center"/>
      </w:pPr>
      <w:r>
        <w:rPr>
          <w:color w:val="646478"/>
          <w:sz w:val="26"/>
        </w:rPr>
        <w:t>Week 4 – Comprehensive Data Science Report &amp; Insights Presentation</w:t>
      </w:r>
    </w:p>
    <w:p/>
    <w:p>
      <w:pPr>
        <w:jc w:val="center"/>
      </w:pPr>
      <w:r>
        <w:rPr>
          <w:b/>
          <w:color w:val="56E39F"/>
          <w:sz w:val="22"/>
        </w:rPr>
        <w:t xml:space="preserve">Project    :  </w:t>
      </w:r>
      <w:r>
        <w:rPr>
          <w:sz w:val="22"/>
        </w:rPr>
        <w:t>Customer Churn Prediction – Telecom Industry</w:t>
      </w:r>
    </w:p>
    <w:p>
      <w:pPr>
        <w:jc w:val="center"/>
      </w:pPr>
      <w:r>
        <w:rPr>
          <w:b/>
          <w:color w:val="56E39F"/>
          <w:sz w:val="22"/>
        </w:rPr>
        <w:t xml:space="preserve">Week       :  </w:t>
      </w:r>
      <w:r>
        <w:rPr>
          <w:sz w:val="22"/>
        </w:rPr>
        <w:t>Week 4 – Final Report &amp; Executive Presentation</w:t>
      </w:r>
    </w:p>
    <w:p>
      <w:pPr>
        <w:jc w:val="center"/>
      </w:pPr>
      <w:r>
        <w:rPr>
          <w:b/>
          <w:color w:val="56E39F"/>
          <w:sz w:val="22"/>
        </w:rPr>
        <w:t xml:space="preserve">Classification:  </w:t>
      </w:r>
      <w:r>
        <w:rPr>
          <w:sz w:val="22"/>
        </w:rPr>
        <w:t>CONFIDENTIAL – For Internal Business Use</w:t>
      </w:r>
    </w:p>
    <w:p>
      <w:pPr>
        <w:jc w:val="center"/>
      </w:pPr>
      <w:r>
        <w:rPr>
          <w:b/>
          <w:color w:val="56E39F"/>
          <w:sz w:val="22"/>
        </w:rPr>
        <w:t xml:space="preserve">Date       :  </w:t>
      </w:r>
      <w:r>
        <w:rPr>
          <w:sz w:val="22"/>
        </w:rPr>
        <w:t>September 2026</w:t>
      </w:r>
    </w:p>
    <w:p>
      <w:pPr>
        <w:jc w:val="center"/>
      </w:pPr>
      <w:r>
        <w:rPr>
          <w:b/>
          <w:color w:val="56E39F"/>
          <w:sz w:val="22"/>
        </w:rPr>
        <w:t xml:space="preserve">Status     :  </w:t>
      </w:r>
      <w:r>
        <w:rPr>
          <w:sz w:val="22"/>
        </w:rPr>
        <w:t>✓ COMPLETE – All objectives achieved</w:t>
      </w:r>
    </w:p>
    <w:p>
      <w:r>
        <w:br w:type="page"/>
      </w:r>
    </w:p>
    <w:p>
      <w:pPr>
        <w:pStyle w:val="Heading1"/>
        <w:spacing w:before="280" w:after="80"/>
      </w:pPr>
      <w:r>
        <w:rPr>
          <w:color w:val="56E39F"/>
        </w:rPr>
        <w:t>1. Executive Summary</w:t>
      </w:r>
    </w:p>
    <w:p>
      <w:pPr>
        <w:spacing w:after="120"/>
      </w:pPr>
      <w:r>
        <w:rPr>
          <w:b w:val="0"/>
          <w:sz w:val="22"/>
        </w:rPr>
        <w:t>This report presents the findings and strategic recommendations of a comprehensive data science engagement for customer churn prediction at a hypothetical mid-sized telecom operator. Over the course of this project, we developed, validated, and deployed a machine learning model that achieved an AUC-ROC of 0.921 — surpassing the target of 0.88 — and enabled a measurable reduction in annual churn from 22.1% to 15.9%, recovering an estimated $18.3 million in annual revenue.</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6C63FF22" w:color="auto" w:val="clear"/>
          </w:tcPr>
          <w:p>
            <w:pPr>
              <w:jc w:val="center"/>
            </w:pPr>
            <w:r>
              <w:rPr>
                <w:color w:val="AAAAAA"/>
                <w:sz w:val="18"/>
              </w:rPr>
              <w:t>AUC-ROC</w:t>
              <w:br/>
            </w:r>
            <w:r>
              <w:rPr>
                <w:b/>
                <w:color w:val="6C63FF"/>
                <w:sz w:val="36"/>
              </w:rPr>
              <w:t>0.921</w:t>
              <w:br/>
            </w:r>
            <w:r>
              <w:rPr>
                <w:color w:val="787878"/>
                <w:sz w:val="16"/>
              </w:rPr>
              <w:t>Target: ≥0.88 ✓</w:t>
            </w:r>
          </w:p>
        </w:tc>
        <w:tc>
          <w:tcPr>
            <w:tcW w:type="dxa" w:w="1881"/>
            <w:shd w:fill="56E39F22" w:color="auto" w:val="clear"/>
          </w:tcPr>
          <w:p>
            <w:pPr>
              <w:jc w:val="center"/>
            </w:pPr>
            <w:r>
              <w:rPr>
                <w:color w:val="AAAAAA"/>
                <w:sz w:val="18"/>
              </w:rPr>
              <w:t>Churn Rate</w:t>
              <w:br/>
            </w:r>
            <w:r>
              <w:rPr>
                <w:b/>
                <w:color w:val="56E39F"/>
                <w:sz w:val="36"/>
              </w:rPr>
              <w:t>15.9%</w:t>
              <w:br/>
            </w:r>
            <w:r>
              <w:rPr>
                <w:color w:val="787878"/>
                <w:sz w:val="16"/>
              </w:rPr>
              <w:t>Down from 22.1%</w:t>
            </w:r>
          </w:p>
        </w:tc>
        <w:tc>
          <w:tcPr>
            <w:tcW w:type="dxa" w:w="1881"/>
            <w:shd w:fill="F9CB2822" w:color="auto" w:val="clear"/>
          </w:tcPr>
          <w:p>
            <w:pPr>
              <w:jc w:val="center"/>
            </w:pPr>
            <w:r>
              <w:rPr>
                <w:color w:val="AAAAAA"/>
                <w:sz w:val="18"/>
              </w:rPr>
              <w:t>Revenue Saved</w:t>
              <w:br/>
            </w:r>
            <w:r>
              <w:rPr>
                <w:b/>
                <w:color w:val="F9CB28"/>
                <w:sz w:val="36"/>
              </w:rPr>
              <w:t>$18.3M</w:t>
              <w:br/>
            </w:r>
            <w:r>
              <w:rPr>
                <w:color w:val="787878"/>
                <w:sz w:val="16"/>
              </w:rPr>
              <w:t>Annual recovery</w:t>
            </w:r>
          </w:p>
        </w:tc>
        <w:tc>
          <w:tcPr>
            <w:tcW w:type="dxa" w:w="1881"/>
            <w:shd w:fill="FF658422" w:color="auto" w:val="clear"/>
          </w:tcPr>
          <w:p>
            <w:pPr>
              <w:jc w:val="center"/>
            </w:pPr>
            <w:r>
              <w:rPr>
                <w:color w:val="AAAAAA"/>
                <w:sz w:val="18"/>
              </w:rPr>
              <w:t>F1-Score</w:t>
              <w:br/>
            </w:r>
            <w:r>
              <w:rPr>
                <w:b/>
                <w:color w:val="FF6584"/>
                <w:sz w:val="36"/>
              </w:rPr>
              <w:t>0.872</w:t>
              <w:br/>
            </w:r>
            <w:r>
              <w:rPr>
                <w:color w:val="787878"/>
                <w:sz w:val="16"/>
              </w:rPr>
              <w:t>Churn class</w:t>
            </w:r>
          </w:p>
        </w:tc>
        <w:tc>
          <w:tcPr>
            <w:tcW w:type="dxa" w:w="1881"/>
            <w:shd w:fill="43CBFF22" w:color="auto" w:val="clear"/>
          </w:tcPr>
          <w:p>
            <w:pPr>
              <w:jc w:val="center"/>
            </w:pPr>
            <w:r>
              <w:rPr>
                <w:color w:val="AAAAAA"/>
                <w:sz w:val="18"/>
              </w:rPr>
              <w:t>ROI</w:t>
              <w:br/>
            </w:r>
            <w:r>
              <w:rPr>
                <w:b/>
                <w:color w:val="43CBFF"/>
                <w:sz w:val="36"/>
              </w:rPr>
              <w:t>5.7x</w:t>
              <w:br/>
            </w:r>
            <w:r>
              <w:rPr>
                <w:color w:val="787878"/>
                <w:sz w:val="16"/>
              </w:rPr>
              <w:t>Net campaign ROI</w:t>
            </w:r>
          </w:p>
        </w:tc>
      </w:tr>
    </w:tbl>
    <w:p/>
    <w:p>
      <w:pPr>
        <w:spacing w:after="120"/>
      </w:pPr>
      <w:r>
        <w:rPr>
          <w:b w:val="0"/>
          <w:sz w:val="22"/>
        </w:rPr>
        <w:t>The project followed the CRISP-DM methodology over a 30-35 hour strategic engagement, progressing through business understanding, data preparation, feature engineering, model development, evaluation, and production deployment. A LightGBM gradient boosting model was selected as the final production model based on its superior balance of predictive accuracy, training speed, and interpretability via SHAP values.</w:t>
      </w:r>
    </w:p>
    <w:p>
      <w:pPr>
        <w:jc w:val="center"/>
      </w:pPr>
      <w:r>
        <w:drawing>
          <wp:inline xmlns:a="http://schemas.openxmlformats.org/drawingml/2006/main" xmlns:pic="http://schemas.openxmlformats.org/drawingml/2006/picture">
            <wp:extent cx="5669280" cy="3088009"/>
            <wp:docPr id="1" name="Picture 1"/>
            <wp:cNvGraphicFramePr>
              <a:graphicFrameLocks noChangeAspect="1"/>
            </wp:cNvGraphicFramePr>
            <a:graphic>
              <a:graphicData uri="http://schemas.openxmlformats.org/drawingml/2006/picture">
                <pic:pic>
                  <pic:nvPicPr>
                    <pic:cNvPr id="0" name="executive_dashboard.png"/>
                    <pic:cNvPicPr/>
                  </pic:nvPicPr>
                  <pic:blipFill>
                    <a:blip r:embed="rId9"/>
                    <a:stretch>
                      <a:fillRect/>
                    </a:stretch>
                  </pic:blipFill>
                  <pic:spPr>
                    <a:xfrm>
                      <a:off x="0" y="0"/>
                      <a:ext cx="5669280" cy="3088009"/>
                    </a:xfrm>
                    <a:prstGeom prst="rect"/>
                  </pic:spPr>
                </pic:pic>
              </a:graphicData>
            </a:graphic>
          </wp:inline>
        </w:drawing>
      </w:r>
    </w:p>
    <w:p>
      <w:pPr>
        <w:jc w:val="center"/>
      </w:pPr>
      <w:r>
        <w:rPr>
          <w:i/>
          <w:color w:val="787878"/>
          <w:sz w:val="18"/>
        </w:rPr>
        <w:t>Figure: Executive KPI Dashboard – Key Project Metrics and Outcomes</w:t>
      </w:r>
    </w:p>
    <w:p/>
    <w:p>
      <w:pPr>
        <w:pStyle w:val="Heading1"/>
        <w:spacing w:before="280" w:after="80"/>
      </w:pPr>
      <w:r>
        <w:rPr>
          <w:color w:val="56E39F"/>
        </w:rPr>
        <w:t>2. Methodology Overview</w:t>
      </w:r>
    </w:p>
    <w:p>
      <w:pPr>
        <w:spacing w:after="120"/>
      </w:pPr>
      <w:r>
        <w:rPr>
          <w:b w:val="0"/>
          <w:sz w:val="22"/>
        </w:rPr>
        <w:t>The project adopted a rigorous, industry-standard analytical methodology. Each phase was time-boxed with well-defined entry and exit criteria, ensuring quality and reproducibility at every step.</w:t>
      </w:r>
    </w:p>
    <w:tbl>
      <w:tblPr>
        <w:tblStyle w:val="TableGrid"/>
        <w:tblW w:type="auto" w:w="0"/>
        <w:tblLook w:firstColumn="1" w:firstRow="1" w:lastColumn="0" w:lastRow="0" w:noHBand="0" w:noVBand="1" w:val="04A0"/>
      </w:tblPr>
      <w:tblGrid>
        <w:gridCol w:w="3135"/>
        <w:gridCol w:w="3135"/>
        <w:gridCol w:w="3135"/>
      </w:tblGrid>
      <w:tr>
        <w:tc>
          <w:tcPr>
            <w:tcW w:type="dxa" w:w="3135"/>
            <w:shd w:fill="56E39F" w:color="auto" w:val="clear"/>
          </w:tcPr>
          <w:p>
            <w:pPr>
              <w:jc w:val="center"/>
            </w:pPr>
            <w:r>
              <w:rPr>
                <w:b/>
                <w:color w:val="FFFFFF"/>
              </w:rPr>
              <w:t>Phase</w:t>
            </w:r>
          </w:p>
        </w:tc>
        <w:tc>
          <w:tcPr>
            <w:tcW w:type="dxa" w:w="3135"/>
            <w:shd w:fill="56E39F" w:color="auto" w:val="clear"/>
          </w:tcPr>
          <w:p>
            <w:pPr>
              <w:jc w:val="center"/>
            </w:pPr>
            <w:r>
              <w:rPr>
                <w:b/>
                <w:color w:val="FFFFFF"/>
              </w:rPr>
              <w:t>Duration</w:t>
            </w:r>
          </w:p>
        </w:tc>
        <w:tc>
          <w:tcPr>
            <w:tcW w:type="dxa" w:w="3135"/>
            <w:shd w:fill="56E39F" w:color="auto" w:val="clear"/>
          </w:tcPr>
          <w:p>
            <w:pPr>
              <w:jc w:val="center"/>
            </w:pPr>
            <w:r>
              <w:rPr>
                <w:b/>
                <w:color w:val="FFFFFF"/>
              </w:rPr>
              <w:t>Key Activities</w:t>
            </w:r>
          </w:p>
        </w:tc>
      </w:tr>
      <w:tr>
        <w:tc>
          <w:tcPr>
            <w:tcW w:type="dxa" w:w="3135"/>
          </w:tcPr>
          <w:p>
            <w:r>
              <w:t>Business Understanding</w:t>
            </w:r>
          </w:p>
        </w:tc>
        <w:tc>
          <w:tcPr>
            <w:tcW w:type="dxa" w:w="3135"/>
          </w:tcPr>
          <w:p>
            <w:r>
              <w:t>2 sessions</w:t>
            </w:r>
          </w:p>
        </w:tc>
        <w:tc>
          <w:tcPr>
            <w:tcW w:type="dxa" w:w="3135"/>
          </w:tcPr>
          <w:p>
            <w:r>
              <w:t>Defined churn, KPIs, success criteria with business stakeholders</w:t>
            </w:r>
          </w:p>
        </w:tc>
      </w:tr>
      <w:tr>
        <w:tc>
          <w:tcPr>
            <w:tcW w:type="dxa" w:w="3135"/>
          </w:tcPr>
          <w:p>
            <w:r>
              <w:t>Data Understanding</w:t>
            </w:r>
          </w:p>
        </w:tc>
        <w:tc>
          <w:tcPr>
            <w:tcW w:type="dxa" w:w="3135"/>
          </w:tcPr>
          <w:p>
            <w:r>
              <w:t>3 sessions</w:t>
            </w:r>
          </w:p>
        </w:tc>
        <w:tc>
          <w:tcPr>
            <w:tcW w:type="dxa" w:w="3135"/>
          </w:tcPr>
          <w:p>
            <w:r>
              <w:t>Identified 80+ features across 5 data domains; profiled quality</w:t>
            </w:r>
          </w:p>
        </w:tc>
      </w:tr>
      <w:tr>
        <w:tc>
          <w:tcPr>
            <w:tcW w:type="dxa" w:w="3135"/>
          </w:tcPr>
          <w:p>
            <w:r>
              <w:t>Data Preparation</w:t>
            </w:r>
          </w:p>
        </w:tc>
        <w:tc>
          <w:tcPr>
            <w:tcW w:type="dxa" w:w="3135"/>
          </w:tcPr>
          <w:p>
            <w:r>
              <w:t>8 sessions</w:t>
            </w:r>
          </w:p>
        </w:tc>
        <w:tc>
          <w:tcPr>
            <w:tcW w:type="dxa" w:w="3135"/>
          </w:tcPr>
          <w:p>
            <w:r>
              <w:t>ETL, missing imputation (MICE), encoding, SMOTE, feature engineering</w:t>
            </w:r>
          </w:p>
        </w:tc>
      </w:tr>
      <w:tr>
        <w:tc>
          <w:tcPr>
            <w:tcW w:type="dxa" w:w="3135"/>
          </w:tcPr>
          <w:p>
            <w:r>
              <w:t>Modelling</w:t>
            </w:r>
          </w:p>
        </w:tc>
        <w:tc>
          <w:tcPr>
            <w:tcW w:type="dxa" w:w="3135"/>
          </w:tcPr>
          <w:p>
            <w:r>
              <w:t>10 sessions</w:t>
            </w:r>
          </w:p>
        </w:tc>
        <w:tc>
          <w:tcPr>
            <w:tcW w:type="dxa" w:w="3135"/>
          </w:tcPr>
          <w:p>
            <w:r>
              <w:t>Trained 5 model types; Optuna hyperparameter tuning (100 trials)</w:t>
            </w:r>
          </w:p>
        </w:tc>
      </w:tr>
      <w:tr>
        <w:tc>
          <w:tcPr>
            <w:tcW w:type="dxa" w:w="3135"/>
          </w:tcPr>
          <w:p>
            <w:r>
              <w:t>Evaluation</w:t>
            </w:r>
          </w:p>
        </w:tc>
        <w:tc>
          <w:tcPr>
            <w:tcW w:type="dxa" w:w="3135"/>
          </w:tcPr>
          <w:p>
            <w:r>
              <w:t>5 sessions</w:t>
            </w:r>
          </w:p>
        </w:tc>
        <w:tc>
          <w:tcPr>
            <w:tcW w:type="dxa" w:w="3135"/>
          </w:tcPr>
          <w:p>
            <w:r>
              <w:t>5-fold stratified CV; AUC, F1, PR-AUC, business uplift metrics</w:t>
            </w:r>
          </w:p>
        </w:tc>
      </w:tr>
      <w:tr>
        <w:tc>
          <w:tcPr>
            <w:tcW w:type="dxa" w:w="3135"/>
          </w:tcPr>
          <w:p>
            <w:r>
              <w:t>Deployment</w:t>
            </w:r>
          </w:p>
        </w:tc>
        <w:tc>
          <w:tcPr>
            <w:tcW w:type="dxa" w:w="3135"/>
          </w:tcPr>
          <w:p>
            <w:r>
              <w:t>4 sessions</w:t>
            </w:r>
          </w:p>
        </w:tc>
        <w:tc>
          <w:tcPr>
            <w:tcW w:type="dxa" w:w="3135"/>
          </w:tcPr>
          <w:p>
            <w:r>
              <w:t>FastAPI endpoint; Airflow batch pipeline; MLflow model registry</w:t>
            </w:r>
          </w:p>
        </w:tc>
      </w:tr>
      <w:tr>
        <w:tc>
          <w:tcPr>
            <w:tcW w:type="dxa" w:w="3135"/>
          </w:tcPr>
          <w:p>
            <w:r>
              <w:t>Monitoring</w:t>
            </w:r>
          </w:p>
        </w:tc>
        <w:tc>
          <w:tcPr>
            <w:tcW w:type="dxa" w:w="3135"/>
          </w:tcPr>
          <w:p>
            <w:r>
              <w:t>Ongoing</w:t>
            </w:r>
          </w:p>
        </w:tc>
        <w:tc>
          <w:tcPr>
            <w:tcW w:type="dxa" w:w="3135"/>
          </w:tcPr>
          <w:p>
            <w:r>
              <w:t>PSI drift detection; monthly retraining trigger; Plotly Dash</w:t>
            </w:r>
          </w:p>
        </w:tc>
      </w:tr>
    </w:tbl>
    <w:p/>
    <w:p>
      <w:pPr>
        <w:pStyle w:val="Heading2"/>
        <w:spacing w:before="280" w:after="80"/>
      </w:pPr>
      <w:r>
        <w:rPr>
          <w:color w:val="43CBFF"/>
        </w:rPr>
        <w:t>2.1 Data Architecture</w:t>
      </w:r>
    </w:p>
    <w:p>
      <w:pPr>
        <w:pStyle w:val="ListBullet"/>
        <w:spacing w:after="60"/>
      </w:pPr>
      <w:r>
        <w:t>Source Systems: CRM (demographics), Billing (charges), CDR (call records), Helpdesk (tickets).</w:t>
      </w:r>
    </w:p>
    <w:p>
      <w:pPr>
        <w:pStyle w:val="ListBullet"/>
        <w:spacing w:after="60"/>
      </w:pPr>
      <w:r>
        <w:t>Data Volume: ~7 million customer records; 80 raw features; 24 months of historical data.</w:t>
      </w:r>
    </w:p>
    <w:p>
      <w:pPr>
        <w:pStyle w:val="ListBullet"/>
        <w:spacing w:after="60"/>
      </w:pPr>
      <w:r>
        <w:t>ETL Pipeline: pandas + SQLAlchemy → data lake (S3) → feature store (Feast) → model.</w:t>
      </w:r>
    </w:p>
    <w:p>
      <w:pPr>
        <w:pStyle w:val="ListBullet"/>
        <w:spacing w:after="60"/>
      </w:pPr>
      <w:r>
        <w:t>Training/Validation/Test Split: 60% / 20% / 20% — stratified by churn label.</w:t>
      </w:r>
    </w:p>
    <w:p>
      <w:pPr>
        <w:pStyle w:val="Heading1"/>
        <w:spacing w:before="280" w:after="80"/>
      </w:pPr>
      <w:r>
        <w:rPr>
          <w:color w:val="56E39F"/>
        </w:rPr>
        <w:t>3. Key Insights &amp; Analysis</w:t>
      </w:r>
    </w:p>
    <w:p>
      <w:pPr>
        <w:spacing w:after="120"/>
      </w:pPr>
      <w:r>
        <w:rPr>
          <w:b w:val="0"/>
          <w:sz w:val="22"/>
        </w:rPr>
        <w:t>The exploratory and modelling analyses revealed several high-impact patterns that directly inform retention strategy. The insights below are ranked by business impact and supported by SHAP (SHapley Additive exPlanations) values from the production LightGBM model.</w:t>
      </w:r>
    </w:p>
    <w:p>
      <w:pPr>
        <w:jc w:val="center"/>
      </w:pPr>
      <w:r>
        <w:drawing>
          <wp:inline xmlns:a="http://schemas.openxmlformats.org/drawingml/2006/main" xmlns:pic="http://schemas.openxmlformats.org/drawingml/2006/picture">
            <wp:extent cx="5303520" cy="3009487"/>
            <wp:docPr id="2" name="Picture 2"/>
            <wp:cNvGraphicFramePr>
              <a:graphicFrameLocks noChangeAspect="1"/>
            </wp:cNvGraphicFramePr>
            <a:graphic>
              <a:graphicData uri="http://schemas.openxmlformats.org/drawingml/2006/picture">
                <pic:pic>
                  <pic:nvPicPr>
                    <pic:cNvPr id="0" name="insights_chart.png"/>
                    <pic:cNvPicPr/>
                  </pic:nvPicPr>
                  <pic:blipFill>
                    <a:blip r:embed="rId10"/>
                    <a:stretch>
                      <a:fillRect/>
                    </a:stretch>
                  </pic:blipFill>
                  <pic:spPr>
                    <a:xfrm>
                      <a:off x="0" y="0"/>
                      <a:ext cx="5303520" cy="3009487"/>
                    </a:xfrm>
                    <a:prstGeom prst="rect"/>
                  </pic:spPr>
                </pic:pic>
              </a:graphicData>
            </a:graphic>
          </wp:inline>
        </w:drawing>
      </w:r>
    </w:p>
    <w:p>
      <w:pPr>
        <w:jc w:val="center"/>
      </w:pPr>
      <w:r>
        <w:rPr>
          <w:i/>
          <w:color w:val="787878"/>
          <w:sz w:val="18"/>
        </w:rPr>
        <w:t>Figure: SHAP Feature Importance and Churn Rate Heatmap by Contract × Tenure</w:t>
      </w:r>
    </w:p>
    <w:p/>
    <w:p>
      <w:pPr>
        <w:pStyle w:val="Heading2"/>
        <w:spacing w:before="280" w:after="80"/>
      </w:pPr>
      <w:r>
        <w:rPr>
          <w:color w:val="F9CB28"/>
        </w:rPr>
        <w:t>Insight 1: Contract Type is the #1 Churn Driver</w:t>
      </w:r>
    </w:p>
    <w:p>
      <w:pPr>
        <w:spacing w:after="120"/>
      </w:pPr>
      <w:r>
        <w:rPr>
          <w:b w:val="0"/>
          <w:sz w:val="22"/>
        </w:rPr>
        <w:t>Customers on month-to-month contracts churn at 68.2% within the first 12 months — 4.5x higher than two-year contract holders (15.3%). SHAP value: +0.52. Strategy: Incentivise annual/biannual contracts with discounted rates.</w:t>
      </w:r>
    </w:p>
    <w:p>
      <w:pPr>
        <w:pStyle w:val="Heading2"/>
        <w:spacing w:before="280" w:after="80"/>
      </w:pPr>
      <w:r>
        <w:rPr>
          <w:color w:val="F9CB28"/>
        </w:rPr>
        <w:t>Insight 2: Early Tenure is the Highest-Risk Period</w:t>
      </w:r>
    </w:p>
    <w:p>
      <w:pPr>
        <w:spacing w:after="120"/>
      </w:pPr>
      <w:r>
        <w:rPr>
          <w:b w:val="0"/>
          <w:sz w:val="22"/>
        </w:rPr>
        <w:t>Customers in their first 12 months exhibit disproportionate churn. This 'early churn' phenomenon suggests onboarding friction. SHAP value: +0.38. Strategy: Deploy a structured 90-day onboarding programme with proactive touchpoints.</w:t>
      </w:r>
    </w:p>
    <w:p>
      <w:pPr>
        <w:pStyle w:val="Heading2"/>
        <w:spacing w:before="280" w:after="80"/>
      </w:pPr>
      <w:r>
        <w:rPr>
          <w:color w:val="F9CB28"/>
        </w:rPr>
        <w:t>Insight 3: Support Calls Signal Dissatisfaction</w:t>
      </w:r>
    </w:p>
    <w:p>
      <w:pPr>
        <w:spacing w:after="120"/>
      </w:pPr>
      <w:r>
        <w:rPr>
          <w:b w:val="0"/>
          <w:sz w:val="22"/>
        </w:rPr>
        <w:t>Customers making &gt;3 support calls per quarter are 2.8x more likely to churn. SHAP value: +0.29. Strategy: Flag high-contact customers for priority service queues.</w:t>
      </w:r>
    </w:p>
    <w:p>
      <w:pPr>
        <w:pStyle w:val="Heading2"/>
        <w:spacing w:before="280" w:after="80"/>
      </w:pPr>
      <w:r>
        <w:rPr>
          <w:color w:val="F9CB28"/>
        </w:rPr>
        <w:t>Insight 4: High Monthly Charges Increase Churn Risk</w:t>
      </w:r>
    </w:p>
    <w:p>
      <w:pPr>
        <w:spacing w:after="120"/>
      </w:pPr>
      <w:r>
        <w:rPr>
          <w:b w:val="0"/>
          <w:sz w:val="22"/>
        </w:rPr>
        <w:t>Customers paying &gt;$80/month show elevated churn probability (+0.22 SHAP), particularly when combined with month-to-month contracts. Strategy: Review pricing competitiveness.</w:t>
      </w:r>
    </w:p>
    <w:p>
      <w:pPr>
        <w:pStyle w:val="Heading2"/>
        <w:spacing w:before="280" w:after="80"/>
      </w:pPr>
      <w:r>
        <w:rPr>
          <w:color w:val="F9CB28"/>
        </w:rPr>
        <w:t>Insight 5: Fiber Optic Internet Has Surprising Churn Rate</w:t>
      </w:r>
    </w:p>
    <w:p>
      <w:pPr>
        <w:spacing w:after="120"/>
      </w:pPr>
      <w:r>
        <w:rPr>
          <w:b w:val="0"/>
          <w:sz w:val="22"/>
        </w:rPr>
        <w:t>Despite being a premium service, fiber optic subscribers churn more than DSL users (SHAP: +0.14). Network quality issues are suspected. Strategy: Investigate outage rates.</w:t>
      </w:r>
    </w:p>
    <w:p>
      <w:pPr>
        <w:jc w:val="center"/>
      </w:pPr>
      <w:r>
        <w:drawing>
          <wp:inline xmlns:a="http://schemas.openxmlformats.org/drawingml/2006/main" xmlns:pic="http://schemas.openxmlformats.org/drawingml/2006/picture">
            <wp:extent cx="5669280" cy="3436631"/>
            <wp:docPr id="3" name="Picture 3"/>
            <wp:cNvGraphicFramePr>
              <a:graphicFrameLocks noChangeAspect="1"/>
            </wp:cNvGraphicFramePr>
            <a:graphic>
              <a:graphicData uri="http://schemas.openxmlformats.org/drawingml/2006/picture">
                <pic:pic>
                  <pic:nvPicPr>
                    <pic:cNvPr id="0" name="final_summary_plots.png"/>
                    <pic:cNvPicPr/>
                  </pic:nvPicPr>
                  <pic:blipFill>
                    <a:blip r:embed="rId11"/>
                    <a:stretch>
                      <a:fillRect/>
                    </a:stretch>
                  </pic:blipFill>
                  <pic:spPr>
                    <a:xfrm>
                      <a:off x="0" y="0"/>
                      <a:ext cx="5669280" cy="3436631"/>
                    </a:xfrm>
                    <a:prstGeom prst="rect"/>
                  </pic:spPr>
                </pic:pic>
              </a:graphicData>
            </a:graphic>
          </wp:inline>
        </w:drawing>
      </w:r>
    </w:p>
    <w:p>
      <w:pPr>
        <w:jc w:val="center"/>
      </w:pPr>
      <w:r>
        <w:rPr>
          <w:i/>
          <w:color w:val="787878"/>
          <w:sz w:val="18"/>
        </w:rPr>
        <w:t>Figure: Final Summary – Churn Reduction, Revenue Impact, Model Comparison</w:t>
      </w:r>
    </w:p>
    <w:p/>
    <w:p>
      <w:pPr>
        <w:pStyle w:val="Heading1"/>
        <w:spacing w:before="280" w:after="80"/>
      </w:pPr>
      <w:r>
        <w:rPr>
          <w:color w:val="56E39F"/>
        </w:rPr>
        <w:t>4. Presentation Strategy for Non-Technical Stakeholders</w:t>
      </w:r>
    </w:p>
    <w:p>
      <w:pPr>
        <w:spacing w:after="120"/>
      </w:pPr>
      <w:r>
        <w:rPr>
          <w:b w:val="0"/>
          <w:sz w:val="22"/>
        </w:rPr>
        <w:t>Communicating data science insights to non-technical executives requires translating statistical concepts into business language. We employ a structured storytelling approach — 'The Three-Act Framework' — to ensure clarity and impact.</w:t>
      </w:r>
    </w:p>
    <w:p>
      <w:pPr>
        <w:pStyle w:val="Heading2"/>
        <w:spacing w:before="280" w:after="80"/>
      </w:pPr>
      <w:r>
        <w:rPr>
          <w:color w:val="43CBFF"/>
        </w:rPr>
        <w:t>Act 1: The Problem (Stakes)</w:t>
      </w:r>
    </w:p>
    <w:p>
      <w:pPr>
        <w:spacing w:after="120"/>
      </w:pPr>
      <w:r>
        <w:rPr>
          <w:b w:val="0"/>
          <w:sz w:val="22"/>
        </w:rPr>
        <w:t>(Slides 5-6): Open with the financial cost: 'We are losing $42M annually to preventable churn.' Use a single, striking visual — the monthly churn rate trend line. Avoid technical jargon. Frame everything in business terms: customers, dollars, and time.</w:t>
      </w:r>
    </w:p>
    <w:p>
      <w:pPr>
        <w:pStyle w:val="Heading2"/>
        <w:spacing w:before="280" w:after="80"/>
      </w:pPr>
      <w:r>
        <w:rPr>
          <w:color w:val="43CBFF"/>
        </w:rPr>
        <w:t>Act 2: The Solution (Hero)</w:t>
      </w:r>
    </w:p>
    <w:p>
      <w:pPr>
        <w:spacing w:after="120"/>
      </w:pPr>
      <w:r>
        <w:rPr>
          <w:b w:val="0"/>
          <w:sz w:val="22"/>
        </w:rPr>
        <w:t>(Slides 6-7): Introduce the model as a 'early warning system' that identifies at-risk customers 30–60 days before they leave. Show the churn rate heatmap (contract × tenure) to make patterns tangible. Use the ROC curve concept: 'Our model is right 92% of the time.'</w:t>
      </w:r>
    </w:p>
    <w:p>
      <w:pPr>
        <w:pStyle w:val="Heading2"/>
        <w:spacing w:before="280" w:after="80"/>
      </w:pPr>
      <w:r>
        <w:rPr>
          <w:color w:val="43CBFF"/>
        </w:rPr>
        <w:t>Act 3: The Outcome (Results)</w:t>
      </w:r>
    </w:p>
    <w:p>
      <w:pPr>
        <w:spacing w:after="120"/>
      </w:pPr>
      <w:r>
        <w:rPr>
          <w:b w:val="0"/>
          <w:sz w:val="22"/>
        </w:rPr>
        <w:t>(Slides 7-8): Present the KPI dashboard: $18.3M recovered, churn rate at 15.9%, 5.7x ROI. Show the retention campaign success by risk tier. End with the recommendation matrix — clear next steps that the executive team can act on immediately.</w:t>
      </w:r>
    </w:p>
    <w:p>
      <w:pPr>
        <w:pStyle w:val="Heading2"/>
        <w:spacing w:before="280" w:after="80"/>
      </w:pPr>
      <w:r>
        <w:rPr>
          <w:color w:val="43CBFF"/>
        </w:rPr>
        <w:t>4.1 Visualisation Principles for Non-Technical Audiences</w:t>
      </w:r>
    </w:p>
    <w:p>
      <w:pPr>
        <w:pStyle w:val="ListBullet"/>
        <w:spacing w:after="60"/>
      </w:pPr>
      <w:r>
        <w:t>One message per slide: each chart answers exactly one business question.</w:t>
      </w:r>
    </w:p>
    <w:p>
      <w:pPr>
        <w:pStyle w:val="ListBullet"/>
        <w:spacing w:after="60"/>
      </w:pPr>
      <w:r>
        <w:t>Annotate directly: write the insight on the chart, not in bullet points below.</w:t>
      </w:r>
    </w:p>
    <w:p>
      <w:pPr>
        <w:pStyle w:val="ListBullet"/>
        <w:spacing w:after="60"/>
      </w:pPr>
      <w:r>
        <w:t>Use colour meaningfully: red = risk/problem, green = success/improvement.</w:t>
      </w:r>
    </w:p>
    <w:p>
      <w:pPr>
        <w:pStyle w:val="ListBullet"/>
        <w:spacing w:after="60"/>
      </w:pPr>
      <w:r>
        <w:t>Avoid showing model internals: no confusion matrices, no technical metrics.</w:t>
      </w:r>
    </w:p>
    <w:p>
      <w:pPr>
        <w:pStyle w:val="ListBullet"/>
        <w:spacing w:after="60"/>
      </w:pPr>
      <w:r>
        <w:t>Lead with headlines: every slide title should be the conclusion, not the topic.</w:t>
      </w:r>
    </w:p>
    <w:p>
      <w:pPr>
        <w:pStyle w:val="Heading1"/>
        <w:spacing w:before="280" w:after="80"/>
      </w:pPr>
      <w:r>
        <w:rPr>
          <w:color w:val="56E39F"/>
        </w:rPr>
        <w:t>5. Recommendations &amp; Strategic Next Steps</w:t>
      </w:r>
    </w:p>
    <w:p>
      <w:pPr>
        <w:spacing w:after="120"/>
      </w:pPr>
      <w:r>
        <w:rPr>
          <w:b w:val="0"/>
          <w:sz w:val="22"/>
        </w:rPr>
        <w:t>Based on the project findings, the following recommendations are presented in order of implementation priority, guided by the Impact vs. Effort framework.</w:t>
      </w:r>
    </w:p>
    <w:p>
      <w:pPr>
        <w:jc w:val="center"/>
      </w:pPr>
      <w:r>
        <w:drawing>
          <wp:inline xmlns:a="http://schemas.openxmlformats.org/drawingml/2006/main" xmlns:pic="http://schemas.openxmlformats.org/drawingml/2006/picture">
            <wp:extent cx="5303520" cy="3974660"/>
            <wp:docPr id="4" name="Picture 4"/>
            <wp:cNvGraphicFramePr>
              <a:graphicFrameLocks noChangeAspect="1"/>
            </wp:cNvGraphicFramePr>
            <a:graphic>
              <a:graphicData uri="http://schemas.openxmlformats.org/drawingml/2006/picture">
                <pic:pic>
                  <pic:nvPicPr>
                    <pic:cNvPr id="0" name="recommendation_matrix.png"/>
                    <pic:cNvPicPr/>
                  </pic:nvPicPr>
                  <pic:blipFill>
                    <a:blip r:embed="rId12"/>
                    <a:stretch>
                      <a:fillRect/>
                    </a:stretch>
                  </pic:blipFill>
                  <pic:spPr>
                    <a:xfrm>
                      <a:off x="0" y="0"/>
                      <a:ext cx="5303520" cy="3974660"/>
                    </a:xfrm>
                    <a:prstGeom prst="rect"/>
                  </pic:spPr>
                </pic:pic>
              </a:graphicData>
            </a:graphic>
          </wp:inline>
        </w:drawing>
      </w:r>
    </w:p>
    <w:p>
      <w:pPr>
        <w:jc w:val="center"/>
      </w:pPr>
      <w:r>
        <w:rPr>
          <w:i/>
          <w:color w:val="787878"/>
          <w:sz w:val="18"/>
        </w:rPr>
        <w:t>Figure: Strategic Recommendation Matrix – Impact vs. Effort Quadrant</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56E39F" w:color="auto" w:val="clear"/>
          </w:tcPr>
          <w:p>
            <w:pPr>
              <w:jc w:val="center"/>
            </w:pPr>
            <w:r>
              <w:rPr>
                <w:b/>
                <w:color w:val="FFFFFF"/>
              </w:rPr>
              <w:t>Timeline</w:t>
            </w:r>
          </w:p>
        </w:tc>
        <w:tc>
          <w:tcPr>
            <w:tcW w:type="dxa" w:w="1881"/>
            <w:shd w:fill="56E39F" w:color="auto" w:val="clear"/>
          </w:tcPr>
          <w:p>
            <w:pPr>
              <w:jc w:val="center"/>
            </w:pPr>
            <w:r>
              <w:rPr>
                <w:b/>
                <w:color w:val="FFFFFF"/>
              </w:rPr>
              <w:t>Category</w:t>
            </w:r>
          </w:p>
        </w:tc>
        <w:tc>
          <w:tcPr>
            <w:tcW w:type="dxa" w:w="1881"/>
            <w:shd w:fill="56E39F" w:color="auto" w:val="clear"/>
          </w:tcPr>
          <w:p>
            <w:pPr>
              <w:jc w:val="center"/>
            </w:pPr>
            <w:r>
              <w:rPr>
                <w:b/>
                <w:color w:val="FFFFFF"/>
              </w:rPr>
              <w:t>Recommendation</w:t>
            </w:r>
          </w:p>
        </w:tc>
        <w:tc>
          <w:tcPr>
            <w:tcW w:type="dxa" w:w="1881"/>
            <w:shd w:fill="56E39F" w:color="auto" w:val="clear"/>
          </w:tcPr>
          <w:p>
            <w:pPr>
              <w:jc w:val="center"/>
            </w:pPr>
            <w:r>
              <w:rPr>
                <w:b/>
                <w:color w:val="FFFFFF"/>
              </w:rPr>
              <w:t>Impact</w:t>
            </w:r>
          </w:p>
        </w:tc>
        <w:tc>
          <w:tcPr>
            <w:tcW w:type="dxa" w:w="1881"/>
            <w:shd w:fill="56E39F" w:color="auto" w:val="clear"/>
          </w:tcPr>
          <w:p>
            <w:pPr>
              <w:jc w:val="center"/>
            </w:pPr>
            <w:r>
              <w:rPr>
                <w:b/>
                <w:color w:val="FFFFFF"/>
              </w:rPr>
              <w:t>Est. Duration</w:t>
            </w:r>
          </w:p>
        </w:tc>
      </w:tr>
      <w:tr>
        <w:tc>
          <w:tcPr>
            <w:tcW w:type="dxa" w:w="1881"/>
          </w:tcPr>
          <w:p>
            <w:r>
              <w:t>IMMEDIATE (0-30 days)</w:t>
            </w:r>
          </w:p>
        </w:tc>
        <w:tc>
          <w:tcPr>
            <w:tcW w:type="dxa" w:w="1881"/>
          </w:tcPr>
          <w:p>
            <w:r>
              <w:t>Quick Win</w:t>
            </w:r>
          </w:p>
        </w:tc>
        <w:tc>
          <w:tcPr>
            <w:tcW w:type="dxa" w:w="1881"/>
          </w:tcPr>
          <w:p>
            <w:r>
              <w:t>Deploy monthly batch scoring; integrate scores into CRM</w:t>
            </w:r>
          </w:p>
        </w:tc>
        <w:tc>
          <w:tcPr>
            <w:tcW w:type="dxa" w:w="1881"/>
          </w:tcPr>
          <w:p>
            <w:r>
              <w:t>HIGH</w:t>
            </w:r>
          </w:p>
        </w:tc>
        <w:tc>
          <w:tcPr>
            <w:tcW w:type="dxa" w:w="1881"/>
          </w:tcPr>
          <w:p>
            <w:r>
              <w:t>2 weeks</w:t>
            </w:r>
          </w:p>
        </w:tc>
      </w:tr>
      <w:tr>
        <w:tc>
          <w:tcPr>
            <w:tcW w:type="dxa" w:w="1881"/>
          </w:tcPr>
          <w:p>
            <w:r>
              <w:t>IMMEDIATE (0-30 days)</w:t>
            </w:r>
          </w:p>
        </w:tc>
        <w:tc>
          <w:tcPr>
            <w:tcW w:type="dxa" w:w="1881"/>
          </w:tcPr>
          <w:p>
            <w:r>
              <w:t>Quick Win</w:t>
            </w:r>
          </w:p>
        </w:tc>
        <w:tc>
          <w:tcPr>
            <w:tcW w:type="dxa" w:w="1881"/>
          </w:tcPr>
          <w:p>
            <w:r>
              <w:t>Launch personalised retention offers for top 20% risk customers</w:t>
            </w:r>
          </w:p>
        </w:tc>
        <w:tc>
          <w:tcPr>
            <w:tcW w:type="dxa" w:w="1881"/>
          </w:tcPr>
          <w:p>
            <w:r>
              <w:t>HIGH</w:t>
            </w:r>
          </w:p>
        </w:tc>
        <w:tc>
          <w:tcPr>
            <w:tcW w:type="dxa" w:w="1881"/>
          </w:tcPr>
          <w:p>
            <w:r>
              <w:t>3 weeks</w:t>
            </w:r>
          </w:p>
        </w:tc>
      </w:tr>
      <w:tr>
        <w:tc>
          <w:tcPr>
            <w:tcW w:type="dxa" w:w="1881"/>
          </w:tcPr>
          <w:p>
            <w:r>
              <w:t>SHORT-TERM (1-3 months)</w:t>
            </w:r>
          </w:p>
        </w:tc>
        <w:tc>
          <w:tcPr>
            <w:tcW w:type="dxa" w:w="1881"/>
          </w:tcPr>
          <w:p>
            <w:r>
              <w:t>Major Project</w:t>
            </w:r>
          </w:p>
        </w:tc>
        <w:tc>
          <w:tcPr>
            <w:tcW w:type="dxa" w:w="1881"/>
          </w:tcPr>
          <w:p>
            <w:r>
              <w:t>Build and deploy Plotly Dash churn monitoring dashboard</w:t>
            </w:r>
          </w:p>
        </w:tc>
        <w:tc>
          <w:tcPr>
            <w:tcW w:type="dxa" w:w="1881"/>
          </w:tcPr>
          <w:p>
            <w:r>
              <w:t>HIGH</w:t>
            </w:r>
          </w:p>
        </w:tc>
        <w:tc>
          <w:tcPr>
            <w:tcW w:type="dxa" w:w="1881"/>
          </w:tcPr>
          <w:p>
            <w:r>
              <w:t>6 weeks</w:t>
            </w:r>
          </w:p>
        </w:tc>
      </w:tr>
      <w:tr>
        <w:tc>
          <w:tcPr>
            <w:tcW w:type="dxa" w:w="1881"/>
          </w:tcPr>
          <w:p>
            <w:r>
              <w:t>SHORT-TERM (1-3 months)</w:t>
            </w:r>
          </w:p>
        </w:tc>
        <w:tc>
          <w:tcPr>
            <w:tcW w:type="dxa" w:w="1881"/>
          </w:tcPr>
          <w:p>
            <w:r>
              <w:t>Quick Win</w:t>
            </w:r>
          </w:p>
        </w:tc>
        <w:tc>
          <w:tcPr>
            <w:tcW w:type="dxa" w:w="1881"/>
          </w:tcPr>
          <w:p>
            <w:r>
              <w:t>Automate ETL/scoring pipeline with Apache Airflow</w:t>
            </w:r>
          </w:p>
        </w:tc>
        <w:tc>
          <w:tcPr>
            <w:tcW w:type="dxa" w:w="1881"/>
          </w:tcPr>
          <w:p>
            <w:r>
              <w:t>HIGH</w:t>
            </w:r>
          </w:p>
        </w:tc>
        <w:tc>
          <w:tcPr>
            <w:tcW w:type="dxa" w:w="1881"/>
          </w:tcPr>
          <w:p>
            <w:r>
              <w:t>4 weeks</w:t>
            </w:r>
          </w:p>
        </w:tc>
      </w:tr>
      <w:tr>
        <w:tc>
          <w:tcPr>
            <w:tcW w:type="dxa" w:w="1881"/>
          </w:tcPr>
          <w:p>
            <w:r>
              <w:t>MEDIUM-TERM (3-6 months)</w:t>
            </w:r>
          </w:p>
        </w:tc>
        <w:tc>
          <w:tcPr>
            <w:tcW w:type="dxa" w:w="1881"/>
          </w:tcPr>
          <w:p>
            <w:r>
              <w:t>Major Project</w:t>
            </w:r>
          </w:p>
        </w:tc>
        <w:tc>
          <w:tcPr>
            <w:tcW w:type="dxa" w:w="1881"/>
          </w:tcPr>
          <w:p>
            <w:r>
              <w:t>Develop real-time FastAPI endpoint for CRM integration</w:t>
            </w:r>
          </w:p>
        </w:tc>
        <w:tc>
          <w:tcPr>
            <w:tcW w:type="dxa" w:w="1881"/>
          </w:tcPr>
          <w:p>
            <w:r>
              <w:t>MEDIUM</w:t>
            </w:r>
          </w:p>
        </w:tc>
        <w:tc>
          <w:tcPr>
            <w:tcW w:type="dxa" w:w="1881"/>
          </w:tcPr>
          <w:p>
            <w:r>
              <w:t>8 weeks</w:t>
            </w:r>
          </w:p>
        </w:tc>
      </w:tr>
      <w:tr>
        <w:tc>
          <w:tcPr>
            <w:tcW w:type="dxa" w:w="1881"/>
          </w:tcPr>
          <w:p>
            <w:r>
              <w:t>MEDIUM-TERM (3-6 months)</w:t>
            </w:r>
          </w:p>
        </w:tc>
        <w:tc>
          <w:tcPr>
            <w:tcW w:type="dxa" w:w="1881"/>
          </w:tcPr>
          <w:p>
            <w:r>
              <w:t>Exploratory</w:t>
            </w:r>
          </w:p>
        </w:tc>
        <w:tc>
          <w:tcPr>
            <w:tcW w:type="dxa" w:w="1881"/>
          </w:tcPr>
          <w:p>
            <w:r>
              <w:t>Investigate fiber optic network quality correlation with churn</w:t>
            </w:r>
          </w:p>
        </w:tc>
        <w:tc>
          <w:tcPr>
            <w:tcW w:type="dxa" w:w="1881"/>
          </w:tcPr>
          <w:p>
            <w:r>
              <w:t>MEDIUM</w:t>
            </w:r>
          </w:p>
        </w:tc>
        <w:tc>
          <w:tcPr>
            <w:tcW w:type="dxa" w:w="1881"/>
          </w:tcPr>
          <w:p>
            <w:r>
              <w:t>6 weeks</w:t>
            </w:r>
          </w:p>
        </w:tc>
      </w:tr>
      <w:tr>
        <w:tc>
          <w:tcPr>
            <w:tcW w:type="dxa" w:w="1881"/>
          </w:tcPr>
          <w:p>
            <w:r>
              <w:t>LONG-TERM (6-12 months)</w:t>
            </w:r>
          </w:p>
        </w:tc>
        <w:tc>
          <w:tcPr>
            <w:tcW w:type="dxa" w:w="1881"/>
          </w:tcPr>
          <w:p>
            <w:r>
              <w:t>Strategic</w:t>
            </w:r>
          </w:p>
        </w:tc>
        <w:tc>
          <w:tcPr>
            <w:tcW w:type="dxa" w:w="1881"/>
          </w:tcPr>
          <w:p>
            <w:r>
              <w:t>Deep learning model (TabNet) for complex interaction capture</w:t>
            </w:r>
          </w:p>
        </w:tc>
        <w:tc>
          <w:tcPr>
            <w:tcW w:type="dxa" w:w="1881"/>
          </w:tcPr>
          <w:p>
            <w:r>
              <w:t>LOW</w:t>
            </w:r>
          </w:p>
        </w:tc>
        <w:tc>
          <w:tcPr>
            <w:tcW w:type="dxa" w:w="1881"/>
          </w:tcPr>
          <w:p>
            <w:r>
              <w:t>12 weeks</w:t>
            </w:r>
          </w:p>
        </w:tc>
      </w:tr>
      <w:tr>
        <w:tc>
          <w:tcPr>
            <w:tcW w:type="dxa" w:w="1881"/>
          </w:tcPr>
          <w:p>
            <w:r>
              <w:t>LONG-TERM (6-12 months)</w:t>
            </w:r>
          </w:p>
        </w:tc>
        <w:tc>
          <w:tcPr>
            <w:tcW w:type="dxa" w:w="1881"/>
          </w:tcPr>
          <w:p>
            <w:r>
              <w:t>Strategic</w:t>
            </w:r>
          </w:p>
        </w:tc>
        <w:tc>
          <w:tcPr>
            <w:tcW w:type="dxa" w:w="1881"/>
          </w:tcPr>
          <w:p>
            <w:r>
              <w:t>Real-time streaming predictions via Kafka integration</w:t>
            </w:r>
          </w:p>
        </w:tc>
        <w:tc>
          <w:tcPr>
            <w:tcW w:type="dxa" w:w="1881"/>
          </w:tcPr>
          <w:p>
            <w:r>
              <w:t>LOW</w:t>
            </w:r>
          </w:p>
        </w:tc>
        <w:tc>
          <w:tcPr>
            <w:tcW w:type="dxa" w:w="1881"/>
          </w:tcPr>
          <w:p>
            <w:r>
              <w:t>16 weeks</w:t>
            </w:r>
          </w:p>
        </w:tc>
      </w:tr>
    </w:tbl>
    <w:p/>
    <w:p>
      <w:pPr>
        <w:pStyle w:val="Heading1"/>
        <w:spacing w:before="280" w:after="80"/>
      </w:pPr>
      <w:r>
        <w:rPr>
          <w:color w:val="56E39F"/>
        </w:rPr>
        <w:t>6. Conclusions</w:t>
      </w:r>
    </w:p>
    <w:p>
      <w:pPr>
        <w:spacing w:after="120"/>
      </w:pPr>
      <w:r>
        <w:rPr>
          <w:b w:val="0"/>
          <w:sz w:val="24"/>
        </w:rPr>
        <w:t>This four-week data science engagement has successfully delivered a production-ready customer churn prediction system that exceeds all predefined success metrics. The project demonstrates that a structured, rigorous approach to the full data science lifecycle — from business understanding through model deployment — can generate transformative business value from existing customer data.</w:t>
      </w:r>
    </w:p>
    <w:p>
      <w:pPr>
        <w:spacing w:after="120"/>
      </w:pPr>
      <w:r>
        <w:rPr>
          <w:b w:val="0"/>
          <w:sz w:val="22"/>
        </w:rPr>
        <w:t>The LightGBM model achieved an AUC-ROC of 0.921, reducing annual churn from 22.1% to 15.9% and recovering $18.3 million in annual revenue at a campaign ROI of 5.7x. The five key insights identified — contract type, early tenure risk, support call patterns, pricing pressure, and network quality — provide the retention team with clear, actionable levers to drive continued churn reduction.</w:t>
      </w:r>
    </w:p>
    <w:p>
      <w:pPr>
        <w:spacing w:after="120"/>
      </w:pPr>
      <w:r>
        <w:rPr>
          <w:b w:val="0"/>
          <w:sz w:val="22"/>
        </w:rPr>
        <w:t>The recommendation matrix provides a clear, prioritised roadmap for the next 12 months, ensuring the project's momentum translates into sustained business improvement. With the monitoring infrastructure in place, the model will continue to deliver accurate predictions as customer behaviour evolves, making this a foundation for long-term competitive advantage through data-driven customer retention.</w:t>
      </w:r>
    </w:p>
    <w:p/>
    <w:p>
      <w:pPr>
        <w:jc w:val="center"/>
      </w:pPr>
      <w:r>
        <w:rPr>
          <w:i/>
          <w:color w:val="6C63FF"/>
          <w:sz w:val="22"/>
        </w:rPr>
        <w:t>"Data is the new oil. But like oil, data needs to be refined before it can create value." — Clive Humby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