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Beyond Visual Quality: Evaluating the Robustness and Recognition Performance of Image Cartoonization Methods</w:t>
      </w:r>
    </w:p>
    <w:p>
      <w:pPr>
        <w:jc w:val="center"/>
      </w:pPr>
      <w:r>
        <w:rPr>
          <w:i/>
        </w:rPr>
        <w:t>Research manuscript draft for supervisor review — not yet submission-ready</w:t>
      </w:r>
    </w:p>
    <w:p>
      <w:r>
        <w:t>Author: Karthikeya Satya Sai Pavan Challapalli</w:t>
      </w:r>
    </w:p>
    <w:p>
      <w:r>
        <w:t>Affiliation: Department of Computer Applications, Vignan’s University (confirm official formatting before submission)</w:t>
      </w:r>
    </w:p>
    <w:p>
      <w:pPr>
        <w:pStyle w:val="Heading1"/>
      </w:pPr>
      <w:r>
        <w:t>Abstract</w:t>
      </w:r>
    </w:p>
    <w:p>
      <w:r>
        <w:t>Image cartoonization transforms photographs into stylized images, but visual appeal alone does not establish whether transformed images retain information useful for machine recognition. This study compares three pipelines—OpenCV-based cartoonization, pretrained AnimeGANv2, and a pretrained Stable Diffusion image-to-image pipeline—using a fixed ResNet18 classifier. A balanced subset of 300 images from ten Imagenette categories was evaluated on clean inputs and under Gaussian blur, Gaussian noise, low illumination, and JPEG compression. Recognition accuracy, structural similarity (SSIM), peak signal-to-noise ratio (PSNR), prediction consistency, per-class accuracy, confidence intervals, paired comparisons, confusion matrices, and failure-case examples were examined. On clean images, original inputs achieved 80.67% accuracy, compared with 59.33% for AnimeGANv2, 33.33% for Stable Diffusion (294 valid outputs), and 18.33% for OpenCV. On matched samples under Gaussian blur (n=292), Gaussian noise (n=297), low illumination (n=295), and JPEG compression (n=294), AnimeGANv2 achieved 40.07%, 60.94%, 47.46%, and 57.82% accuracy, respectively, outperforming the other cartoonization methods in each condition. Its mean clean-output SSIM and PSNR were 0.6564 and 18.5636 dB. Six clean Stable Diffusion outputs were excluded from the clean recognition denominator. The findings indicate substantial differences between the evaluated pipelines in this specific setup; conclusions should not be generalized beyond this sample and classifier without further validation.</w:t>
      </w:r>
    </w:p>
    <w:p>
      <w:r>
        <w:t>Keywords: image cartoonization; image-to-image translation; AnimeGANv2; Stable Diffusion; ResNet18; robustness; image classification; SSIM; PSNR</w:t>
      </w:r>
    </w:p>
    <w:p>
      <w:pPr>
        <w:pStyle w:val="Heading1"/>
      </w:pPr>
      <w:r>
        <w:t>1. Introduction</w:t>
      </w:r>
    </w:p>
    <w:p>
      <w:r>
        <w:t>Image cartoonization is an image-to-image transformation task that changes photographs through texture simplification, contour emphasis, and altered color distributions. Research in image translation has produced conditional adversarial methods such as pix2pix and unpaired translation approaches such as CycleGAN, while dedicated cartoonization methods explicitly target cartoon-like surface, structure, and texture characteristics [1–4]. Latent diffusion models provide another generative paradigm for image synthesis and conditional editing [5].</w:t>
      </w:r>
    </w:p>
    <w:p>
      <w:r>
        <w:t>A transformed image may look plausible while losing, exaggerating, or changing features used by a recognition model to distinguish object categories. Separately, robustness research has shown that common corruptions such as blur and noise can affect image-classifier performance, motivating controlled evaluation under image degradation [6]. This study therefore considers downstream recognition alongside reference-image similarity.</w:t>
      </w:r>
    </w:p>
    <w:p>
      <w:r>
        <w:t>The study compares OpenCV cartoonization, pretrained AnimeGANv2, and a pretrained Stable Diffusion image-to-image pipeline using a fixed ResNet18 classifier. It evaluates clean images and four degradation conditions and examines recognition accuracy, SSIM, PSNR, prediction consistency, per-class results, paired comparisons, confusion matrices, and failure cases.</w:t>
      </w:r>
    </w:p>
    <w:p>
      <w:pPr>
        <w:pStyle w:val="Heading1"/>
      </w:pPr>
      <w:r>
        <w:t>2. Related Work</w:t>
      </w:r>
    </w:p>
    <w:p>
      <w:pPr>
        <w:pStyle w:val="Heading2"/>
      </w:pPr>
      <w:r>
        <w:t>2.1 Image-to-image translation and cartoonization</w:t>
      </w:r>
    </w:p>
    <w:p>
      <w:r>
        <w:t>Isola et al. introduced pix2pix, a conditional adversarial framework for paired image-to-image translation [1]. Zhu et al. proposed CycleGAN, using cycle consistency to learn mappings between domains without paired examples [2]. These are general translation frameworks rather than methods designed solely for cartoonization.</w:t>
      </w:r>
    </w:p>
    <w:p>
      <w:r>
        <w:t>Chen et al. proposed CartoonGAN, using semantic content loss and an edge-promoting adversarial loss to address the simplified textures and clear contours characteristic of cartoons [3]. Wang and Yu proposed learning to cartoonize with white-box cartoon representations, separating surface, structure, and texture representations [4]. These works show that content structure and edge preservation are important considerations in cartoonization.</w:t>
      </w:r>
    </w:p>
    <w:p>
      <w:pPr>
        <w:pStyle w:val="Heading2"/>
      </w:pPr>
      <w:r>
        <w:t>2.2 Diffusion-based image synthesis</w:t>
      </w:r>
    </w:p>
    <w:p>
      <w:r>
        <w:t>Rombach et al. introduced latent diffusion models, performing diffusion in a learned latent space to reduce computational demands while supporting high-quality image synthesis and conditioning [5]. Here, Stable Diffusion is treated as a pretrained image-to-image pipeline rather than a model trained specifically for cartoonization. Reproduction requires recording the exact model identifier/revision, prompt, seed, scheduler, inference steps, strength, guidance scale, and preprocessing.</w:t>
      </w:r>
    </w:p>
    <w:p>
      <w:pPr>
        <w:pStyle w:val="Heading2"/>
      </w:pPr>
      <w:r>
        <w:t>2.3 Robustness and image-quality evaluation</w:t>
      </w:r>
    </w:p>
    <w:p>
      <w:r>
        <w:t>Hendrycks and Dietterich introduced ImageNet-C and ImageNet-P benchmarks to evaluate classifier robustness to common corruptions and perturbations [6]. This study uses four selected corruptions—Gaussian blur, Gaussian noise, low illumination, and JPEG compression—not the full ImageNet-C benchmark.</w:t>
      </w:r>
    </w:p>
    <w:p>
      <w:r>
        <w:t>Wang et al. introduced SSIM as a measure of structural information loss between a reference image and a distorted image [7]. PSNR is a pixel-error-based measure. These metrics describe similarity to the original image, not subjective artistic quality; stylization is expected to change pixels and structure, so metrics should be interpreted alongside recognition and visual inspection.</w:t>
      </w:r>
    </w:p>
    <w:p>
      <w:pPr>
        <w:pStyle w:val="Heading2"/>
      </w:pPr>
      <w:r>
        <w:t>2.4 Recognition model and dataset</w:t>
      </w:r>
    </w:p>
    <w:p>
      <w:r>
        <w:t>ResNet, introduced by He et al., uses residual learning to train deep convolutional networks [8]. Imagenette is a ten-class subset of ImageNet intended for efficient experimentation and includes ten categories used in this study [9]. This experiment uses a balanced sample of 300 images, not a full Imagenette evaluation.</w:t>
      </w:r>
    </w:p>
    <w:p>
      <w:pPr>
        <w:pStyle w:val="Heading1"/>
      </w:pPr>
      <w:r>
        <w:t>3. Research Questions and Contribution</w:t>
      </w:r>
    </w:p>
    <w:p>
      <w:pPr>
        <w:pStyle w:val="ListBullet"/>
      </w:pPr>
      <w:r>
        <w:t>RQ1: How does cartoonization method affect the top-1 recognition accuracy of a fixed pretrained ResNet18 classifier?</w:t>
      </w:r>
    </w:p>
    <w:p>
      <w:pPr>
        <w:pStyle w:val="ListBullet"/>
      </w:pPr>
      <w:r>
        <w:t>RQ2: How do the methods perform under Gaussian blur, Gaussian noise, low illumination, and JPEG compression?</w:t>
      </w:r>
    </w:p>
    <w:p>
      <w:pPr>
        <w:pStyle w:val="ListBullet"/>
      </w:pPr>
      <w:r>
        <w:t>RQ3: How do SSIM and PSNR relate to downstream recognition in this setup?</w:t>
      </w:r>
    </w:p>
    <w:p>
      <w:pPr>
        <w:pStyle w:val="ListBullet"/>
      </w:pPr>
      <w:r>
        <w:t>RQ4: Which categories and examples show the largest recognition failures after cartoonization?</w:t>
      </w:r>
    </w:p>
    <w:p>
      <w:r>
        <w:t>The defensible contribution at this stage is an empirical, task-aware comparison of three distinct cartoonization pipelines under a common classifier and selected image degradations, complemented by per-class and failure-case analyses. Do not claim this is the first such study or a confirmed literature gap until a broader, documented search checks directly comparable prior work.</w:t>
      </w:r>
    </w:p>
    <w:p>
      <w:pPr>
        <w:pStyle w:val="Heading1"/>
      </w:pPr>
      <w:r>
        <w:t>4. Materials and Methods</w:t>
      </w:r>
    </w:p>
    <w:p>
      <w:pPr>
        <w:pStyle w:val="Heading2"/>
      </w:pPr>
      <w:r>
        <w:t>4.1 Dataset and sample selection</w:t>
      </w:r>
    </w:p>
    <w:p>
      <w:r>
        <w:t>A balanced subset of 300 images from ten Imagenette categories was used, with 30 selected images per class and a recorded selection seed of 42. The sample manifest is selected_300_images.csv. The final paper should specify the dataset release, image inclusion criteria, dimensions, license conditions, and handling of duplicate or corrupt files.</w:t>
      </w:r>
    </w:p>
    <w:p>
      <w:pPr>
        <w:pStyle w:val="Heading2"/>
      </w:pPr>
      <w:r>
        <w:t>4.2 Cartoonization pipelines</w:t>
      </w:r>
    </w:p>
    <w:p>
      <w:r>
        <w:t>Three transformations were evaluated: (i) an OpenCV-based cartoonization pipeline, (ii) pretrained AnimeGANv2, and (iii) pretrained Stable Diffusion image-to-image stylization. No model training was reported. Reproducibility requires the exact OpenCV operations and parameters, AnimeGANv2 checkpoint/source, Stable Diffusion model identifier/revision, prompts, inference settings, seeds, preprocessing, and output postprocessing.</w:t>
      </w:r>
    </w:p>
    <w:p>
      <w:pPr>
        <w:pStyle w:val="Heading2"/>
      </w:pPr>
      <w:r>
        <w:t>4.3 Recognition evaluation</w:t>
      </w:r>
    </w:p>
    <w:p>
      <w:r>
        <w:t>A pretrained ResNet18 classifier was applied to original and transformed images. Top-1 accuracy was calculated as correct predictions divided by valid evaluated samples. Six black Stable Diffusion outputs were excluded from the clean-image Stable Diffusion denominator, leaving 294 evaluated images; the original, OpenCV, and AnimeGANv2 sets each had 300.</w:t>
      </w:r>
    </w:p>
    <w:p>
      <w:pPr>
        <w:pStyle w:val="Heading2"/>
      </w:pPr>
      <w:r>
        <w:t>Four conditions were evaluated: Gaussian blur (kernel 9×9, sigma 2), Gaussian noise (standard deviation 15, seed 42), low illumination (alpha 0.5), and JPEG compression (quality 30). For each condition, recognition metrics were recalculated on the intersection of image IDs with valid prediction records across all four methods. The matched sample sizes were 292 for blur, 297 for Gaussian noise, 295 for low illumination, and 294 for JPEG compression. Original outputs are preserved; corrected tables are reported below.</w:t>
      </w:r>
    </w:p>
    <w:p>
      <w:r>
        <w:t>Four conditions were evaluated: Gaussian blur (kernel 9×9, sigma 2), Gaussian noise (standard deviation 15, seed 42), low illumination (alpha 0.5), and JPEG compression (quality 30). Blur, illumination, and JPEG summaries use matched subsets that exclude images unavailable in one or more method outputs. The Gaussian-noise summary currently uses a different matching/denominator procedure and should not be compared as though all methods used identical image IDs.</w:t>
      </w:r>
    </w:p>
    <w:p>
      <w:pPr>
        <w:pStyle w:val="Heading2"/>
      </w:pPr>
      <w:r>
        <w:t>4.5 Image quality and consistency</w:t>
      </w:r>
    </w:p>
    <w:p>
      <w:r>
        <w:t>Mean SSIM and PSNR were calculated between original images and clean cartoonized outputs. Six black Stable Diffusion outputs were excluded, leaving 294 valid images. Prediction consistency is the proportion of matched samples for which the classifier predicts the same class for original and transformed images; consistency is distinct from correctness.</w:t>
      </w:r>
    </w:p>
    <w:p>
      <w:pPr>
        <w:pStyle w:val="Heading2"/>
      </w:pPr>
      <w:r>
        <w:t>Wilson 95% confidence intervals were calculated for each matched-sample accuracy. Pairwise comparisons within each degradation condition used exact McNemar tests on paired predictions, with Holm correction across the six method pairs for that condition. The clean-image statistical analysis remains subject to a separate audit; p-values rounded to 0.000000 in console output should be reported as thresholds (for example, p &lt; 0.001), not as zero.</w:t>
      </w:r>
    </w:p>
    <w:p>
      <w:r>
        <w:t>Wilson confidence intervals were calculated for clean-image accuracy. Paired McNemar tests with Bonferroni correction and paired bootstrap confidence intervals were reported for pairwise clean-image comparisons. The final analysis should verify exact paired IDs, test statistics, interval directions, correction method, and readable scientific-notation p-values. The experiment log reports 5,000 bootstrap replicates.</w:t>
      </w:r>
    </w:p>
    <w:p>
      <w:pPr>
        <w:pStyle w:val="Heading1"/>
      </w:pPr>
      <w:r>
        <w:t>5. Results</w:t>
      </w:r>
    </w:p>
    <w:p>
      <w:pPr>
        <w:pStyle w:val="Heading2"/>
      </w:pPr>
      <w:r>
        <w:t>5.1 Clean-image recognition</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Samples</w:t>
            </w:r>
          </w:p>
        </w:tc>
        <w:tc>
          <w:tcPr>
            <w:tcW w:type="dxa" w:w="2448"/>
          </w:tcPr>
          <w:p>
            <w:r>
              <w:t>Correct</w:t>
            </w:r>
          </w:p>
        </w:tc>
        <w:tc>
          <w:tcPr>
            <w:tcW w:type="dxa" w:w="2448"/>
          </w:tcPr>
          <w:p>
            <w:r>
              <w:t>Accuracy</w:t>
            </w:r>
          </w:p>
        </w:tc>
      </w:tr>
      <w:tr>
        <w:tc>
          <w:tcPr>
            <w:tcW w:type="dxa" w:w="2448"/>
          </w:tcPr>
          <w:p>
            <w:r>
              <w:t>Original</w:t>
            </w:r>
          </w:p>
        </w:tc>
        <w:tc>
          <w:tcPr>
            <w:tcW w:type="dxa" w:w="2448"/>
          </w:tcPr>
          <w:p>
            <w:r>
              <w:t>300</w:t>
            </w:r>
          </w:p>
        </w:tc>
        <w:tc>
          <w:tcPr>
            <w:tcW w:type="dxa" w:w="2448"/>
          </w:tcPr>
          <w:p>
            <w:r>
              <w:t>242</w:t>
            </w:r>
          </w:p>
        </w:tc>
        <w:tc>
          <w:tcPr>
            <w:tcW w:type="dxa" w:w="2448"/>
          </w:tcPr>
          <w:p>
            <w:r>
              <w:t>80.67%</w:t>
            </w:r>
          </w:p>
        </w:tc>
      </w:tr>
      <w:tr>
        <w:tc>
          <w:tcPr>
            <w:tcW w:type="dxa" w:w="2448"/>
          </w:tcPr>
          <w:p>
            <w:r>
              <w:t>OpenCV</w:t>
            </w:r>
          </w:p>
        </w:tc>
        <w:tc>
          <w:tcPr>
            <w:tcW w:type="dxa" w:w="2448"/>
          </w:tcPr>
          <w:p>
            <w:r>
              <w:t>300</w:t>
            </w:r>
          </w:p>
        </w:tc>
        <w:tc>
          <w:tcPr>
            <w:tcW w:type="dxa" w:w="2448"/>
          </w:tcPr>
          <w:p>
            <w:r>
              <w:t>55</w:t>
            </w:r>
          </w:p>
        </w:tc>
        <w:tc>
          <w:tcPr>
            <w:tcW w:type="dxa" w:w="2448"/>
          </w:tcPr>
          <w:p>
            <w:r>
              <w:t>18.33%</w:t>
            </w:r>
          </w:p>
        </w:tc>
      </w:tr>
      <w:tr>
        <w:tc>
          <w:tcPr>
            <w:tcW w:type="dxa" w:w="2448"/>
          </w:tcPr>
          <w:p>
            <w:r>
              <w:t>AnimeGANv2</w:t>
            </w:r>
          </w:p>
        </w:tc>
        <w:tc>
          <w:tcPr>
            <w:tcW w:type="dxa" w:w="2448"/>
          </w:tcPr>
          <w:p>
            <w:r>
              <w:t>300</w:t>
            </w:r>
          </w:p>
        </w:tc>
        <w:tc>
          <w:tcPr>
            <w:tcW w:type="dxa" w:w="2448"/>
          </w:tcPr>
          <w:p>
            <w:r>
              <w:t>178</w:t>
            </w:r>
          </w:p>
        </w:tc>
        <w:tc>
          <w:tcPr>
            <w:tcW w:type="dxa" w:w="2448"/>
          </w:tcPr>
          <w:p>
            <w:r>
              <w:t>59.33%</w:t>
            </w:r>
          </w:p>
        </w:tc>
      </w:tr>
      <w:tr>
        <w:tc>
          <w:tcPr>
            <w:tcW w:type="dxa" w:w="2448"/>
          </w:tcPr>
          <w:p>
            <w:r>
              <w:t>Stable Diffusion</w:t>
            </w:r>
          </w:p>
        </w:tc>
        <w:tc>
          <w:tcPr>
            <w:tcW w:type="dxa" w:w="2448"/>
          </w:tcPr>
          <w:p>
            <w:r>
              <w:t>294</w:t>
            </w:r>
          </w:p>
        </w:tc>
        <w:tc>
          <w:tcPr>
            <w:tcW w:type="dxa" w:w="2448"/>
          </w:tcPr>
          <w:p>
            <w:r>
              <w:t>98</w:t>
            </w:r>
          </w:p>
        </w:tc>
        <w:tc>
          <w:tcPr>
            <w:tcW w:type="dxa" w:w="2448"/>
          </w:tcPr>
          <w:p>
            <w:r>
              <w:t>33.33%</w:t>
            </w:r>
          </w:p>
        </w:tc>
      </w:tr>
    </w:tbl>
    <w:p>
      <w:r>
        <w:t>Original images achieved 80.67% accuracy. AnimeGANv2 had the highest accuracy among the cartoonization methods (59.33%), followed by Stable Diffusion (33.33%) and OpenCV (18.33%). Relative to the original baseline, the absolute reductions were 21.34 percentage points for AnimeGANv2, 47.28 points for Stable Diffusion on its matched 294-image comparison, and 62.34 points for OpenCV. These rankings are descriptive for this dataset and classifier.</w:t>
      </w:r>
    </w:p>
    <w:p>
      <w:pPr>
        <w:pStyle w:val="Heading2"/>
      </w:pPr>
      <w:r>
        <w:t>5.2 Accuracy under degradations</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Method</w:t>
            </w:r>
          </w:p>
        </w:tc>
        <w:tc>
          <w:tcPr>
            <w:tcW w:type="dxa" w:w="1958"/>
          </w:tcPr>
          <w:p>
            <w:r>
              <w:t>Gaussian blur (n=292)</w:t>
            </w:r>
          </w:p>
        </w:tc>
        <w:tc>
          <w:tcPr>
            <w:tcW w:type="dxa" w:w="1958"/>
          </w:tcPr>
          <w:p>
            <w:r>
              <w:t>Gaussian noise (n=297)</w:t>
            </w:r>
          </w:p>
        </w:tc>
        <w:tc>
          <w:tcPr>
            <w:tcW w:type="dxa" w:w="1958"/>
          </w:tcPr>
          <w:p>
            <w:r>
              <w:t>JPEG compression (n=294)</w:t>
            </w:r>
          </w:p>
        </w:tc>
        <w:tc>
          <w:tcPr>
            <w:tcW w:type="dxa" w:w="1958"/>
          </w:tcPr>
          <w:p>
            <w:r>
              <w:t>Low illumination (n=295)</w:t>
            </w:r>
          </w:p>
        </w:tc>
      </w:tr>
      <w:tr>
        <w:tc>
          <w:tcPr>
            <w:tcW w:type="dxa" w:w="1958"/>
          </w:tcPr>
          <w:p>
            <w:r>
              <w:t>Original</w:t>
            </w:r>
          </w:p>
        </w:tc>
        <w:tc>
          <w:tcPr>
            <w:tcW w:type="dxa" w:w="1958"/>
          </w:tcPr>
          <w:p>
            <w:r>
              <w:t>63.01%</w:t>
            </w:r>
          </w:p>
        </w:tc>
        <w:tc>
          <w:tcPr>
            <w:tcW w:type="dxa" w:w="1958"/>
          </w:tcPr>
          <w:p>
            <w:r>
              <w:t>72.39%</w:t>
            </w:r>
          </w:p>
        </w:tc>
        <w:tc>
          <w:tcPr>
            <w:tcW w:type="dxa" w:w="1958"/>
          </w:tcPr>
          <w:p>
            <w:r>
              <w:t>76.53%</w:t>
            </w:r>
          </w:p>
        </w:tc>
        <w:tc>
          <w:tcPr>
            <w:tcW w:type="dxa" w:w="1958"/>
          </w:tcPr>
          <w:p>
            <w:r>
              <w:t>75.93%</w:t>
            </w:r>
          </w:p>
        </w:tc>
      </w:tr>
      <w:tr>
        <w:tc>
          <w:tcPr>
            <w:tcW w:type="dxa" w:w="1958"/>
          </w:tcPr>
          <w:p>
            <w:r>
              <w:t>OpenCV</w:t>
            </w:r>
          </w:p>
        </w:tc>
        <w:tc>
          <w:tcPr>
            <w:tcW w:type="dxa" w:w="1958"/>
          </w:tcPr>
          <w:p>
            <w:r>
              <w:t>12.33%</w:t>
            </w:r>
          </w:p>
        </w:tc>
        <w:tc>
          <w:tcPr>
            <w:tcW w:type="dxa" w:w="1958"/>
          </w:tcPr>
          <w:p>
            <w:r>
              <w:t>13.47%</w:t>
            </w:r>
          </w:p>
        </w:tc>
        <w:tc>
          <w:tcPr>
            <w:tcW w:type="dxa" w:w="1958"/>
          </w:tcPr>
          <w:p>
            <w:r>
              <w:t>17.35%</w:t>
            </w:r>
          </w:p>
        </w:tc>
        <w:tc>
          <w:tcPr>
            <w:tcW w:type="dxa" w:w="1958"/>
          </w:tcPr>
          <w:p>
            <w:r>
              <w:t>16.61%</w:t>
            </w:r>
          </w:p>
        </w:tc>
      </w:tr>
      <w:tr>
        <w:tc>
          <w:tcPr>
            <w:tcW w:type="dxa" w:w="1958"/>
          </w:tcPr>
          <w:p>
            <w:r>
              <w:t>AnimeGANv2</w:t>
            </w:r>
          </w:p>
        </w:tc>
        <w:tc>
          <w:tcPr>
            <w:tcW w:type="dxa" w:w="1958"/>
          </w:tcPr>
          <w:p>
            <w:r>
              <w:t>40.07%</w:t>
            </w:r>
          </w:p>
        </w:tc>
        <w:tc>
          <w:tcPr>
            <w:tcW w:type="dxa" w:w="1958"/>
          </w:tcPr>
          <w:p>
            <w:r>
              <w:t>60.94%</w:t>
            </w:r>
          </w:p>
        </w:tc>
        <w:tc>
          <w:tcPr>
            <w:tcW w:type="dxa" w:w="1958"/>
          </w:tcPr>
          <w:p>
            <w:r>
              <w:t>57.82%</w:t>
            </w:r>
          </w:p>
        </w:tc>
        <w:tc>
          <w:tcPr>
            <w:tcW w:type="dxa" w:w="1958"/>
          </w:tcPr>
          <w:p>
            <w:r>
              <w:t>47.46%</w:t>
            </w:r>
          </w:p>
        </w:tc>
      </w:tr>
      <w:tr>
        <w:tc>
          <w:tcPr>
            <w:tcW w:type="dxa" w:w="1958"/>
          </w:tcPr>
          <w:p>
            <w:r>
              <w:t>Stable Diffusion</w:t>
            </w:r>
          </w:p>
        </w:tc>
        <w:tc>
          <w:tcPr>
            <w:tcW w:type="dxa" w:w="1958"/>
          </w:tcPr>
          <w:p>
            <w:r>
              <w:t>22.95%</w:t>
            </w:r>
          </w:p>
        </w:tc>
        <w:tc>
          <w:tcPr>
            <w:tcW w:type="dxa" w:w="1958"/>
          </w:tcPr>
          <w:p>
            <w:r>
              <w:t>24.24%</w:t>
            </w:r>
          </w:p>
        </w:tc>
        <w:tc>
          <w:tcPr>
            <w:tcW w:type="dxa" w:w="1958"/>
          </w:tcPr>
          <w:p>
            <w:r>
              <w:t>30.95%</w:t>
            </w:r>
          </w:p>
        </w:tc>
        <w:tc>
          <w:tcPr>
            <w:tcW w:type="dxa" w:w="1958"/>
          </w:tcPr>
          <w:p>
            <w:r>
              <w:t>23.39%</w:t>
            </w:r>
          </w:p>
        </w:tc>
      </w:tr>
    </w:tbl>
    <w:p>
      <w:r>
        <w:t>All four degradation comparisons below use identical image IDs across the four methods within each condition. The matched sample sizes differ by condition because Stable Diffusion has fewer valid prediction records: 292 for blur, 297 for Gaussian noise, 295 for low illumination, and 294 for JPEG compression.</w:t>
      </w:r>
    </w:p>
    <w:p>
      <w:r>
        <w:t>AnimeGANv2 had the highest accuracy among the three cartoonization methods in each matched degradation condition. OpenCV had the lowest accuracy in each condition. The original degraded images achieved the highest accuracy overall. These results are descriptive of this sample, classifier, and the stated corruption settings.</w:t>
      </w:r>
    </w:p>
    <w:p>
      <w:pPr/>
      <w:r>
        <w:t>Table 2 reports corrected matched-sample Top-1 accuracy. The reported sample size is common to all four methods within a condition, not across all conditions.</w:t>
      </w:r>
    </w:p>
    <w:p>
      <w:pPr>
        <w:pStyle w:val="Heading2"/>
      </w:pPr>
      <w:r>
        <w:t>5.3 Image-quality metrics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Valid images</w:t>
            </w:r>
          </w:p>
        </w:tc>
        <w:tc>
          <w:tcPr>
            <w:tcW w:type="dxa" w:w="2448"/>
          </w:tcPr>
          <w:p>
            <w:r>
              <w:t>Mean SSIM</w:t>
            </w:r>
          </w:p>
        </w:tc>
        <w:tc>
          <w:tcPr>
            <w:tcW w:type="dxa" w:w="2448"/>
          </w:tcPr>
          <w:p>
            <w:r>
              <w:t>Mean PSNR (dB)</w:t>
            </w:r>
          </w:p>
        </w:tc>
      </w:tr>
      <w:tr>
        <w:tc>
          <w:tcPr>
            <w:tcW w:type="dxa" w:w="2448"/>
          </w:tcPr>
          <w:p>
            <w:r>
              <w:t>AnimeGANv2</w:t>
            </w:r>
          </w:p>
        </w:tc>
        <w:tc>
          <w:tcPr>
            <w:tcW w:type="dxa" w:w="2448"/>
          </w:tcPr>
          <w:p>
            <w:r>
              <w:t>300</w:t>
            </w:r>
          </w:p>
        </w:tc>
        <w:tc>
          <w:tcPr>
            <w:tcW w:type="dxa" w:w="2448"/>
          </w:tcPr>
          <w:p>
            <w:r>
              <w:t>0.6564</w:t>
            </w:r>
          </w:p>
        </w:tc>
        <w:tc>
          <w:tcPr>
            <w:tcW w:type="dxa" w:w="2448"/>
          </w:tcPr>
          <w:p>
            <w:r>
              <w:t>18.5636</w:t>
            </w:r>
          </w:p>
        </w:tc>
      </w:tr>
      <w:tr>
        <w:tc>
          <w:tcPr>
            <w:tcW w:type="dxa" w:w="2448"/>
          </w:tcPr>
          <w:p>
            <w:r>
              <w:t>OpenCV</w:t>
            </w:r>
          </w:p>
        </w:tc>
        <w:tc>
          <w:tcPr>
            <w:tcW w:type="dxa" w:w="2448"/>
          </w:tcPr>
          <w:p>
            <w:r>
              <w:t>300</w:t>
            </w:r>
          </w:p>
        </w:tc>
        <w:tc>
          <w:tcPr>
            <w:tcW w:type="dxa" w:w="2448"/>
          </w:tcPr>
          <w:p>
            <w:r>
              <w:t>0.6469</w:t>
            </w:r>
          </w:p>
        </w:tc>
        <w:tc>
          <w:tcPr>
            <w:tcW w:type="dxa" w:w="2448"/>
          </w:tcPr>
          <w:p>
            <w:r>
              <w:t>17.6617</w:t>
            </w:r>
          </w:p>
        </w:tc>
      </w:tr>
      <w:tr>
        <w:tc>
          <w:tcPr>
            <w:tcW w:type="dxa" w:w="2448"/>
          </w:tcPr>
          <w:p>
            <w:r>
              <w:t>Stable Diffusion</w:t>
            </w:r>
          </w:p>
        </w:tc>
        <w:tc>
          <w:tcPr>
            <w:tcW w:type="dxa" w:w="2448"/>
          </w:tcPr>
          <w:p>
            <w:r>
              <w:t>294</w:t>
            </w:r>
          </w:p>
        </w:tc>
        <w:tc>
          <w:tcPr>
            <w:tcW w:type="dxa" w:w="2448"/>
          </w:tcPr>
          <w:p>
            <w:r>
              <w:t>0.4747</w:t>
            </w:r>
          </w:p>
        </w:tc>
        <w:tc>
          <w:tcPr>
            <w:tcW w:type="dxa" w:w="2448"/>
          </w:tcPr>
          <w:p>
            <w:r>
              <w:t>18.3549</w:t>
            </w:r>
          </w:p>
        </w:tc>
      </w:tr>
    </w:tbl>
    <w:p>
      <w:r>
        <w:t>AnimeGANv2 had the highest mean SSIM and PSNR in the clean-output comparison. Stable Diffusion had the lowest mean SSIM. These metrics measure similarity to the original, not aesthetic quality or semantic correctness.</w:t>
      </w:r>
    </w:p>
    <w:p>
      <w:pPr>
        <w:pStyle w:val="Heading2"/>
      </w:pPr>
      <w:r>
        <w:t>5.4 Per-class and failure-case analysis</w:t>
      </w:r>
    </w:p>
    <w:p>
      <w:r>
        <w:t>AnimeGANv2 had the highest reported accuracy in nine of ten classes; Stable Diffusion slightly exceeded AnimeGANv2 for garbage truck (60.00% versus 56.67%). Stable Diffusion per-class denominators vary because some outputs were invalid or unavailable. A gallery of 12 examples was generated where the original was correctly classified but at least one cartoonized version was misclassified. Confusion matrices used an 'Other classes' category for predictions outside the ten evaluated classes; corrected overall accuracy matched the main clean-image results.</w:t>
      </w:r>
    </w:p>
    <w:p>
      <w:pPr>
        <w:pStyle w:val="Heading2"/>
      </w:pPr>
      <w:r>
        <w:t>5.5 Statistical comparisons</w:t>
      </w:r>
    </w:p>
    <w:p>
      <w:r>
        <w:t>For each degradation condition, exact paired McNemar tests were conducted for all six method pairs and Holm-adjusted within that condition. The corrected outputs are saved under results/corrected_*_matched/. All six pairwise comparisons were significant after Holm correction for Gaussian blur, Gaussian noise, and JPEG compression (adjusted p &lt; 0.001 as rounded in the console output); for low illumination, OpenCV versus Stable Diffusion had adjusted p = 0.016858, and the other five comparisons had adjusted p &lt; 0.001. The clean-image pairwise-bootstrap results cited in earlier analysis should be rechecked directly before publication.</w:t>
      </w:r>
    </w:p>
    <w:p>
      <w:pPr>
        <w:pStyle w:val="Heading1"/>
      </w:pPr>
      <w:r>
        <w:t>6. Discussion</w:t>
      </w:r>
    </w:p>
    <w:p>
      <w:r>
        <w:t>Downstream recognition differed substantially by cartoonization pipeline. AnimeGANv2 retained more ResNet18 recognition accuracy than OpenCV and Stable Diffusion in this experiment. A plausible explanation is that transformations differ in how they preserve contours, texture, color, and class-discriminative structure, but accuracy alone does not establish this mechanism; failure examples may help investigate it.</w:t>
      </w:r>
    </w:p>
    <w:p>
      <w:r>
        <w:t>SSIM/PSNR and recognition accuracy are complementary rather than interchangeable. A transformation may remain structurally similar while changing a feature important to the classifier, or differ substantially at the pixel level while preserving class identity. Across the four matched corruption settings, AnimeGANv2 remained the strongest of the cartoonization methods for this classifier. This does not establish that it is universally more robust across other datasets, classifiers, model versions, or corruption severities.</w:t>
      </w:r>
    </w:p>
    <w:p>
      <w:pPr>
        <w:pStyle w:val="Heading1"/>
      </w:pPr>
      <w:r>
        <w:t>7. Limitations and Validity Threats</w:t>
      </w:r>
    </w:p>
    <w:p>
      <w:pPr>
        <w:pStyle w:val="ListBullet"/>
      </w:pPr>
      <w:r>
        <w:t>Only 300 images from ten Imagenette classes were evaluated; results may not generalize to other datasets or real-world deployment.</w:t>
      </w:r>
    </w:p>
    <w:p>
      <w:pPr>
        <w:pStyle w:val="ListBullet"/>
      </w:pPr>
      <w:r>
        <w:t>Only one classifier, ResNet18, was used.</w:t>
      </w:r>
    </w:p>
    <w:p>
      <w:pPr>
        <w:pStyle w:val="ListBullet"/>
      </w:pPr>
      <w:r>
        <w:t>Valid sample counts differ: six clean Stable Diffusion outputs and three Stable Diffusion Gaussian-noise outputs were reported as black; per-class denominators vary.</w:t>
      </w:r>
    </w:p>
    <w:p>
      <w:pPr>
        <w:pStyle w:val="ListBullet"/>
      </w:pPr>
      <w:r>
        <w:t>All four degradation conditions have now been recalculated on matched image IDs within each condition. However, the matched sample sizes vary across conditions, and missing Stable Diffusion records may introduce selection effects. The clean-image statistical outputs and exact pipeline settings still require independent verification before publication.</w:t>
      </w:r>
    </w:p>
    <w:p>
      <w:pPr>
        <w:pStyle w:val="ListBullet"/>
      </w:pPr>
      <w:r>
        <w:t>Exact Stable Diffusion model revision, prompts, seeds, scheduler, inference steps, strength, and guidance scale must be documented.</w:t>
      </w:r>
    </w:p>
    <w:p>
      <w:pPr>
        <w:pStyle w:val="ListBullet"/>
      </w:pPr>
      <w:r>
        <w:t>SSIM and PSNR measure reference similarity, not aesthetic preference or semantic correctness.</w:t>
      </w:r>
    </w:p>
    <w:p>
      <w:pPr>
        <w:pStyle w:val="ListBullet"/>
      </w:pPr>
      <w:r>
        <w:t>Pairwise statistical outputs, p-values, confidence interval directions, and sample IDs must be verified from saved files.</w:t>
      </w:r>
    </w:p>
    <w:p>
      <w:pPr>
        <w:pStyle w:val="ListBullet"/>
      </w:pPr>
      <w:r>
        <w:t>The current literature review is preliminary, not systematic; novelty cannot yet be claimed.</w:t>
      </w:r>
    </w:p>
    <w:p>
      <w:pPr>
        <w:pStyle w:val="ListBullet"/>
      </w:pPr>
      <w:r>
        <w:t>Comparable runtime and memory measurements were not available in the current record and are therefore not reported.</w:t>
      </w:r>
    </w:p>
    <w:p>
      <w:pPr>
        <w:pStyle w:val="Heading1"/>
      </w:pPr>
      <w:r>
        <w:t>8. Conclusion</w:t>
      </w:r>
    </w:p>
    <w:p>
      <w:r>
        <w:t>This study compared OpenCV cartoonization, AnimeGANv2, and Stable Diffusion image-to-image stylization using ResNet18 on a balanced 300-image Imagenette subset. AnimeGANv2 achieved the highest recognition accuracy among cartoonization methods on clean images (59.33%) and in the four reported degradation conditions. OpenCV had the lowest recognition accuracy, while Stable Diffusion showed lower accuracy than AnimeGANv2 and six invalid black outputs in the clean set. Quality metrics and failure-case analysis provide complementary evidence that stylization should be evaluated using downstream tasks as well as visual similarity. The findings are specific to the current sample, classifier, and pipeline settings. Further validation across datasets and classifiers, matched-subset analyses, full parameter reporting, and a broader literature review are required before strong novelty claims or general conclusions are made.</w:t>
      </w:r>
    </w:p>
    <w:p>
      <w:pPr>
        <w:pStyle w:val="Heading1"/>
      </w:pPr>
      <w:r>
        <w:t>References</w:t>
      </w:r>
    </w:p>
    <w:p>
      <w:r>
        <w:t>[1] P. Isola, J.-Y. Zhu, T. Zhou, and A. A. Efros, “Image-to-Image Translation with Conditional Adversarial Networks,” CVPR, 2017. https://doi.org/10.1109/CVPR.2017.632</w:t>
      </w:r>
    </w:p>
    <w:p>
      <w:r>
        <w:t>[2] J.-Y. Zhu, T. Park, P. Isola, and A. A. Efros, “Unpaired Image-to-Image Translation Using Cycle-Consistent Adversarial Networks,” ICCV, 2017. https://doi.org/10.1109/ICCV.2017.244</w:t>
      </w:r>
    </w:p>
    <w:p>
      <w:r>
        <w:t>[3] Y. Chen, Y.-K. Lai, and Y.-J. Liu, “CartoonGAN: Generative Adversarial Networks for Photo Cartoonization,” CVPR, pp. 9465–9474, 2018. https://doi.org/10.1109/CVPR.2018.00986</w:t>
      </w:r>
    </w:p>
    <w:p>
      <w:r>
        <w:t>[4] X. Wang and J. Yu, “Learning to Cartoonize Using White-Box Cartoon Representations,” CVPR, 2020. https://openaccess.thecvf.com/content_CVPR_2020/html/Wang_Learning_to_Cartoonize_Using_White-Box_Cartoon_Representations_CVPR_2020_paper.html</w:t>
      </w:r>
    </w:p>
    <w:p>
      <w:r>
        <w:t>[5] R. Rombach, A. Blattmann, D. Lorenz, P. Esser, and B. Ommer, “High-Resolution Image Synthesis with Latent Diffusion Models,” CVPR, pp. 10684–10695, 2022. https://doi.org/10.1109/CVPR52688.2022.01042</w:t>
      </w:r>
    </w:p>
    <w:p>
      <w:r>
        <w:t>[6] D. Hendrycks and T. Dietterich, “Benchmarking Neural Network Robustness to Common Corruptions and Perturbations,” ICLR, 2019. https://arxiv.org/abs/1903.12261</w:t>
      </w:r>
    </w:p>
    <w:p>
      <w:r>
        <w:t>[7] Z. Wang, A. C. Bovik, H. R. Sheikh, and E. P. Simoncelli, “Image Quality Assessment: From Error Visibility to Structural Similarity,” IEEE Transactions on Image Processing, 13(4), 600–612, 2004. https://doi.org/10.1109/TIP.2003.819861</w:t>
      </w:r>
    </w:p>
    <w:p>
      <w:r>
        <w:t>[8] K. He, X. Zhang, S. Ren, and J. Sun, “Deep Residual Learning for Image Recognition,” CVPR, pp. 770–778, 2016. https://doi.org/10.1109/CVPR.2016.90</w:t>
      </w:r>
    </w:p>
    <w:p>
      <w:r>
        <w:t>[9] fast.ai, “Imagenette: A smaller subset of 10 easily classified classes from ImageNet,” dataset repository. https://github.com/fastai/imagenette</w:t>
      </w:r>
    </w:p>
    <w:p>
      <w:pPr>
        <w:pStyle w:val="Heading1"/>
      </w:pPr>
      <w:r>
        <w:t>Appendix A. Finalization checklist</w:t>
      </w:r>
    </w:p>
    <w:p>
      <w:pPr>
        <w:pStyle w:val="ListBullet"/>
      </w:pPr>
      <w:r>
        <w:t>Save the executed Colab notebook (.ipynb) and an export of code cells.</w:t>
      </w:r>
    </w:p>
    <w:p>
      <w:pPr>
        <w:pStyle w:val="ListBullet"/>
      </w:pPr>
      <w:r>
        <w:t>Record software versions, hardware/GPU, checkpoints, model revisions, prompts, seeds, preprocessing, and inference settings.</w:t>
      </w:r>
    </w:p>
    <w:p>
      <w:pPr>
        <w:pStyle w:val="ListBullet"/>
      </w:pPr>
      <w:r>
        <w:t>Include selected_300_images.csv and document dataset source, version, and license.</w:t>
      </w:r>
    </w:p>
    <w:p>
      <w:pPr>
        <w:pStyle w:val="ListBullet"/>
      </w:pPr>
      <w:r>
        <w:t>Verify output-to-source mappings and row counts for all CSVs.</w:t>
      </w:r>
    </w:p>
    <w:p>
      <w:pPr>
        <w:pStyle w:val="ListBullet"/>
      </w:pPr>
      <w:r>
        <w:t>Completed: recompute all four degradation comparisons on matched image IDs using the existing prediction CSVs; corrected outputs are saved in results/corrected_*_matched/.</w:t>
      </w:r>
    </w:p>
    <w:p>
      <w:pPr>
        <w:pStyle w:val="ListBullet"/>
      </w:pPr>
      <w:r>
        <w:t>Verify clean-image paired tests, confidence-interval directions, and correction method; report p-values in scientific notation or as appropriate thresholds, never as literal zero.</w:t>
      </w:r>
    </w:p>
    <w:p>
      <w:pPr>
        <w:pStyle w:val="ListBullet"/>
      </w:pPr>
      <w:r>
        <w:t>Document black-output exclusion rules and denominators.</w:t>
      </w:r>
    </w:p>
    <w:p>
      <w:pPr>
        <w:pStyle w:val="ListBullet"/>
      </w:pPr>
      <w:r>
        <w:t>Add runtime/memory results only if measured comparably; otherwise state they were not evaluated.</w:t>
      </w:r>
    </w:p>
    <w:p>
      <w:pPr>
        <w:pStyle w:val="ListBullet"/>
      </w:pPr>
      <w:r>
        <w:t>Complete a broader literature search and compare closest prior studies before claiming novelty.</w:t>
      </w:r>
    </w:p>
    <w:p>
      <w:pPr>
        <w:pStyle w:val="ListBullet"/>
      </w:pPr>
      <w:r>
        <w:t>Check target journal formatting, references, dataset license, and permissions.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