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Updated Literature Review and Novelty Audit</w:t>
      </w:r>
    </w:p>
    <w:p>
      <w:pPr>
        <w:jc w:val="center"/>
      </w:pPr>
      <w:r>
        <w:rPr>
          <w:i/>
        </w:rPr>
        <w:t>Beyond Visual Quality: Evaluating the Robustness and Recognition Performance of Image Cartoonization Methods</w:t>
      </w:r>
    </w:p>
    <w:p>
      <w:r>
        <w:t>Prepared for supervisor discussion. This is a targeted web-based literature audit, not an exhaustive systematic review. It cannot certify absolute novelty across every journal, conference, preprint, thesis, or database.</w:t>
      </w:r>
    </w:p>
    <w:p>
      <w:pPr>
        <w:pStyle w:val="Heading1"/>
      </w:pPr>
      <w:r>
        <w:t>1. Executive assessment</w:t>
      </w:r>
    </w:p>
    <w:p>
      <w:r>
        <w:t>The current project is a valid controlled empirical comparison, but the broad research area is not new. Prior work has evaluated recognition on cartoon-domain images and stylized domain shifts, and prior work has tested robustness to common corruptions. Therefore, the defensible possible contribution is narrower: a controlled comparison of the specific OpenCV, AnimeGANv2, and Stable Diffusion pipelines under a fixed ResNet18 classifier, with clean and selected corrupted inputs, reference-similarity metrics, class-level outcomes, and failure-case analysis. The exact combination may be less commonly studied, but this targeted search does not prove that it is unprecedented.</w:t>
      </w:r>
    </w:p>
    <w:p>
      <w:r>
        <w:t>Do not write “the first study,” “no prior research exists,” or “the method is novel” based on the current evidence. Use “we conduct an empirical comparison” or “we investigate” until a systematic review and supervisor approval establish a stronger claim.</w:t>
      </w:r>
    </w:p>
    <w:p>
      <w:pPr>
        <w:pStyle w:val="Heading1"/>
      </w:pPr>
      <w:r>
        <w:t>2. Important literature found in the expanded search</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Study / year</w:t>
            </w:r>
          </w:p>
        </w:tc>
        <w:tc>
          <w:tcPr>
            <w:tcW w:type="dxa" w:w="2556"/>
          </w:tcPr>
          <w:p>
            <w:r>
              <w:t>What it investigates</w:t>
            </w:r>
          </w:p>
        </w:tc>
        <w:tc>
          <w:tcPr>
            <w:tcW w:type="dxa" w:w="2556"/>
          </w:tcPr>
          <w:p>
            <w:r>
              <w:t>Relevance to this project</w:t>
            </w:r>
          </w:p>
        </w:tc>
        <w:tc>
          <w:tcPr>
            <w:tcW w:type="dxa" w:w="2556"/>
          </w:tcPr>
          <w:p>
            <w:r>
              <w:t>Implication for novelty</w:t>
            </w:r>
          </w:p>
        </w:tc>
      </w:tr>
      <w:tr>
        <w:tc>
          <w:tcPr>
            <w:tcW w:type="dxa" w:w="2556"/>
          </w:tcPr>
          <w:p>
            <w:r>
              <w:t>Salvador &amp; Oberman (ICML Shift Happens workshop, 2022), ImageNet-Cartoon and ImageNet-Drawing</w:t>
            </w:r>
          </w:p>
        </w:tc>
        <w:tc>
          <w:tcPr>
            <w:tcW w:type="dxa" w:w="2556"/>
          </w:tcPr>
          <w:p>
            <w:r>
              <w:t>Creates ImageNet-derived cartoon and drawing domain-shift datasets and evaluates pretrained ImageNet classifiers; reported accuracy drops on cartoon/drawing domains.</w:t>
            </w:r>
          </w:p>
        </w:tc>
        <w:tc>
          <w:tcPr>
            <w:tcW w:type="dxa" w:w="2556"/>
          </w:tcPr>
          <w:p>
            <w:r>
              <w:t>Very close conceptual overlap: cartoonized image inputs are used to test classification/domain robustness.</w:t>
            </w:r>
          </w:p>
        </w:tc>
        <w:tc>
          <w:tcPr>
            <w:tcW w:type="dxa" w:w="2556"/>
          </w:tcPr>
          <w:p>
            <w:r>
              <w:t>Rules out a broad claim that cartoon-domain classification robustness has not been studied. Different from the present multi-pipeline and corruption comparison, based on the public abstract/paper.</w:t>
            </w:r>
          </w:p>
        </w:tc>
      </w:tr>
      <w:tr>
        <w:tc>
          <w:tcPr>
            <w:tcW w:type="dxa" w:w="2556"/>
          </w:tcPr>
          <w:p>
            <w:r>
              <w:t>Zhou et al. (VRCAI 2018), ToonNet: A cartoon image dataset and a DNN-based semantic classification system</w:t>
            </w:r>
          </w:p>
        </w:tc>
        <w:tc>
          <w:tcPr>
            <w:tcW w:type="dxa" w:w="2556"/>
          </w:tcPr>
          <w:p>
            <w:r>
              <w:t>Builds a cartoon-style image dataset and evaluates semantic classification.</w:t>
            </w:r>
          </w:p>
        </w:tc>
        <w:tc>
          <w:tcPr>
            <w:tcW w:type="dxa" w:w="2556"/>
          </w:tcPr>
          <w:p>
            <w:r>
              <w:t>Directly establishes prior work on classification of cartoon-style images.</w:t>
            </w:r>
          </w:p>
        </w:tc>
        <w:tc>
          <w:tcPr>
            <w:tcW w:type="dxa" w:w="2556"/>
          </w:tcPr>
          <w:p>
            <w:r>
              <w:t>The project cannot claim cartoon-image classification itself is new.</w:t>
            </w:r>
          </w:p>
        </w:tc>
      </w:tr>
      <w:tr>
        <w:tc>
          <w:tcPr>
            <w:tcW w:type="dxa" w:w="2556"/>
          </w:tcPr>
          <w:p>
            <w:r>
              <w:t>Geirhos et al. (ICLR 2019), ImageNet-trained CNNs are biased towards texture; increasing shape bias improves accuracy and robustness</w:t>
            </w:r>
          </w:p>
        </w:tc>
        <w:tc>
          <w:tcPr>
            <w:tcW w:type="dxa" w:w="2556"/>
          </w:tcPr>
          <w:p>
            <w:r>
              <w:t>Studies texture/shape cue reliance and stylized ImageNet training; evaluates accuracy and robustness.</w:t>
            </w:r>
          </w:p>
        </w:tc>
        <w:tc>
          <w:tcPr>
            <w:tcW w:type="dxa" w:w="2556"/>
          </w:tcPr>
          <w:p>
            <w:r>
              <w:t>Shows stylization and recognition robustness have been jointly studied.</w:t>
            </w:r>
          </w:p>
        </w:tc>
        <w:tc>
          <w:tcPr>
            <w:tcW w:type="dxa" w:w="2556"/>
          </w:tcPr>
          <w:p>
            <w:r>
              <w:t>The broad connection between stylization and classifier robustness is not new; their intervention is training on stylized images, not testing cartoonization methods at inference.</w:t>
            </w:r>
          </w:p>
        </w:tc>
      </w:tr>
      <w:tr>
        <w:tc>
          <w:tcPr>
            <w:tcW w:type="dxa" w:w="2556"/>
          </w:tcPr>
          <w:p>
            <w:r>
              <w:t>Hendrycks &amp; Dietterich (ICLR 2019), Benchmarking Neural Network Robustness to Common Corruptions and Perturbations</w:t>
            </w:r>
          </w:p>
        </w:tc>
        <w:tc>
          <w:tcPr>
            <w:tcW w:type="dxa" w:w="2556"/>
          </w:tcPr>
          <w:p>
            <w:r>
              <w:t>Standardizes evaluation of classifiers under common image corruptions.</w:t>
            </w:r>
          </w:p>
        </w:tc>
        <w:tc>
          <w:tcPr>
            <w:tcW w:type="dxa" w:w="2556"/>
          </w:tcPr>
          <w:p>
            <w:r>
              <w:t>Supports blur/noise/brightness/compression evaluation design.</w:t>
            </w:r>
          </w:p>
        </w:tc>
        <w:tc>
          <w:tcPr>
            <w:tcW w:type="dxa" w:w="2556"/>
          </w:tcPr>
          <w:p>
            <w:r>
              <w:t>Common-corruption robustness is established; the study should explain how its selected subset differs from ImageNet-C.</w:t>
            </w:r>
          </w:p>
        </w:tc>
      </w:tr>
      <w:tr>
        <w:tc>
          <w:tcPr>
            <w:tcW w:type="dxa" w:w="2556"/>
          </w:tcPr>
          <w:p>
            <w:r>
              <w:t>Tang (Computers, Materials &amp; Continua, 2023), AnimeNet: A Deep Learning Approach for Detecting Violence and Eroticism in Animated Content</w:t>
            </w:r>
          </w:p>
        </w:tc>
        <w:tc>
          <w:tcPr>
            <w:tcW w:type="dxa" w:w="2556"/>
          </w:tcPr>
          <w:p>
            <w:r>
              <w:t>Classifies cartoon/animated content and includes robustness tests such as cropping, rotation, and block noise.</w:t>
            </w:r>
          </w:p>
        </w:tc>
        <w:tc>
          <w:tcPr>
            <w:tcW w:type="dxa" w:w="2556"/>
          </w:tcPr>
          <w:p>
            <w:r>
              <w:t>Adjacent work on classification robustness within cartoon imagery.</w:t>
            </w:r>
          </w:p>
        </w:tc>
        <w:tc>
          <w:tcPr>
            <w:tcW w:type="dxa" w:w="2556"/>
          </w:tcPr>
          <w:p>
            <w:r>
              <w:t>A claim that robustness of classifiers on cartoon imagery has never been tested would be incorrect; task and dataset differ from natural-object recognition after cartoonization.</w:t>
            </w:r>
          </w:p>
        </w:tc>
      </w:tr>
      <w:tr>
        <w:tc>
          <w:tcPr>
            <w:tcW w:type="dxa" w:w="2556"/>
          </w:tcPr>
          <w:p>
            <w:r>
              <w:t>Li et al. (Journal of Zhejiang University—Engineering Science, 2024), Image cartoonization incorporating attention mechanism and structural line extraction</w:t>
            </w:r>
          </w:p>
        </w:tc>
        <w:tc>
          <w:tcPr>
            <w:tcW w:type="dxa" w:w="2556"/>
          </w:tcPr>
          <w:p>
            <w:r>
              <w:t>Develops a cartoonization method and compares generation quality with existing methods including AnimeGANv2.</w:t>
            </w:r>
          </w:p>
        </w:tc>
        <w:tc>
          <w:tcPr>
            <w:tcW w:type="dxa" w:w="2556"/>
          </w:tcPr>
          <w:p>
            <w:r>
              <w:t>Current cartoonization literature includes newer methods and comparative image-quality evaluations.</w:t>
            </w:r>
          </w:p>
        </w:tc>
        <w:tc>
          <w:tcPr>
            <w:tcW w:type="dxa" w:w="2556"/>
          </w:tcPr>
          <w:p>
            <w:r>
              <w:t>The literature review must include newer cartoonization methods; generation-quality comparison alone is not the same as downstream classification evaluation.</w:t>
            </w:r>
          </w:p>
        </w:tc>
      </w:tr>
      <w:tr>
        <w:tc>
          <w:tcPr>
            <w:tcW w:type="dxa" w:w="2556"/>
          </w:tcPr>
          <w:p>
            <w:r>
              <w:t>Chen et al. (CVPR 2018), CartoonGAN</w:t>
            </w:r>
          </w:p>
        </w:tc>
        <w:tc>
          <w:tcPr>
            <w:tcW w:type="dxa" w:w="2556"/>
          </w:tcPr>
          <w:p>
            <w:r>
              <w:t>Develops a GAN for photo cartoonization with content and edge-aware objectives.</w:t>
            </w:r>
          </w:p>
        </w:tc>
        <w:tc>
          <w:tcPr>
            <w:tcW w:type="dxa" w:w="2556"/>
          </w:tcPr>
          <w:p>
            <w:r>
              <w:t>Foundational cartoonization method.</w:t>
            </w:r>
          </w:p>
        </w:tc>
        <w:tc>
          <w:tcPr>
            <w:tcW w:type="dxa" w:w="2556"/>
          </w:tcPr>
          <w:p>
            <w:r>
              <w:t>Supports background about content/edge preservation, not an absolute novelty claim.</w:t>
            </w:r>
          </w:p>
        </w:tc>
      </w:tr>
      <w:tr>
        <w:tc>
          <w:tcPr>
            <w:tcW w:type="dxa" w:w="2556"/>
          </w:tcPr>
          <w:p>
            <w:r>
              <w:t>Wang &amp; Yu (CVPR 2020), Learning to Cartoonize Using White-Box Cartoon Representations</w:t>
            </w:r>
          </w:p>
        </w:tc>
        <w:tc>
          <w:tcPr>
            <w:tcW w:type="dxa" w:w="2556"/>
          </w:tcPr>
          <w:p>
            <w:r>
              <w:t>Separates surface, structure, and texture representations for cartoonization.</w:t>
            </w:r>
          </w:p>
        </w:tc>
        <w:tc>
          <w:tcPr>
            <w:tcW w:type="dxa" w:w="2556"/>
          </w:tcPr>
          <w:p>
            <w:r>
              <w:t>Relevant to transformation design and the ImageNet-Cartoon dataset pipeline.</w:t>
            </w:r>
          </w:p>
        </w:tc>
        <w:tc>
          <w:tcPr>
            <w:tcW w:type="dxa" w:w="2556"/>
          </w:tcPr>
          <w:p>
            <w:r>
              <w:t>The project should discuss its method as a comparator/context, even if it is not one of the three evaluated pipelines.</w:t>
            </w:r>
          </w:p>
        </w:tc>
      </w:tr>
      <w:tr>
        <w:tc>
          <w:tcPr>
            <w:tcW w:type="dxa" w:w="2556"/>
          </w:tcPr>
          <w:p>
            <w:r>
              <w:t>Wang et al. (IEEE TIP 2004), Image Quality Assessment: From Error Visibility to Structural Similarity</w:t>
            </w:r>
          </w:p>
        </w:tc>
        <w:tc>
          <w:tcPr>
            <w:tcW w:type="dxa" w:w="2556"/>
          </w:tcPr>
          <w:p>
            <w:r>
              <w:t>Introduces SSIM.</w:t>
            </w:r>
          </w:p>
        </w:tc>
        <w:tc>
          <w:tcPr>
            <w:tcW w:type="dxa" w:w="2556"/>
          </w:tcPr>
          <w:p>
            <w:r>
              <w:t>Supports one reference-similarity metric.</w:t>
            </w:r>
          </w:p>
        </w:tc>
        <w:tc>
          <w:tcPr>
            <w:tcW w:type="dxa" w:w="2556"/>
          </w:tcPr>
          <w:p>
            <w:r>
              <w:t>SSIM is not a new contribution of the project; explain that it measures structural similarity rather than semantics or artistic quality.</w:t>
            </w:r>
          </w:p>
        </w:tc>
      </w:tr>
      <w:tr>
        <w:tc>
          <w:tcPr>
            <w:tcW w:type="dxa" w:w="2556"/>
          </w:tcPr>
          <w:p>
            <w:r>
              <w:t>Zhang et al. (CVPR 2018), The Unreasonable Effectiveness of Deep Features as a Perceptual Metric</w:t>
            </w:r>
          </w:p>
        </w:tc>
        <w:tc>
          <w:tcPr>
            <w:tcW w:type="dxa" w:w="2556"/>
          </w:tcPr>
          <w:p>
            <w:r>
              <w:t>Shows learned deep features can be effective perceptual similarity metrics.</w:t>
            </w:r>
          </w:p>
        </w:tc>
        <w:tc>
          <w:tcPr>
            <w:tcW w:type="dxa" w:w="2556"/>
          </w:tcPr>
          <w:p>
            <w:r>
              <w:t>Provides context for limitations of SSIM/PSNR alone.</w:t>
            </w:r>
          </w:p>
        </w:tc>
        <w:tc>
          <w:tcPr>
            <w:tcW w:type="dxa" w:w="2556"/>
          </w:tcPr>
          <w:p>
            <w:r>
              <w:t>Consider adding a perceptual metric only if appropriate and computationally feasible; it is not mandatory for the current student project.</w:t>
            </w:r>
          </w:p>
        </w:tc>
      </w:tr>
    </w:tbl>
    <w:p>
      <w:pPr>
        <w:pStyle w:val="Heading1"/>
      </w:pPr>
      <w:r>
        <w:t>3. Novelty verdict</w:t>
      </w:r>
    </w:p>
    <w:p>
      <w:r>
        <w:t>Verdict: NOT VERIFIED as novel. The project may offer a useful specific empirical comparison, but this audit did not establish priority or prove that no prior paper compares these exact three pipelines with the same classifier and degradation protocol.</w:t>
      </w:r>
    </w:p>
    <w:p>
      <w:r>
        <w:t>A safe contribution statement is: “This study presents a controlled empirical comparison of OpenCV cartoonization, pretrained AnimeGANv2, and a pretrained Stable Diffusion image-to-image pipeline under a fixed ResNet18 classifier. It evaluates clean inputs and selected common corruptions, and reports recognition accuracy, structural similarity, per-class results, and failure examples on a balanced 300-image subset of ten Imagenette classes.”</w:t>
      </w:r>
    </w:p>
    <w:p>
      <w:r>
        <w:t>A stronger novelty statement would require: (1) systematic searching across scholarly databases; (2) screening full texts of the closest papers; (3) a comparison table that records method, dataset, classifier, corruptions, metrics, and whether image-to-cartoon transformations are applied at inference; and (4) supervisor review.</w:t>
      </w:r>
    </w:p>
    <w:p>
      <w:pPr>
        <w:pStyle w:val="Heading1"/>
      </w:pPr>
      <w:r>
        <w:t>4. Search strategy needed to finish a systematic review</w:t>
      </w:r>
    </w:p>
    <w:p>
      <w:r>
        <w:t>Suggested databases: IEEE Xplore, ACM Digital Library, Scopus or Web of Science if university access is available, Google Scholar, CVF Open Access, OpenReview, arXiv, and publisher sites. Search and document the search date, query strings, date range, filters, duplicates, inclusion/exclusion rules, and number of records screened. This targeted audit used web queries across cartoonization, AnimeGANv2, classification, stylization, domain shift, and common-corruption robustness; it did not execute database-specific systematic searches or screen every full text.</w:t>
      </w:r>
    </w:p>
    <w:p>
      <w:pPr>
        <w:pStyle w:val="ListBullet"/>
      </w:pPr>
      <w:r>
        <w:t>("cartoonization" OR "photo cartoonization" OR "cartoon stylization" OR AnimeGAN OR "white-box cartoonization") AND ("image classification" OR "object recognition" OR classifier OR recognition)</w:t>
      </w:r>
    </w:p>
    <w:p>
      <w:pPr>
        <w:pStyle w:val="ListBullet"/>
      </w:pPr>
      <w:r>
        <w:t>("ImageNet-Cartoon" OR "cartoon domain" OR "cartoon images") AND (robustness OR corruption OR classification OR "domain shift")</w:t>
      </w:r>
    </w:p>
    <w:p>
      <w:pPr>
        <w:pStyle w:val="ListBullet"/>
      </w:pPr>
      <w:r>
        <w:t>("cartoonization" OR stylization OR "image-to-image translation") AND ("common corruptions" OR blur OR noise OR illumination OR JPEG)</w:t>
      </w:r>
    </w:p>
    <w:p>
      <w:pPr>
        <w:pStyle w:val="ListBullet"/>
      </w:pPr>
      <w:r>
        <w:t>("Stable Diffusion" OR "diffusion image-to-image") AND (cartoonization OR stylization) AND (classification OR semantic preservation OR recognition)</w:t>
      </w:r>
    </w:p>
    <w:p>
      <w:r>
        <w:t>Include peer-reviewed journal papers, conference papers, and relevant workshop/preprint papers, but label publication type accurately. Do not call all sources journals: CVPR/ICCV/ICLR and the ICML Shift Happens workshop are conference/workshop publications.</w:t>
      </w:r>
    </w:p>
    <w:p>
      <w:pPr>
        <w:pStyle w:val="Heading1"/>
      </w:pPr>
      <w:r>
        <w:t>5. Should more data or data types be added?</w:t>
      </w:r>
    </w:p>
    <w:p>
      <w:pPr>
        <w:pStyle w:val="Heading2"/>
      </w:pPr>
      <w:r>
        <w:t>5.1 For university project documentation</w:t>
      </w:r>
    </w:p>
    <w:p>
      <w:r>
        <w:t>The existing experiment is enough to write an honest project report, provided limitations are clearly stated and results are checked. It already has ten classes, 300 images, three cartoonization pipelines, four degradation conditions, recognition results, SSIM/PSNR, confidence intervals, paired comparisons, per-class analysis, confusion matrices, and a failure-case gallery. More experiments are not automatically better if they are not controlled.</w:t>
      </w:r>
    </w:p>
    <w:p>
      <w:pPr>
        <w:pStyle w:val="Heading2"/>
      </w:pPr>
      <w:r>
        <w:t>5.2 For a stronger journal submission</w:t>
      </w:r>
    </w:p>
    <w:p>
      <w:r>
        <w:t>The main weakness is external validity: 300 images, one dataset subset, one classifier, and unequal valid sample counts. The highest-value improvement is not simply adding many more corruption names. First, repair matched-sample analysis and reproducibility. Then, if compute and time allow, expand the number of images or validate on a second dataset and/or a second classifier.</w:t>
      </w:r>
    </w:p>
    <w:p>
      <w:pPr>
        <w:pStyle w:val="ListNumber"/>
      </w:pPr>
      <w:r>
        <w:t>Priority 1 — Recalculate every degradation comparison on identical image IDs. The Gaussian-noise summary currently uses a different denominator/matching procedure. Use saved prediction CSVs wherever possible; do not rerun the generators.</w:t>
      </w:r>
    </w:p>
    <w:p>
      <w:pPr>
        <w:pStyle w:val="ListNumber"/>
      </w:pPr>
      <w:r>
        <w:t>Priority 2 — Report corruption severity systematically. For example, use multiple levels for blur, noise, brightness, and JPEG quality rather than one level each. Apply corruptions to the existing saved outputs, then run classifier inference only.</w:t>
      </w:r>
    </w:p>
    <w:p>
      <w:pPr>
        <w:pStyle w:val="ListNumber"/>
      </w:pPr>
      <w:r>
        <w:t>Priority 3 — Expand the sample if feasible. Prefer 50–100 images per class or a larger stratified sample from the same ten classes; record selection seed and preserve source-to-output mapping. This expansion requires generating missing cartoon outputs for newly selected images, which may be expensive.</w:t>
      </w:r>
    </w:p>
    <w:p>
      <w:pPr>
        <w:pStyle w:val="ListNumber"/>
      </w:pPr>
      <w:r>
        <w:t>Priority 4 — Add a second classifier such as ResNet50 or EfficientNet using the same already-generated images. This tests whether rankings depend on ResNet18. It requires classifier inference but not cartoonization reruns.</w:t>
      </w:r>
    </w:p>
    <w:p>
      <w:pPr>
        <w:pStyle w:val="ListNumber"/>
      </w:pPr>
      <w:r>
        <w:t>Priority 5 — Consider external validation with an existing benchmark such as ImageNet-Cartoon or ImageNet-R if class overlap, licenses, and available compute allow. This is a separate experiment, not required for the current course documentation.</w:t>
      </w:r>
    </w:p>
    <w:p>
      <w:pPr>
        <w:pStyle w:val="ListNumber"/>
      </w:pPr>
      <w:r>
        <w:t>Priority 6 — Add a perceptual metric or human preference evaluation only if the research question needs it. Do not add metrics just to increase the number of tables.</w:t>
      </w:r>
    </w:p>
    <w:p>
      <w:pPr>
        <w:pStyle w:val="Heading1"/>
      </w:pPr>
      <w:r>
        <w:t>6. Required corrections before final paper</w:t>
      </w:r>
    </w:p>
    <w:p>
      <w:pPr>
        <w:pStyle w:val="ListBullet"/>
      </w:pPr>
      <w:r>
        <w:t>Recompute the Gaussian-noise accuracy table using the same matched image IDs for all methods.</w:t>
      </w:r>
    </w:p>
    <w:p>
      <w:pPr>
        <w:pStyle w:val="ListBullet"/>
      </w:pPr>
      <w:r>
        <w:t>Make all denominators explicit; explain the exclusion of six clean Stable Diffusion outputs and three noise-condition outputs.</w:t>
      </w:r>
    </w:p>
    <w:p>
      <w:pPr>
        <w:pStyle w:val="ListBullet"/>
      </w:pPr>
      <w:r>
        <w:t>Check whether black outputs are invalid generation failures; report failure rate separately rather than treating exclusion as invisible.</w:t>
      </w:r>
    </w:p>
    <w:p>
      <w:pPr>
        <w:pStyle w:val="ListBullet"/>
      </w:pPr>
      <w:r>
        <w:t>Recheck pairwise tests, Bonferroni-adjusted p-values, and confidence-interval direction from the raw paired CSVs.</w:t>
      </w:r>
    </w:p>
    <w:p>
      <w:pPr>
        <w:pStyle w:val="ListBullet"/>
      </w:pPr>
      <w:r>
        <w:t>Ensure confusion matrices show the 'Other ImageNet classes' category and do not present conditional within-ten-class accuracy as overall accuracy.</w:t>
      </w:r>
    </w:p>
    <w:p>
      <w:pPr>
        <w:pStyle w:val="ListBullet"/>
      </w:pPr>
      <w:r>
        <w:t>Record all model IDs/revisions, prompts, seeds, inference parameters, preprocessing, hardware, software versions, and exact OpenCV steps.</w:t>
      </w:r>
    </w:p>
    <w:p>
      <w:pPr>
        <w:pStyle w:val="ListBullet"/>
      </w:pPr>
      <w:r>
        <w:t>Do not state runtime comparisons unless measurements are comparable and available.</w:t>
      </w:r>
    </w:p>
    <w:p>
      <w:pPr>
        <w:pStyle w:val="ListBullet"/>
      </w:pPr>
      <w:r>
        <w:t>Cite and discuss ImageNet-Cartoon and ToonNet in the related-work section; these are important prior studies missing from the earlier 12-source draft.</w:t>
      </w:r>
    </w:p>
    <w:p>
      <w:pPr>
        <w:pStyle w:val="Heading1"/>
      </w:pPr>
      <w:r>
        <w:t>7. References and verification links</w:t>
      </w:r>
    </w:p>
    <w:p>
      <w:r>
        <w:t>Salvador, T., &amp; Oberman, A. (2022). ImageNet-Cartoon and ImageNet-Drawing: Two domain shift datasets for ImageNet. ICML Workshop on Shift Happens: Crowdsourcing Metrics and Test Datasets Beyond ImageNet. Paper: https://openreview.net/pdf?id=YlAUXhjwaQt ; dataset record: https://zenodo.org/records/6801109</w:t>
      </w:r>
    </w:p>
    <w:p>
      <w:r>
        <w:t>Zhou, Y. et al. (2018). ToonNet: A cartoon image dataset and a DNN-based semantic classification system. Proceedings of VRCAI '18. https://doi.org/10.1145/3284398.3284403 ; accessible PDF: https://web.stanford.edu/~yxjin/pdf/toonnet.pdf</w:t>
      </w:r>
    </w:p>
    <w:p>
      <w:r>
        <w:t>Geirhos, R. et al. (2019). ImageNet-trained CNNs are biased towards texture; increasing shape bias improves accuracy and robustness. ICLR. https://arxiv.org/abs/1811.12231</w:t>
      </w:r>
    </w:p>
    <w:p>
      <w:r>
        <w:t>Hendrycks, D., &amp; Dietterich, T. (2019). Benchmarking Neural Network Robustness to Common Corruptions and Perturbations. ICLR. https://arxiv.org/abs/1903.12261</w:t>
      </w:r>
    </w:p>
    <w:p>
      <w:r>
        <w:t>Tang, Y. (2023). AnimeNet: A Deep Learning Approach for Detecting Violence and Eroticism in Animated Content. Computers, Materials &amp; Continua, 77(1), 867–891. https://doi.org/10.32604/cmc.2023.041550</w:t>
      </w:r>
    </w:p>
    <w:p>
      <w:r>
        <w:t>Li, C. et al. (2024). Image cartoonization incorporating attention mechanism and structural line extraction. Journal of Zhejiang University (Engineering Science), 58(8), 1728–1737. https://doi.org/10.3785/j.issn.1008-973X.2024.08.019</w:t>
      </w:r>
    </w:p>
    <w:p>
      <w:r>
        <w:t>Chen, Y., Lai, Y.-K., &amp; Liu, Y.-J. (2018). CartoonGAN: Generative Adversarial Networks for Photo Cartoonization. CVPR. https://openaccess.thecvf.com/content_cvpr_2018/html/Chen_CartoonGAN_Generative_Adversarial_CVPR_2018_paper.html</w:t>
      </w:r>
    </w:p>
    <w:p>
      <w:r>
        <w:t>Wang, X., &amp; Yu, J. (2020). Learning to Cartoonize Using White-Box Cartoon Representations. CVPR. https://openaccess.thecvf.com/content_CVPR_2020/html/Wang_Learning_to_Cartoonize_Using_White-Box_Cartoon_Representations_CVPR_2020_paper.html</w:t>
      </w:r>
    </w:p>
    <w:p>
      <w:r>
        <w:t>Wang, Z. et al. (2004). Image Quality Assessment: From Error Visibility to Structural Similarity. IEEE Transactions on Image Processing, 13(4), 600–612. https://doi.org/10.1109/TIP.2003.819861</w:t>
      </w:r>
    </w:p>
    <w:p>
      <w:r>
        <w:t>Zhang, R. et al. (2018). The Unreasonable Effectiveness of Deep Features as a Perceptual Metric. CVPR. https://openaccess.thecvf.com/content_cvpr_2018/html/Zhang_The_Unreasonable_Effectiveness_CVPR_2018_paper.html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