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Vessel Inspection Report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Vessel Repair Summary</w:t>
      </w:r>
    </w:p>
    <w:p>
      <w:r>
        <w:t>3. Defect Analysis</w:t>
      </w:r>
    </w:p>
    <w:p>
      <w:r>
        <w:t>3.1 PD_1</w:t>
      </w:r>
    </w:p>
    <w:p>
      <w:r>
        <w:t>3.2 PD_2</w:t>
      </w:r>
    </w:p>
    <w:p>
      <w:r>
        <w:t>3.3 PD_3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## Executive Summary: Maritime Vessel Inspection Report</w:t>
        <w:br/>
        <w:br/>
        <w:t>This executive summary outlines the key findings from a recent maritime vessel inspection. The primary objective of the inspection was to assess the vessel's current material state, identify potential deficiencies, and estimate associated remediation costs.</w:t>
        <w:br/>
        <w:br/>
        <w:t>**Key Findings:**</w:t>
        <w:br/>
        <w:br/>
        <w:t>*   **Total Deficiencies Identified:** Three (3)</w:t>
        <w:br/>
        <w:t>*   **Severity Distribution:**</w:t>
        <w:br/>
        <w:t xml:space="preserve">    *   Low Severity: One (1)</w:t>
        <w:br/>
        <w:t xml:space="preserve">    *   Medium Severity: Two (2)</w:t>
        <w:br/>
        <w:t xml:space="preserve">    *   High Severity: Zero (0)</w:t>
        <w:br/>
        <w:t>*   **Estimated Remediation Cost:** INR 110,889.41</w:t>
        <w:br/>
        <w:br/>
        <w:t>**Summary of Observations:**</w:t>
        <w:br/>
        <w:br/>
        <w:t>The inspection revealed a total of three (3) deficiencies, none of which were classified as high-severity. The identified issues include one (1) low-severity item requiring routine maintenance attention and two (2) medium-severity items that warrant prompt corrective action to prevent potential escalation and ensure continued operational integrity. The cumulative estimated cost for the remediation of these identified deficiencies is INR 110,889.41.</w:t>
        <w:br/>
        <w:br/>
        <w:t>**Recommendation:**</w:t>
        <w:br/>
        <w:br/>
        <w:t>It is recommended that the identified medium-severity deficiencies be addressed expeditiously, followed by attention to the low-severity item, to maintain optimal vessel condition and compliance with relevant maritime standards. A comprehensive understanding of each deficiency is detailed within the full inspection report.</w:t>
      </w:r>
    </w:p>
    <w:p>
      <w:pPr>
        <w:pStyle w:val="Heading1"/>
      </w:pPr>
      <w:r>
        <w:t>2. Vessel Repair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Defects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Total Estimated Cost</w:t>
            </w:r>
          </w:p>
        </w:tc>
        <w:tc>
          <w:tcPr>
            <w:tcW w:type="dxa" w:w="4320"/>
          </w:tcPr>
          <w:p>
            <w:r>
              <w:t>110889.41 INR</w:t>
            </w:r>
          </w:p>
        </w:tc>
      </w:tr>
      <w:tr>
        <w:tc>
          <w:tcPr>
            <w:tcW w:type="dxa" w:w="4320"/>
          </w:tcPr>
          <w:p>
            <w:r>
              <w:t>Material Cost</w:t>
            </w:r>
          </w:p>
        </w:tc>
        <w:tc>
          <w:tcPr>
            <w:tcW w:type="dxa" w:w="4320"/>
          </w:tcPr>
          <w:p>
            <w:r>
              <w:t>66533.65 INR</w:t>
            </w:r>
          </w:p>
        </w:tc>
      </w:tr>
      <w:tr>
        <w:tc>
          <w:tcPr>
            <w:tcW w:type="dxa" w:w="4320"/>
          </w:tcPr>
          <w:p>
            <w:r>
              <w:t>Labor Cost</w:t>
            </w:r>
          </w:p>
        </w:tc>
        <w:tc>
          <w:tcPr>
            <w:tcW w:type="dxa" w:w="4320"/>
          </w:tcPr>
          <w:p>
            <w:r>
              <w:t>33266.82 INR</w:t>
            </w:r>
          </w:p>
        </w:tc>
      </w:tr>
      <w:tr>
        <w:tc>
          <w:tcPr>
            <w:tcW w:type="dxa" w:w="4320"/>
          </w:tcPr>
          <w:p>
            <w:r>
              <w:t>Equipment Cost</w:t>
            </w:r>
          </w:p>
        </w:tc>
        <w:tc>
          <w:tcPr>
            <w:tcW w:type="dxa" w:w="4320"/>
          </w:tcPr>
          <w:p>
            <w:r>
              <w:t>11088.94 INR</w:t>
            </w:r>
          </w:p>
        </w:tc>
      </w:tr>
    </w:tbl>
    <w:p>
      <w:r>
        <w:br w:type="page"/>
      </w:r>
    </w:p>
    <w:p>
      <w:pPr>
        <w:pStyle w:val="Heading1"/>
      </w:pPr>
      <w:r>
        <w:t>3. Defect Analysis</w:t>
      </w:r>
    </w:p>
    <w:p>
      <w:pPr>
        <w:pStyle w:val="Heading2"/>
      </w:pPr>
      <w:r>
        <w:t>3.1 PD_1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807.3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41583.53 INR</w:t>
      </w:r>
    </w:p>
    <w:p>
      <w:pPr>
        <w:pStyle w:val="Heading2"/>
      </w:pPr>
      <w:r>
        <w:t>3.2 PD_2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7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807.3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41583.53 INR</w:t>
      </w:r>
    </w:p>
    <w:p>
      <w:pPr>
        <w:pStyle w:val="Heading2"/>
      </w:pPr>
      <w:r>
        <w:t>3.3 PD_3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1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538.2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27722.35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