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Vessel Inspection Report</w:t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Vessel Repair Summary</w:t>
      </w:r>
    </w:p>
    <w:p>
      <w:r>
        <w:t>3. Defect Analysis</w:t>
      </w:r>
    </w:p>
    <w:p>
      <w:r>
        <w:t>3.1 PD_1</w:t>
      </w:r>
    </w:p>
    <w:p>
      <w:r>
        <w:t>3.2 PD_2</w:t>
      </w:r>
    </w:p>
    <w:p>
      <w:r>
        <w:t>3.3 PD_3</w:t>
      </w:r>
    </w:p>
    <w:p>
      <w:r>
        <w:t>3.4 PD_4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### Executive Summary: Maritime Vessel Condition Assessment</w:t>
        <w:br/>
        <w:br/>
        <w:t>This Executive Summary provides a high-level overview of the findings from the recent comprehensive maritime vessel inspection. The assessment aimed to evaluate the current operational integrity, safety compliance, and overall material condition of the vessel.</w:t>
        <w:br/>
        <w:br/>
        <w:t>**Key Findings:**</w:t>
        <w:br/>
        <w:br/>
        <w:t>The inspection revealed a total of **four (4) deficiencies** across various systems and components. The aggregate estimated cost for the rectification of these identified deficiencies is **INR 221,778.82**.</w:t>
        <w:br/>
        <w:br/>
        <w:t>**Severity Distribution:**</w:t>
        <w:br/>
        <w:br/>
        <w:t>The severity analysis of the identified deficiencies indicates a critical need for attention:</w:t>
        <w:br/>
        <w:t>*   **High-Severity Defects:** Two (2)</w:t>
        <w:br/>
        <w:t>*   **Medium-Severity Defects:** Two (2)</w:t>
        <w:br/>
        <w:t>*   **Low-Severity Defects:** Zero (0)</w:t>
        <w:br/>
        <w:br/>
        <w:t>**Analysis:**</w:t>
        <w:br/>
        <w:br/>
        <w:t>The absence of low-severity findings, coupled with an equal distribution of medium and high-severity defects, highlights that all identified issues pose a significant risk to the vessel's operational performance, crew safety, and potential regulatory compliance. The two (2) High-severity defects necessitate immediate planning and execution of corrective actions to mitigate critical risks. The two (2) Medium-severity defects, while perhaps not requiring immediate cessation of operations, nonetheless warrant prompt attention to prevent escalation and ensure long-term vessel reliability.</w:t>
        <w:br/>
        <w:br/>
        <w:t>**Recommendation:**</w:t>
        <w:br/>
        <w:br/>
        <w:t>Based on these findings, it is strongly recommended that a detailed rectification plan be developed and implemented without delay, prioritizing the High-severity defects. The estimated repair cost serves as a preliminary financial benchmark for the necessary remedial actions. A comprehensive report detailing each deficiency, including specific locations, technical descriptions, and recommended corrective measures, is available for further review.</w:t>
      </w:r>
    </w:p>
    <w:p>
      <w:pPr>
        <w:pStyle w:val="Heading1"/>
      </w:pPr>
      <w:r>
        <w:t>2. Vessel Repair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Defects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Total Estimated Cost</w:t>
            </w:r>
          </w:p>
        </w:tc>
        <w:tc>
          <w:tcPr>
            <w:tcW w:type="dxa" w:w="4320"/>
          </w:tcPr>
          <w:p>
            <w:r>
              <w:t>221778.82 INR</w:t>
            </w:r>
          </w:p>
        </w:tc>
      </w:tr>
      <w:tr>
        <w:tc>
          <w:tcPr>
            <w:tcW w:type="dxa" w:w="4320"/>
          </w:tcPr>
          <w:p>
            <w:r>
              <w:t>Material Cost</w:t>
            </w:r>
          </w:p>
        </w:tc>
        <w:tc>
          <w:tcPr>
            <w:tcW w:type="dxa" w:w="4320"/>
          </w:tcPr>
          <w:p>
            <w:r>
              <w:t>133067.29 INR</w:t>
            </w:r>
          </w:p>
        </w:tc>
      </w:tr>
      <w:tr>
        <w:tc>
          <w:tcPr>
            <w:tcW w:type="dxa" w:w="4320"/>
          </w:tcPr>
          <w:p>
            <w:r>
              <w:t>Labor Cost</w:t>
            </w:r>
          </w:p>
        </w:tc>
        <w:tc>
          <w:tcPr>
            <w:tcW w:type="dxa" w:w="4320"/>
          </w:tcPr>
          <w:p>
            <w:r>
              <w:t>66533.65 INR</w:t>
            </w:r>
          </w:p>
        </w:tc>
      </w:tr>
      <w:tr>
        <w:tc>
          <w:tcPr>
            <w:tcW w:type="dxa" w:w="4320"/>
          </w:tcPr>
          <w:p>
            <w:r>
              <w:t>Equipment Cost</w:t>
            </w:r>
          </w:p>
        </w:tc>
        <w:tc>
          <w:tcPr>
            <w:tcW w:type="dxa" w:w="4320"/>
          </w:tcPr>
          <w:p>
            <w:r>
              <w:t>22177.88 INR</w:t>
            </w:r>
          </w:p>
        </w:tc>
      </w:tr>
    </w:tbl>
    <w:p>
      <w:r>
        <w:br w:type="page"/>
      </w:r>
    </w:p>
    <w:p>
      <w:pPr>
        <w:pStyle w:val="Heading1"/>
      </w:pPr>
      <w:r>
        <w:t>3. Defect Analysis</w:t>
      </w:r>
    </w:p>
    <w:p>
      <w:pPr>
        <w:pStyle w:val="Heading2"/>
      </w:pPr>
      <w:r>
        <w:t>3.1 PD_1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4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807.3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41583.53 INR</w:t>
      </w:r>
    </w:p>
    <w:p>
      <w:pPr>
        <w:pStyle w:val="Heading2"/>
      </w:pPr>
      <w:r>
        <w:t>3.2 PD_2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0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807.3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41583.53 INR</w:t>
      </w:r>
    </w:p>
    <w:p>
      <w:pPr>
        <w:pStyle w:val="Heading2"/>
      </w:pPr>
      <w:r>
        <w:t>3.3 PD_3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7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3.4 PD_4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10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