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Vessel Inspection Report</w:t>
      </w:r>
    </w:p>
    <w:p>
      <w:pPr>
        <w:pStyle w:val="Heading1"/>
      </w:pPr>
      <w:r>
        <w:t>Table of Contents</w:t>
      </w:r>
    </w:p>
    <w:p>
      <w:r>
        <w:t>1. Executive Summary</w:t>
      </w:r>
    </w:p>
    <w:p>
      <w:r>
        <w:t>2. Vessel Repair Summary</w:t>
      </w:r>
    </w:p>
    <w:p>
      <w:r>
        <w:t>3. Defect Analysis</w:t>
      </w:r>
    </w:p>
    <w:p>
      <w:r>
        <w:t>3.1 PD_1</w:t>
      </w:r>
    </w:p>
    <w:p>
      <w:r>
        <w:t>3.2 PD_2</w:t>
      </w:r>
    </w:p>
    <w:p>
      <w:r>
        <w:t>3.3 PD_3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Generation failed.</w:t>
      </w:r>
    </w:p>
    <w:p>
      <w:pPr>
        <w:pStyle w:val="Heading1"/>
      </w:pPr>
      <w:r>
        <w:t>2. Vessel Repair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Defects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Total Estimated Cost</w:t>
            </w:r>
          </w:p>
        </w:tc>
        <w:tc>
          <w:tcPr>
            <w:tcW w:type="dxa" w:w="4320"/>
          </w:tcPr>
          <w:p>
            <w:r>
              <w:t>110889.41 INR</w:t>
            </w:r>
          </w:p>
        </w:tc>
      </w:tr>
      <w:tr>
        <w:tc>
          <w:tcPr>
            <w:tcW w:type="dxa" w:w="4320"/>
          </w:tcPr>
          <w:p>
            <w:r>
              <w:t>Material Cost</w:t>
            </w:r>
          </w:p>
        </w:tc>
        <w:tc>
          <w:tcPr>
            <w:tcW w:type="dxa" w:w="4320"/>
          </w:tcPr>
          <w:p>
            <w:r>
              <w:t>66533.65 INR</w:t>
            </w:r>
          </w:p>
        </w:tc>
      </w:tr>
      <w:tr>
        <w:tc>
          <w:tcPr>
            <w:tcW w:type="dxa" w:w="4320"/>
          </w:tcPr>
          <w:p>
            <w:r>
              <w:t>Labor Cost</w:t>
            </w:r>
          </w:p>
        </w:tc>
        <w:tc>
          <w:tcPr>
            <w:tcW w:type="dxa" w:w="4320"/>
          </w:tcPr>
          <w:p>
            <w:r>
              <w:t>33266.82 INR</w:t>
            </w:r>
          </w:p>
        </w:tc>
      </w:tr>
      <w:tr>
        <w:tc>
          <w:tcPr>
            <w:tcW w:type="dxa" w:w="4320"/>
          </w:tcPr>
          <w:p>
            <w:r>
              <w:t>Equipment Cost</w:t>
            </w:r>
          </w:p>
        </w:tc>
        <w:tc>
          <w:tcPr>
            <w:tcW w:type="dxa" w:w="4320"/>
          </w:tcPr>
          <w:p>
            <w:r>
              <w:t>11088.94 INR</w:t>
            </w:r>
          </w:p>
        </w:tc>
      </w:tr>
    </w:tbl>
    <w:p>
      <w:r>
        <w:br w:type="page"/>
      </w:r>
    </w:p>
    <w:p>
      <w:pPr>
        <w:pStyle w:val="Heading1"/>
      </w:pPr>
      <w:r>
        <w:t>3. Defect Analysis</w:t>
      </w:r>
    </w:p>
    <w:p>
      <w:pPr>
        <w:pStyle w:val="Heading2"/>
      </w:pPr>
      <w:r>
        <w:t>3.1 PD_1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0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807.3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41583.53 INR</w:t>
      </w:r>
    </w:p>
    <w:p>
      <w:pPr>
        <w:pStyle w:val="Heading2"/>
      </w:pPr>
      <w:r>
        <w:t>3.2 PD_2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07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807.3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41583.53 INR</w:t>
      </w:r>
    </w:p>
    <w:p>
      <w:pPr>
        <w:pStyle w:val="Heading2"/>
      </w:pPr>
      <w:r>
        <w:t>3.3 PD_3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11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0.05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538.2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27722.35 INR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