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br w:type="page"/>
      </w:r>
    </w:p>
    <w:p>
      <w:pPr>
        <w:pStyle w:val="Heading1"/>
      </w:pPr>
      <w:r>
        <w:t>1. Executive Summary</w:t>
      </w:r>
    </w:p>
    <w:p>
      <w:r>
        <w:t>## Maritime Vessel Inspection Executive Summary</w:t>
        <w:br/>
        <w:br/>
        <w:t>This executive summary details the key findings from the recent maritime vessel inspection. The assessment aimed to evaluate the overall condition, operational integrity, and compliance of the vessel.</w:t>
        <w:br/>
        <w:br/>
        <w:t>**Key Findings:**</w:t>
        <w:br/>
        <w:br/>
        <w:t>*   **Total Deficiencies Identified:** A total of **four (4)** deficiencies were identified during the inspection.</w:t>
        <w:br/>
        <w:t>*   **Estimated Remediation Cost:** The aggregate estimated cost for rectifying these deficiencies is **INR 221,778.82**.</w:t>
        <w:br/>
        <w:t>*   **Severity Distribution:**</w:t>
        <w:br/>
        <w:t xml:space="preserve">    *   **Low Severity:** 0 deficiencies</w:t>
        <w:br/>
        <w:t xml:space="preserve">    *   **Medium Severity:** 2 deficiencies</w:t>
        <w:br/>
        <w:t xml:space="preserve">    *   **High Severity:** 2 deficiencies</w:t>
        <w:br/>
        <w:br/>
        <w:t>The presence of two (2) high-severity deficiencies indicates immediate attention is required to address potential risks to vessel safety, operational performance, or regulatory compliance. The two (2) medium-severity items also warrant timely action to prevent escalation and maintain optimal vessel condition.</w:t>
        <w:br/>
        <w:br/>
        <w:t>**Conclusion &amp; Recommendation:**</w:t>
        <w:br/>
        <w:br/>
        <w:t>The inspection findings necessitate prompt and decisive action, particularly concerning the high-severity items. A detailed rectification plan should be developed and executed without delay to ensure the vessel's continued seaworthiness, adherence to safety standards, and compliance with relevant maritime regulations. Further details and specific recommendations for each identified deficiency are provided in the comprehensive inspection report.</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4</w:t>
            </w:r>
          </w:p>
        </w:tc>
      </w:tr>
      <w:tr>
        <w:tc>
          <w:tcPr>
            <w:tcW w:type="dxa" w:w="4320"/>
          </w:tcPr>
          <w:p>
            <w:r>
              <w:t>Total Estimated Cost</w:t>
            </w:r>
          </w:p>
        </w:tc>
        <w:tc>
          <w:tcPr>
            <w:tcW w:type="dxa" w:w="4320"/>
          </w:tcPr>
          <w:p>
            <w:r>
              <w:t>221778.82 INR</w:t>
            </w:r>
          </w:p>
        </w:tc>
      </w:tr>
      <w:tr>
        <w:tc>
          <w:tcPr>
            <w:tcW w:type="dxa" w:w="4320"/>
          </w:tcPr>
          <w:p>
            <w:r>
              <w:t>Material Cost</w:t>
            </w:r>
          </w:p>
        </w:tc>
        <w:tc>
          <w:tcPr>
            <w:tcW w:type="dxa" w:w="4320"/>
          </w:tcPr>
          <w:p>
            <w:r>
              <w:t>133067.29 INR</w:t>
            </w:r>
          </w:p>
        </w:tc>
      </w:tr>
      <w:tr>
        <w:tc>
          <w:tcPr>
            <w:tcW w:type="dxa" w:w="4320"/>
          </w:tcPr>
          <w:p>
            <w:r>
              <w:t>Labor Cost</w:t>
            </w:r>
          </w:p>
        </w:tc>
        <w:tc>
          <w:tcPr>
            <w:tcW w:type="dxa" w:w="4320"/>
          </w:tcPr>
          <w:p>
            <w:r>
              <w:t>66533.65 INR</w:t>
            </w:r>
          </w:p>
        </w:tc>
      </w:tr>
      <w:tr>
        <w:tc>
          <w:tcPr>
            <w:tcW w:type="dxa" w:w="4320"/>
          </w:tcPr>
          <w:p>
            <w:r>
              <w:t>Equipment Cost</w:t>
            </w:r>
          </w:p>
        </w:tc>
        <w:tc>
          <w:tcPr>
            <w:tcW w:type="dxa" w:w="4320"/>
          </w:tcPr>
          <w:p>
            <w:r>
              <w:t>22177.88 INR</w:t>
            </w:r>
          </w:p>
        </w:tc>
      </w:tr>
    </w:tbl>
    <w:p>
      <w:r>
        <w:br w:type="page"/>
      </w:r>
    </w:p>
    <w:p>
      <w:pPr>
        <w:pStyle w:val="Heading1"/>
      </w:pPr>
      <w:r>
        <w:t>3. Defect Analysis</w:t>
      </w:r>
    </w:p>
    <w:p>
      <w:pPr>
        <w:pStyle w:val="Heading2"/>
      </w:pPr>
      <w:r>
        <w:t>3.1 PD_1</w:t>
      </w:r>
    </w:p>
    <w:p>
      <w:pPr>
        <w:pStyle w:val="Heading3"/>
      </w:pPr>
      <w:r>
        <w:t>Defect Overview</w:t>
      </w:r>
    </w:p>
    <w:p>
      <w:r>
        <w:t>Generation failed after retries.</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45.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Generation failed after retries.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Generation failed after retries.</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05.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Generation failed after retries.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Generation failed after retries.</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75.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Generation failed after retries.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3.4 PD_4</w:t>
      </w:r>
    </w:p>
    <w:p>
      <w:pPr>
        <w:pStyle w:val="Heading3"/>
      </w:pPr>
      <w:r>
        <w:t>Defect Overview</w:t>
      </w:r>
    </w:p>
    <w:p>
      <w:r>
        <w:t>Generation failed after retries.</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00.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Generation failed after retries.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