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77C5B" w14:textId="77777777" w:rsidR="00095037" w:rsidRDefault="00000000">
      <w:pPr>
        <w:pStyle w:val="Heading1"/>
        <w:jc w:val="center"/>
      </w:pPr>
      <w:r>
        <w:t>Adaptive Portfolio Allocation and Risk Analytics under Dynamic Correlation &amp; Sentiment Regimes</w:t>
      </w:r>
    </w:p>
    <w:p w14:paraId="6ABAAA3D" w14:textId="4D14627D" w:rsidR="00095037" w:rsidRDefault="00000000">
      <w:r>
        <w:t xml:space="preserve">This document presents the final detailed blueprint for an institutional-style quantitative portfolio </w:t>
      </w:r>
      <w:r w:rsidR="00505B0F">
        <w:t>optimisation</w:t>
      </w:r>
      <w:r>
        <w:t xml:space="preserve"> and risk analytics platform integrating Hierarchical Risk Parity (HRP), Hierarchical Equal Risk Contribution (HERC), robust covariance estimation, regime-switching models, volatility targeting, and macro-financial NLP intelligence.</w:t>
      </w:r>
    </w:p>
    <w:p w14:paraId="1621D7AE" w14:textId="77777777" w:rsidR="00095037" w:rsidRDefault="00000000">
      <w:pPr>
        <w:pStyle w:val="Heading2"/>
      </w:pPr>
      <w:r>
        <w:t>1. Project Vision</w:t>
      </w:r>
    </w:p>
    <w:p w14:paraId="2B5BE8CE" w14:textId="77777777" w:rsidR="00095037" w:rsidRDefault="00000000">
      <w:pPr>
        <w:pStyle w:val="ListBullet"/>
      </w:pPr>
      <w:r>
        <w:t>Build a robust, adaptive portfolio allocation framework capable of dynamically adjusting risk exposure under changing market correlation and uncertainty regimes.</w:t>
      </w:r>
    </w:p>
    <w:p w14:paraId="7FFF0252" w14:textId="77777777" w:rsidR="00095037" w:rsidRDefault="00000000">
      <w:pPr>
        <w:pStyle w:val="ListBullet"/>
      </w:pPr>
      <w:r>
        <w:t>Focus on portfolio survivability, diversification robustness, and systemic risk management rather than short-term stock prediction.</w:t>
      </w:r>
    </w:p>
    <w:p w14:paraId="7508FBAC" w14:textId="77777777" w:rsidR="00095037" w:rsidRDefault="00000000">
      <w:pPr>
        <w:pStyle w:val="Heading2"/>
      </w:pPr>
      <w:r>
        <w:t>2. Core Research Question</w:t>
      </w:r>
    </w:p>
    <w:p w14:paraId="74ABE74C" w14:textId="48083DF2" w:rsidR="00095037" w:rsidRDefault="00000000">
      <w:pPr>
        <w:pStyle w:val="ListBullet"/>
      </w:pPr>
      <w:r>
        <w:t xml:space="preserve">Can clustering-based risk allocation frameworks produce more robust portfolios under changing correlation and macroeconomic uncertainty regimes compared to traditional </w:t>
      </w:r>
      <w:r w:rsidR="00505B0F">
        <w:t>optimisation</w:t>
      </w:r>
      <w:r>
        <w:t xml:space="preserve"> methods?</w:t>
      </w:r>
    </w:p>
    <w:p w14:paraId="01D54B85" w14:textId="77777777" w:rsidR="00095037" w:rsidRDefault="00000000">
      <w:pPr>
        <w:pStyle w:val="Heading2"/>
      </w:pPr>
      <w:r>
        <w:t>3. Core Philosophy</w:t>
      </w:r>
    </w:p>
    <w:p w14:paraId="6EBED8FF" w14:textId="439D2520" w:rsidR="00095037" w:rsidRDefault="00000000">
      <w:pPr>
        <w:pStyle w:val="ListBullet"/>
      </w:pPr>
      <w:r>
        <w:t xml:space="preserve">Traditional Mean-Variance </w:t>
      </w:r>
      <w:r w:rsidR="00505B0F">
        <w:t>Optimisation</w:t>
      </w:r>
      <w:r>
        <w:t xml:space="preserve"> suffers from unstable covariance matrices and extreme sensitivity to estimation errors.</w:t>
      </w:r>
    </w:p>
    <w:p w14:paraId="2A97AADF" w14:textId="77777777" w:rsidR="00095037" w:rsidRDefault="00000000">
      <w:pPr>
        <w:pStyle w:val="ListBullet"/>
      </w:pPr>
      <w:r>
        <w:t>Diversification often collapses during crisis periods when correlations converge toward one.</w:t>
      </w:r>
    </w:p>
    <w:p w14:paraId="1782FDB6" w14:textId="54C1E68F" w:rsidR="00095037" w:rsidRDefault="00000000">
      <w:pPr>
        <w:pStyle w:val="ListBullet"/>
      </w:pPr>
      <w:r>
        <w:t xml:space="preserve">The proposed architecture </w:t>
      </w:r>
      <w:proofErr w:type="spellStart"/>
      <w:r w:rsidR="00505B0F">
        <w:t>emphasises</w:t>
      </w:r>
      <w:proofErr w:type="spellEnd"/>
      <w:r>
        <w:t xml:space="preserve"> robustness, adaptive diversification, and uncertainty-aware risk management.</w:t>
      </w:r>
    </w:p>
    <w:p w14:paraId="174BFAA6" w14:textId="77777777" w:rsidR="00095037" w:rsidRDefault="00000000">
      <w:pPr>
        <w:pStyle w:val="Heading2"/>
      </w:pPr>
      <w:r>
        <w:t>4. Final Architecture Components</w:t>
      </w:r>
    </w:p>
    <w:p w14:paraId="58DB6960" w14:textId="77777777" w:rsidR="00095037" w:rsidRDefault="00000000">
      <w:pPr>
        <w:pStyle w:val="ListBullet"/>
      </w:pPr>
      <w:r>
        <w:t>Data Pipeline &amp; Feature Engineering</w:t>
      </w:r>
    </w:p>
    <w:p w14:paraId="7466751E" w14:textId="77777777" w:rsidR="00095037" w:rsidRDefault="00000000">
      <w:pPr>
        <w:pStyle w:val="ListBullet"/>
      </w:pPr>
      <w:r>
        <w:t>Robust Covariance Estimation</w:t>
      </w:r>
    </w:p>
    <w:p w14:paraId="19A7F9A9" w14:textId="77777777" w:rsidR="00095037" w:rsidRDefault="00000000">
      <w:pPr>
        <w:pStyle w:val="ListBullet"/>
      </w:pPr>
      <w:r>
        <w:t>Dynamic Clustering &amp; HERC/HRP Allocation</w:t>
      </w:r>
    </w:p>
    <w:p w14:paraId="5C218250" w14:textId="77777777" w:rsidR="00095037" w:rsidRDefault="00000000">
      <w:pPr>
        <w:pStyle w:val="ListBullet"/>
      </w:pPr>
      <w:r>
        <w:t>Regime Detection &amp; Volatility Targeting</w:t>
      </w:r>
    </w:p>
    <w:p w14:paraId="0C912091" w14:textId="77777777" w:rsidR="00095037" w:rsidRDefault="00000000">
      <w:pPr>
        <w:pStyle w:val="ListBullet"/>
      </w:pPr>
      <w:r>
        <w:t>Macro-Sentiment and Earnings Call NLP</w:t>
      </w:r>
    </w:p>
    <w:p w14:paraId="369B0490" w14:textId="77777777" w:rsidR="00095037" w:rsidRDefault="00000000">
      <w:pPr>
        <w:pStyle w:val="ListBullet"/>
      </w:pPr>
      <w:r>
        <w:t>Rolling Backtesting &amp; CPCV Validation</w:t>
      </w:r>
    </w:p>
    <w:p w14:paraId="740AD064" w14:textId="77777777" w:rsidR="00095037" w:rsidRDefault="00000000">
      <w:pPr>
        <w:pStyle w:val="ListBullet"/>
      </w:pPr>
      <w:r>
        <w:t>Risk Analytics &amp; Dashboarding</w:t>
      </w:r>
    </w:p>
    <w:p w14:paraId="5DE9827D" w14:textId="77777777" w:rsidR="00095037" w:rsidRDefault="00000000">
      <w:pPr>
        <w:pStyle w:val="Heading2"/>
      </w:pPr>
      <w:r>
        <w:t>5. Asset Universe</w:t>
      </w:r>
    </w:p>
    <w:p w14:paraId="623FE07B" w14:textId="77777777" w:rsidR="00095037" w:rsidRDefault="00000000">
      <w:pPr>
        <w:pStyle w:val="ListBullet"/>
      </w:pPr>
      <w:r>
        <w:t>Use a diversified Indian equity and ETF universe containing approximately 25 liquid instruments.</w:t>
      </w:r>
    </w:p>
    <w:p w14:paraId="4793BE2D" w14:textId="772F630B" w:rsidR="00095037" w:rsidRDefault="00000000">
      <w:pPr>
        <w:pStyle w:val="ListBullet"/>
      </w:pPr>
      <w:r>
        <w:t xml:space="preserve">Include sector ETFs and defensive assets for meaningful clustering and regime </w:t>
      </w:r>
      <w:proofErr w:type="spellStart"/>
      <w:r w:rsidR="00505B0F">
        <w:t>behaviour</w:t>
      </w:r>
      <w:proofErr w:type="spellEnd"/>
      <w:r>
        <w:t>.</w:t>
      </w:r>
    </w:p>
    <w:p w14:paraId="09F3A8FB" w14:textId="77777777" w:rsidR="00095037" w:rsidRDefault="00000000">
      <w:pPr>
        <w:pStyle w:val="Heading2"/>
      </w:pPr>
      <w:r>
        <w:lastRenderedPageBreak/>
        <w:t>6. Representative Assets</w:t>
      </w:r>
    </w:p>
    <w:p w14:paraId="63A6567C" w14:textId="77777777" w:rsidR="00095037" w:rsidRDefault="00000000">
      <w:pPr>
        <w:pStyle w:val="ListBullet"/>
      </w:pPr>
      <w:r>
        <w:t>Broad Market: NIFTYBEES.NS, JUNIORBEES.NS</w:t>
      </w:r>
    </w:p>
    <w:p w14:paraId="7F50C0D0" w14:textId="77777777" w:rsidR="00095037" w:rsidRDefault="00000000">
      <w:pPr>
        <w:pStyle w:val="ListBullet"/>
      </w:pPr>
      <w:r>
        <w:t>Banking: BANKBEES.NS, HDFCBANK.NS, ICICIBANK.NS</w:t>
      </w:r>
    </w:p>
    <w:p w14:paraId="5801EFBC" w14:textId="77777777" w:rsidR="00095037" w:rsidRDefault="00000000">
      <w:pPr>
        <w:pStyle w:val="ListBullet"/>
      </w:pPr>
      <w:r>
        <w:t>IT: ITBEES.NS, TCS.NS, INFY.NS</w:t>
      </w:r>
    </w:p>
    <w:p w14:paraId="5D56E905" w14:textId="77777777" w:rsidR="00095037" w:rsidRDefault="00000000">
      <w:pPr>
        <w:pStyle w:val="ListBullet"/>
      </w:pPr>
      <w:r>
        <w:t>FMCG: CONSUMBEES.NS, ITC.NS, HINDUNILVR.NS</w:t>
      </w:r>
    </w:p>
    <w:p w14:paraId="6A3649F8" w14:textId="77777777" w:rsidR="00095037" w:rsidRDefault="00000000">
      <w:pPr>
        <w:pStyle w:val="ListBullet"/>
      </w:pPr>
      <w:r>
        <w:t>Pharma: PHARMABEES.NS, SUNPHARMA.NS</w:t>
      </w:r>
    </w:p>
    <w:p w14:paraId="3FC0912D" w14:textId="77777777" w:rsidR="00095037" w:rsidRDefault="00000000">
      <w:pPr>
        <w:pStyle w:val="ListBullet"/>
      </w:pPr>
      <w:r>
        <w:t>Infrastructure &amp; Energy: RELIANCE.NS, LT.NS, INFRA_BEES.NS</w:t>
      </w:r>
    </w:p>
    <w:p w14:paraId="598E3C45" w14:textId="77777777" w:rsidR="00095037" w:rsidRDefault="00000000">
      <w:pPr>
        <w:pStyle w:val="ListBullet"/>
      </w:pPr>
      <w:r>
        <w:t>Defensive Assets: GOLDBEES.NS, SILVERBEES.NS, LIQUIDBEES.NS</w:t>
      </w:r>
    </w:p>
    <w:p w14:paraId="40AB0380" w14:textId="77777777" w:rsidR="00095037" w:rsidRDefault="00000000">
      <w:pPr>
        <w:pStyle w:val="Heading2"/>
      </w:pPr>
      <w:r>
        <w:t>7. Statistical Engine</w:t>
      </w:r>
    </w:p>
    <w:p w14:paraId="7BB21692" w14:textId="77777777" w:rsidR="00095037" w:rsidRDefault="00000000">
      <w:pPr>
        <w:pStyle w:val="ListBullet"/>
      </w:pPr>
      <w:r>
        <w:t>Implement rolling covariance and rolling correlation estimation.</w:t>
      </w:r>
    </w:p>
    <w:p w14:paraId="7A18CD68" w14:textId="77777777" w:rsidR="00095037" w:rsidRDefault="00000000">
      <w:pPr>
        <w:pStyle w:val="ListBullet"/>
      </w:pPr>
      <w:r>
        <w:t>Use Ledoit-Wolf shrinkage covariance estimation for improved stability.</w:t>
      </w:r>
    </w:p>
    <w:p w14:paraId="248CFE0D" w14:textId="77777777" w:rsidR="00095037" w:rsidRDefault="00000000">
      <w:pPr>
        <w:pStyle w:val="ListBullet"/>
      </w:pPr>
      <w:r>
        <w:t>Use the Gerber Statistic to isolate meaningful co-movements and reduce noise sensitivity.</w:t>
      </w:r>
    </w:p>
    <w:p w14:paraId="4FFB0885" w14:textId="77777777" w:rsidR="00095037" w:rsidRDefault="00000000">
      <w:pPr>
        <w:pStyle w:val="Heading2"/>
      </w:pPr>
      <w:r>
        <w:t>8. Clustering &amp; Allocation</w:t>
      </w:r>
    </w:p>
    <w:p w14:paraId="6C82C150" w14:textId="77777777" w:rsidR="00095037" w:rsidRDefault="00000000">
      <w:pPr>
        <w:pStyle w:val="ListBullet"/>
      </w:pPr>
      <w:r>
        <w:t>Perform dynamic hierarchical clustering using Ward linkage.</w:t>
      </w:r>
    </w:p>
    <w:p w14:paraId="6F3F0296" w14:textId="77777777" w:rsidR="00095037" w:rsidRDefault="00000000">
      <w:pPr>
        <w:pStyle w:val="ListBullet"/>
      </w:pPr>
      <w:r>
        <w:t>Evaluate both HRP and HERC allocation frameworks.</w:t>
      </w:r>
    </w:p>
    <w:p w14:paraId="5F531D51" w14:textId="77777777" w:rsidR="00095037" w:rsidRDefault="00000000">
      <w:pPr>
        <w:pStyle w:val="ListBullet"/>
      </w:pPr>
      <w:r>
        <w:t>Use recursive risk allocation instead of arbitrary equal-weight splits.</w:t>
      </w:r>
    </w:p>
    <w:p w14:paraId="12988AC3" w14:textId="77777777" w:rsidR="00095037" w:rsidRDefault="00000000">
      <w:pPr>
        <w:pStyle w:val="Heading2"/>
      </w:pPr>
      <w:r>
        <w:t>9. Regime Detection</w:t>
      </w:r>
    </w:p>
    <w:p w14:paraId="0110289F" w14:textId="77777777" w:rsidR="00095037" w:rsidRDefault="00000000">
      <w:pPr>
        <w:pStyle w:val="ListBullet"/>
      </w:pPr>
      <w:r>
        <w:t>Implement Markov-Switching Autoregression models.</w:t>
      </w:r>
    </w:p>
    <w:p w14:paraId="63F2FDB4" w14:textId="77777777" w:rsidR="00095037" w:rsidRDefault="00000000">
      <w:pPr>
        <w:pStyle w:val="ListBullet"/>
      </w:pPr>
      <w:r>
        <w:t>Detect bull, crisis, recovery, and defensive regimes using volatility and correlation structures.</w:t>
      </w:r>
    </w:p>
    <w:p w14:paraId="7BFBC718" w14:textId="77777777" w:rsidR="00095037" w:rsidRDefault="00000000">
      <w:pPr>
        <w:pStyle w:val="Heading2"/>
      </w:pPr>
      <w:r>
        <w:t>10. Dynamic Volatility Targeting</w:t>
      </w:r>
    </w:p>
    <w:p w14:paraId="0511CDD2" w14:textId="77777777" w:rsidR="00095037" w:rsidRDefault="00000000">
      <w:pPr>
        <w:pStyle w:val="ListBullet"/>
      </w:pPr>
      <w:r>
        <w:t>Scale portfolio exposure inversely to forecasted volatility.</w:t>
      </w:r>
    </w:p>
    <w:p w14:paraId="1711AC8F" w14:textId="77777777" w:rsidR="00095037" w:rsidRDefault="00000000">
      <w:pPr>
        <w:pStyle w:val="ListBullet"/>
      </w:pPr>
      <w:r>
        <w:t>Automatically shift partial capital into LIQUIDBEES or defensive assets during crisis regimes.</w:t>
      </w:r>
    </w:p>
    <w:p w14:paraId="1C15B76D" w14:textId="77777777" w:rsidR="00095037" w:rsidRDefault="00000000">
      <w:pPr>
        <w:pStyle w:val="Heading2"/>
      </w:pPr>
      <w:r>
        <w:t>11. Financial NLP Layer</w:t>
      </w:r>
    </w:p>
    <w:p w14:paraId="082AA366" w14:textId="77777777" w:rsidR="00095037" w:rsidRDefault="00000000">
      <w:pPr>
        <w:pStyle w:val="ListBullet"/>
      </w:pPr>
      <w:r>
        <w:t>Do not rely on reactive stock-news sentiment.</w:t>
      </w:r>
    </w:p>
    <w:p w14:paraId="66CB2884" w14:textId="77777777" w:rsidR="00095037" w:rsidRDefault="00000000">
      <w:pPr>
        <w:pStyle w:val="ListBullet"/>
      </w:pPr>
      <w:r>
        <w:t>Focus on macroeconomic and systemic uncertainty extraction.</w:t>
      </w:r>
    </w:p>
    <w:p w14:paraId="1ADE2D17" w14:textId="429D1F77" w:rsidR="00095037" w:rsidRDefault="00505B0F">
      <w:pPr>
        <w:pStyle w:val="ListBullet"/>
      </w:pPr>
      <w:proofErr w:type="spellStart"/>
      <w:r>
        <w:t>Analyse</w:t>
      </w:r>
      <w:proofErr w:type="spellEnd"/>
      <w:r w:rsidR="00000000">
        <w:t xml:space="preserve"> RBI communications, central bank commentary, and earnings call transcripts.</w:t>
      </w:r>
    </w:p>
    <w:p w14:paraId="58749CBA" w14:textId="77777777" w:rsidR="00095037" w:rsidRDefault="00000000">
      <w:pPr>
        <w:pStyle w:val="Heading2"/>
      </w:pPr>
      <w:r>
        <w:t>12. NLP Data Sources</w:t>
      </w:r>
    </w:p>
    <w:p w14:paraId="0CAD6F74" w14:textId="77777777" w:rsidR="00095037" w:rsidRDefault="00000000">
      <w:pPr>
        <w:pStyle w:val="ListBullet"/>
      </w:pPr>
      <w:r>
        <w:t>RBI Monetary Policy Documents</w:t>
      </w:r>
    </w:p>
    <w:p w14:paraId="74996D7C" w14:textId="77777777" w:rsidR="00095037" w:rsidRDefault="00000000">
      <w:pPr>
        <w:pStyle w:val="ListBullet"/>
      </w:pPr>
      <w:r>
        <w:t>WorldCentralBanks NLP models</w:t>
      </w:r>
    </w:p>
    <w:p w14:paraId="3D0A1EAA" w14:textId="77777777" w:rsidR="00095037" w:rsidRDefault="00000000">
      <w:pPr>
        <w:pStyle w:val="ListBullet"/>
      </w:pPr>
      <w:r>
        <w:t>MiMIC Indian Earnings Call Dataset</w:t>
      </w:r>
    </w:p>
    <w:p w14:paraId="484739E5" w14:textId="77777777" w:rsidR="00095037" w:rsidRDefault="00000000">
      <w:pPr>
        <w:pStyle w:val="Heading2"/>
      </w:pPr>
      <w:r>
        <w:t>13. Backtesting Framework</w:t>
      </w:r>
    </w:p>
    <w:p w14:paraId="6F84F3BC" w14:textId="77777777" w:rsidR="00095037" w:rsidRDefault="00000000">
      <w:pPr>
        <w:pStyle w:val="ListBullet"/>
      </w:pPr>
      <w:r>
        <w:t>Use rolling-window backtesting with monthly rebalancing.</w:t>
      </w:r>
    </w:p>
    <w:p w14:paraId="5A876290" w14:textId="77777777" w:rsidR="00095037" w:rsidRDefault="00000000">
      <w:pPr>
        <w:pStyle w:val="ListBullet"/>
      </w:pPr>
      <w:r>
        <w:t>Extend evaluation horizon from 2006–2026 to include multiple crisis regimes.</w:t>
      </w:r>
    </w:p>
    <w:p w14:paraId="16DD247A" w14:textId="77777777" w:rsidR="00095037" w:rsidRDefault="00000000">
      <w:pPr>
        <w:pStyle w:val="ListBullet"/>
      </w:pPr>
      <w:r>
        <w:lastRenderedPageBreak/>
        <w:t>Implement Combinatorial Purged Cross-Validation (CPCV) to avoid data leakage.</w:t>
      </w:r>
    </w:p>
    <w:p w14:paraId="3CCD20F5" w14:textId="77777777" w:rsidR="00095037" w:rsidRDefault="00000000">
      <w:pPr>
        <w:pStyle w:val="Heading2"/>
      </w:pPr>
      <w:r>
        <w:t>14. Benchmark Strategies</w:t>
      </w:r>
    </w:p>
    <w:p w14:paraId="2476192B" w14:textId="77777777" w:rsidR="00095037" w:rsidRDefault="00000000">
      <w:pPr>
        <w:pStyle w:val="ListBullet"/>
      </w:pPr>
      <w:r>
        <w:t>Equal Weight Portfolio</w:t>
      </w:r>
    </w:p>
    <w:p w14:paraId="61B04901" w14:textId="77777777" w:rsidR="00095037" w:rsidRDefault="00000000">
      <w:pPr>
        <w:pStyle w:val="ListBullet"/>
      </w:pPr>
      <w:r>
        <w:t>Mean-Variance Optimization</w:t>
      </w:r>
    </w:p>
    <w:p w14:paraId="42EDA905" w14:textId="77777777" w:rsidR="00095037" w:rsidRDefault="00000000">
      <w:pPr>
        <w:pStyle w:val="ListBullet"/>
      </w:pPr>
      <w:r>
        <w:t>Inverse Volatility Portfolio</w:t>
      </w:r>
    </w:p>
    <w:p w14:paraId="3279EFBF" w14:textId="77777777" w:rsidR="00095037" w:rsidRDefault="00000000">
      <w:pPr>
        <w:pStyle w:val="ListBullet"/>
      </w:pPr>
      <w:r>
        <w:t>HRP</w:t>
      </w:r>
    </w:p>
    <w:p w14:paraId="0AEF3E71" w14:textId="77777777" w:rsidR="00095037" w:rsidRDefault="00000000">
      <w:pPr>
        <w:pStyle w:val="ListBullet"/>
      </w:pPr>
      <w:r>
        <w:t>HERC</w:t>
      </w:r>
    </w:p>
    <w:p w14:paraId="173B368A" w14:textId="77777777" w:rsidR="00095037" w:rsidRDefault="00000000">
      <w:pPr>
        <w:pStyle w:val="Heading2"/>
      </w:pPr>
      <w:r>
        <w:t>15. Risk Metrics</w:t>
      </w:r>
    </w:p>
    <w:p w14:paraId="55A81C88" w14:textId="77777777" w:rsidR="00095037" w:rsidRDefault="00000000">
      <w:pPr>
        <w:pStyle w:val="ListBullet"/>
      </w:pPr>
      <w:r>
        <w:t>Sharpe Ratio</w:t>
      </w:r>
    </w:p>
    <w:p w14:paraId="2D5B636D" w14:textId="77777777" w:rsidR="00095037" w:rsidRDefault="00000000">
      <w:pPr>
        <w:pStyle w:val="ListBullet"/>
      </w:pPr>
      <w:r>
        <w:t>Sortino Ratio</w:t>
      </w:r>
    </w:p>
    <w:p w14:paraId="26021428" w14:textId="77777777" w:rsidR="00095037" w:rsidRDefault="00000000">
      <w:pPr>
        <w:pStyle w:val="ListBullet"/>
      </w:pPr>
      <w:r>
        <w:t>Maximum Drawdown</w:t>
      </w:r>
    </w:p>
    <w:p w14:paraId="38CC07EA" w14:textId="77777777" w:rsidR="00095037" w:rsidRDefault="00000000">
      <w:pPr>
        <w:pStyle w:val="ListBullet"/>
      </w:pPr>
      <w:r>
        <w:t>CVaR / EVaR</w:t>
      </w:r>
    </w:p>
    <w:p w14:paraId="06587D7E" w14:textId="77777777" w:rsidR="00095037" w:rsidRDefault="00000000">
      <w:pPr>
        <w:pStyle w:val="ListBullet"/>
      </w:pPr>
      <w:r>
        <w:t>Portfolio Turnover</w:t>
      </w:r>
    </w:p>
    <w:p w14:paraId="0BD30A51" w14:textId="77777777" w:rsidR="00095037" w:rsidRDefault="00000000">
      <w:pPr>
        <w:pStyle w:val="ListBullet"/>
      </w:pPr>
      <w:r>
        <w:t>Conditional Drawdown at Risk</w:t>
      </w:r>
    </w:p>
    <w:p w14:paraId="3A3F7A1A" w14:textId="687FC4EF" w:rsidR="00095037" w:rsidRDefault="00000000">
      <w:pPr>
        <w:pStyle w:val="Heading2"/>
      </w:pPr>
      <w:r>
        <w:t xml:space="preserve">16. Dashboard &amp; </w:t>
      </w:r>
      <w:r w:rsidR="00505B0F">
        <w:t>Visualisation</w:t>
      </w:r>
    </w:p>
    <w:p w14:paraId="303C0586" w14:textId="77777777" w:rsidR="00095037" w:rsidRDefault="00000000">
      <w:pPr>
        <w:pStyle w:val="ListBullet"/>
      </w:pPr>
      <w:r>
        <w:t>Dynamic correlation heatmaps</w:t>
      </w:r>
    </w:p>
    <w:p w14:paraId="09ACA380" w14:textId="77777777" w:rsidR="00095037" w:rsidRDefault="00000000">
      <w:pPr>
        <w:pStyle w:val="ListBullet"/>
      </w:pPr>
      <w:r>
        <w:t>Dendrogram evolution</w:t>
      </w:r>
    </w:p>
    <w:p w14:paraId="3F09135B" w14:textId="77777777" w:rsidR="00095037" w:rsidRDefault="00000000">
      <w:pPr>
        <w:pStyle w:val="ListBullet"/>
      </w:pPr>
      <w:r>
        <w:t>Portfolio allocation drift</w:t>
      </w:r>
    </w:p>
    <w:p w14:paraId="5A386A31" w14:textId="77777777" w:rsidR="00095037" w:rsidRDefault="00000000">
      <w:pPr>
        <w:pStyle w:val="ListBullet"/>
      </w:pPr>
      <w:r>
        <w:t>Regime visualization</w:t>
      </w:r>
    </w:p>
    <w:p w14:paraId="414EB55D" w14:textId="77777777" w:rsidR="00095037" w:rsidRDefault="00000000">
      <w:pPr>
        <w:pStyle w:val="ListBullet"/>
      </w:pPr>
      <w:r>
        <w:t>Drawdown and stress analysis</w:t>
      </w:r>
    </w:p>
    <w:p w14:paraId="03908948" w14:textId="77777777" w:rsidR="00095037" w:rsidRDefault="00000000">
      <w:pPr>
        <w:pStyle w:val="Heading2"/>
      </w:pPr>
      <w:r>
        <w:t>17. Technology Stack</w:t>
      </w:r>
    </w:p>
    <w:p w14:paraId="5AEF3020" w14:textId="77777777" w:rsidR="00095037" w:rsidRDefault="00000000">
      <w:pPr>
        <w:pStyle w:val="ListBullet"/>
      </w:pPr>
      <w:r>
        <w:t>Python, pandas, numpy</w:t>
      </w:r>
    </w:p>
    <w:p w14:paraId="25161278" w14:textId="77777777" w:rsidR="00095037" w:rsidRDefault="00000000">
      <w:pPr>
        <w:pStyle w:val="ListBullet"/>
      </w:pPr>
      <w:r>
        <w:t>skfolio, Riskfolio-Lib, cvxpy</w:t>
      </w:r>
    </w:p>
    <w:p w14:paraId="5ACF4D13" w14:textId="77777777" w:rsidR="00095037" w:rsidRDefault="00000000">
      <w:pPr>
        <w:pStyle w:val="ListBullet"/>
      </w:pPr>
      <w:r>
        <w:t>scikit-learn, scipy</w:t>
      </w:r>
    </w:p>
    <w:p w14:paraId="5DCCB6AE" w14:textId="77777777" w:rsidR="00095037" w:rsidRDefault="00000000">
      <w:pPr>
        <w:pStyle w:val="ListBullet"/>
      </w:pPr>
      <w:r>
        <w:t>statsmodels</w:t>
      </w:r>
    </w:p>
    <w:p w14:paraId="118916D1" w14:textId="77777777" w:rsidR="00095037" w:rsidRDefault="00000000">
      <w:pPr>
        <w:pStyle w:val="ListBullet"/>
      </w:pPr>
      <w:r>
        <w:t>transformers, FinBERT</w:t>
      </w:r>
    </w:p>
    <w:p w14:paraId="533D0F17" w14:textId="77777777" w:rsidR="00095037" w:rsidRDefault="00000000">
      <w:pPr>
        <w:pStyle w:val="ListBullet"/>
      </w:pPr>
      <w:r>
        <w:t>Plotly, Streamlit</w:t>
      </w:r>
    </w:p>
    <w:p w14:paraId="6878C3EA" w14:textId="77777777" w:rsidR="00095037" w:rsidRDefault="00000000">
      <w:pPr>
        <w:pStyle w:val="Heading2"/>
      </w:pPr>
      <w:r>
        <w:t>18. Team Division</w:t>
      </w:r>
    </w:p>
    <w:p w14:paraId="7C00CAAF" w14:textId="77777777" w:rsidR="00095037" w:rsidRDefault="00000000">
      <w:pPr>
        <w:pStyle w:val="ListBullet"/>
      </w:pPr>
      <w:r>
        <w:t>Member 1: Data Pipeline &amp; Feature Engineering</w:t>
      </w:r>
    </w:p>
    <w:p w14:paraId="456CA43E" w14:textId="5245FAE5" w:rsidR="00095037" w:rsidRDefault="00000000">
      <w:pPr>
        <w:pStyle w:val="ListBullet"/>
      </w:pPr>
      <w:r>
        <w:t xml:space="preserve">Member 2: HRP/HERC </w:t>
      </w:r>
      <w:r w:rsidR="00505B0F">
        <w:t>Optimisation</w:t>
      </w:r>
      <w:r>
        <w:t xml:space="preserve"> Engine</w:t>
      </w:r>
    </w:p>
    <w:p w14:paraId="73E5C459" w14:textId="77777777" w:rsidR="00095037" w:rsidRDefault="00000000">
      <w:pPr>
        <w:pStyle w:val="ListBullet"/>
      </w:pPr>
      <w:r>
        <w:t>Member 3: NLP &amp; Regime Intelligence</w:t>
      </w:r>
    </w:p>
    <w:p w14:paraId="50AA84C4" w14:textId="77777777" w:rsidR="00095037" w:rsidRDefault="00000000">
      <w:pPr>
        <w:pStyle w:val="ListBullet"/>
      </w:pPr>
      <w:r>
        <w:t>Member 4: Backtesting, Analytics &amp; Dashboard</w:t>
      </w:r>
    </w:p>
    <w:p w14:paraId="38B4258D" w14:textId="77777777" w:rsidR="00095037" w:rsidRDefault="00000000">
      <w:pPr>
        <w:pStyle w:val="Heading2"/>
      </w:pPr>
      <w:r>
        <w:t>19. Key Learnings</w:t>
      </w:r>
    </w:p>
    <w:p w14:paraId="72115D99" w14:textId="28076E4E" w:rsidR="00095037" w:rsidRDefault="00000000">
      <w:pPr>
        <w:pStyle w:val="ListBullet"/>
      </w:pPr>
      <w:r>
        <w:t xml:space="preserve">Portfolio </w:t>
      </w:r>
      <w:r w:rsidR="00505B0F">
        <w:t>optimisation</w:t>
      </w:r>
      <w:r>
        <w:t xml:space="preserve"> under uncertainty</w:t>
      </w:r>
    </w:p>
    <w:p w14:paraId="1F40AC72" w14:textId="77777777" w:rsidR="00095037" w:rsidRDefault="00000000">
      <w:pPr>
        <w:pStyle w:val="ListBullet"/>
      </w:pPr>
      <w:r>
        <w:t>Robust covariance estimation</w:t>
      </w:r>
    </w:p>
    <w:p w14:paraId="0F24609E" w14:textId="77777777" w:rsidR="00095037" w:rsidRDefault="00000000">
      <w:pPr>
        <w:pStyle w:val="ListBullet"/>
      </w:pPr>
      <w:r>
        <w:t>Graph-theoretic portfolio construction</w:t>
      </w:r>
    </w:p>
    <w:p w14:paraId="019B40A7" w14:textId="77777777" w:rsidR="00095037" w:rsidRDefault="00000000">
      <w:pPr>
        <w:pStyle w:val="ListBullet"/>
      </w:pPr>
      <w:r>
        <w:t>Financial NLP and macro-sentiment analysis</w:t>
      </w:r>
    </w:p>
    <w:p w14:paraId="3C0C036F" w14:textId="22406B38" w:rsidR="00095037" w:rsidRDefault="00000000">
      <w:pPr>
        <w:pStyle w:val="ListBullet"/>
      </w:pPr>
      <w:r>
        <w:lastRenderedPageBreak/>
        <w:t xml:space="preserve">Market regime </w:t>
      </w:r>
      <w:r w:rsidR="00505B0F">
        <w:t>modelling</w:t>
      </w:r>
    </w:p>
    <w:p w14:paraId="33EC9F14" w14:textId="77777777" w:rsidR="00095037" w:rsidRDefault="00000000">
      <w:pPr>
        <w:pStyle w:val="ListBullet"/>
      </w:pPr>
      <w:r>
        <w:t>Institutional-style risk analytics</w:t>
      </w:r>
    </w:p>
    <w:p w14:paraId="179F9AD5" w14:textId="77777777" w:rsidR="00095037" w:rsidRDefault="00000000">
      <w:pPr>
        <w:pStyle w:val="Heading2"/>
      </w:pPr>
      <w:r>
        <w:t>20. Final Positioning</w:t>
      </w:r>
    </w:p>
    <w:p w14:paraId="6103ABAD" w14:textId="77777777" w:rsidR="00095037" w:rsidRDefault="00000000">
      <w:pPr>
        <w:pStyle w:val="ListBullet"/>
      </w:pPr>
      <w:r>
        <w:t>This is not a stock prediction system.</w:t>
      </w:r>
    </w:p>
    <w:p w14:paraId="64DE04EE" w14:textId="77777777" w:rsidR="00095037" w:rsidRDefault="00000000">
      <w:pPr>
        <w:pStyle w:val="ListBullet"/>
      </w:pPr>
      <w:r>
        <w:t>This is a robust adaptive risk allocation and financial risk management framework designed to study diversification, uncertainty propagation, and survivability under changing market structures.</w:t>
      </w:r>
    </w:p>
    <w:p w14:paraId="34700CAE" w14:textId="30F37F2C" w:rsidR="00095037" w:rsidRDefault="00095037"/>
    <w:p w14:paraId="49A35078" w14:textId="77777777" w:rsidR="00095037" w:rsidRDefault="00000000">
      <w:pPr>
        <w:pStyle w:val="Heading2"/>
      </w:pPr>
      <w:r>
        <w:t>Reference &amp; Research Foundation</w:t>
      </w:r>
    </w:p>
    <w:p w14:paraId="1952DC98" w14:textId="735CD03E" w:rsidR="00095037" w:rsidRDefault="00000000">
      <w:r>
        <w:t xml:space="preserve">The blueprint integrates concepts from Hierarchical Risk Parity research, </w:t>
      </w:r>
      <w:proofErr w:type="spellStart"/>
      <w:r>
        <w:t>skfolio</w:t>
      </w:r>
      <w:proofErr w:type="spellEnd"/>
      <w:r>
        <w:t xml:space="preserve"> </w:t>
      </w:r>
      <w:r w:rsidR="00505B0F">
        <w:t>optimisation</w:t>
      </w:r>
      <w:r>
        <w:t xml:space="preserve"> frameworks, Gerber covariance estimation literature, Markov-switching regime models, and macro-financial NLP datasets</w:t>
      </w:r>
      <w:r w:rsidR="00505B0F">
        <w:t>,</w:t>
      </w:r>
      <w:r>
        <w:t xml:space="preserve"> including </w:t>
      </w:r>
      <w:proofErr w:type="spellStart"/>
      <w:r>
        <w:t>MiMIC</w:t>
      </w:r>
      <w:proofErr w:type="spellEnd"/>
      <w:r>
        <w:t xml:space="preserve"> and WorldCentralBanks.</w:t>
      </w:r>
    </w:p>
    <w:sectPr w:rsidR="000950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5645648">
    <w:abstractNumId w:val="8"/>
  </w:num>
  <w:num w:numId="2" w16cid:durableId="626813669">
    <w:abstractNumId w:val="6"/>
  </w:num>
  <w:num w:numId="3" w16cid:durableId="905652216">
    <w:abstractNumId w:val="5"/>
  </w:num>
  <w:num w:numId="4" w16cid:durableId="1591814768">
    <w:abstractNumId w:val="4"/>
  </w:num>
  <w:num w:numId="5" w16cid:durableId="1405491504">
    <w:abstractNumId w:val="7"/>
  </w:num>
  <w:num w:numId="6" w16cid:durableId="174807843">
    <w:abstractNumId w:val="3"/>
  </w:num>
  <w:num w:numId="7" w16cid:durableId="393895402">
    <w:abstractNumId w:val="2"/>
  </w:num>
  <w:num w:numId="8" w16cid:durableId="2132750149">
    <w:abstractNumId w:val="1"/>
  </w:num>
  <w:num w:numId="9" w16cid:durableId="1648044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037"/>
    <w:rsid w:val="0015074B"/>
    <w:rsid w:val="0029639D"/>
    <w:rsid w:val="00326F90"/>
    <w:rsid w:val="00505B0F"/>
    <w:rsid w:val="00AA1D8D"/>
    <w:rsid w:val="00B47730"/>
    <w:rsid w:val="00CB0664"/>
    <w:rsid w:val="00D705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E01ED"/>
  <w14:defaultImageDpi w14:val="300"/>
  <w15:docId w15:val="{965DFC8E-3DBC-44B9-9991-0123EFAF0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 Ashtekar</cp:lastModifiedBy>
  <cp:revision>2</cp:revision>
  <dcterms:created xsi:type="dcterms:W3CDTF">2013-12-23T23:15:00Z</dcterms:created>
  <dcterms:modified xsi:type="dcterms:W3CDTF">2026-05-23T13:06:00Z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e456e6e7-c82b-48a9-bbbf-c32d94cde683</vt:lpwstr>
  </property>
</Properties>
</file>