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Advanced Framework for Adaptive Portfolio Allocation and Risk Analytics: Integrating Hierarchical Risk Parity, Regime Switching, and Macro-Sentiment Dynamics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evolution of quantitative portfolio management has increasingly shifted away from traditional expected-return maximization frameworks toward robust, risk-centric methodologies. Classical Mean-Variance Optimization (MVO), first introduced by Harry Markowitz, established the foundational paradigm of modern portfolio theory by quantifying the trade-off between risk and expected return.</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However, while mathematically elegant, MVO frequently exhibits catastrophic vulnerabilities in practical deployment. The optimization process essentially acts as an error-maximization algorithm, demonstrating extreme sensitivity to minor estimation errors in expected returns and covariance matrices.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Because historical correlations are inherently unstable—particularly during periods of systemic market distress when cross-asset correlations tend to converge toward one—the inversion of a highly collinear, noisy covariance matrix results in highly concentrated, erratic portfolio allocations that suffer severe out-of-sample degradation.</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address these systemic vulnerabilities, modern financial risk management (FRM) emphasizes adaptive architectures capable of parsing complex, non-linear market regimes, unstable correlation structures, and exogenous macroeconomic uncertainties.</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Graph-theoretic approaches, specifically Hierarchical Risk Parity (HRP), have emerged as superior alternatives by completely bypassing the need for covariance matrix inversion.</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By utilizing hierarchical clustering algorithms, HRP identifies the underlying structural topology of the asset universe, grouping highly correlated assets into distinct clusters and allocating risk capital in a top-down manner.</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While the baseline proposition of transitioning to an HRP-based framework is structurally sound, elevating such a system to meet rigorous institutional FRM standards requires extensive architectural enhancements.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Theoretical optimization models often fail in live trading environments because they ignore market frictions, rely on naive statistical estimators, and fail to adapt their risk posture dynamically as macroeconomic regimes transition.</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This comprehensive analysis reconstructs the portfolio allocation architecture by integrating robust covariance estimation via the Gerber statistic, transitioning from basic HRP to Hierarchical Equal Risk Contribution (HERC), embedding transaction cost and turnover constraints directly into the optimization logic, and implementing dynamic volatility targeting triggered by Markov-switching regime detection.</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Furthermore, the architecture is enriched with a forward-looking intelligence layer powered by advanced Natural Language Processing (NLP), which extracts macroeconomic stance and sector-level uncertainty from central bank communications and corporate earnings calls.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Finally, the empirical validity of this framework is anchored in verifiable, industry-standard datasets for the Indian market, evaluated over an extended twenty-year historical horizon (2006–2026) using Combinatorial Purged Cross-Validation (CPCV) to ensure absolute robustness against data leakage and overfitting.</w:t>
      </w:r>
      <w:r w:rsidDel="00000000" w:rsidR="00000000" w:rsidRPr="00000000">
        <w:rPr>
          <w:rFonts w:ascii="Google Sans" w:cs="Google Sans" w:eastAsia="Google Sans" w:hAnsi="Google Sans"/>
          <w:color w:val="444746"/>
          <w:sz w:val="24"/>
          <w:szCs w:val="24"/>
          <w:vertAlign w:val="superscript"/>
          <w:rtl w:val="0"/>
        </w:rPr>
        <w:t xml:space="preserve">23</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Upgrading the Statistical Engine: Robust Covariance and Distance Metrics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efficacy of any clustering-based portfolio allocation model, including HRP, is intrinsically linked to the quality of the distance metric used to define the hierarchical relationships between assets.</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 The conventional approach relies on the sample covariance matrix calculated over a rolling historical window to derive the correlation matrix, from which the distance metric is calculated as </w:t>
      </w:r>
      <w:r w:rsidDel="00000000" w:rsidR="00000000" w:rsidRPr="00000000">
        <w:rPr>
          <w:rFonts w:ascii="Google Sans" w:cs="Google Sans" w:eastAsia="Google Sans" w:hAnsi="Google Sans"/>
          <w:color w:val="1f1f1f"/>
        </w:rPr>
        <w:drawing>
          <wp:inline distB="19050" distT="19050" distL="19050" distR="19050">
            <wp:extent cx="1719777" cy="241979"/>
            <wp:effectExtent b="0" l="0" r="0" t="0"/>
            <wp:docPr id="10"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719777" cy="2419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However, sample covariance matrices calculated from daily financial returns are notoriously noisy, as they treat small, random price fluctuations with the same statistical weight as significant, directional market movements.</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The Ledoit-Wolf Shrinkage Estimator</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improve the FRM robustness of the portfolio construction engine, the framework must initially integrate advanced covariance estimation techniques. The Ledoit-Wolf shrinkage estimator provides a critical foundational improvement over the standard sample covariance matrix.</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Financial time series data often presents a dimensionality problem where the number of assets is large relative to the number of historical observations, causing the sample covariance matrix to become ill-conditioned.</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Shrinkage resolves this by computing a weighted average between the highly structured but potentially biased target matrix (such as a constant correlation model) and the unbiased but highly variable sample covariance matrix.</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By pulling extreme, noisy covariance values toward the central target, the Ledoit-Wolf method optimizes the signal-to-noise ratio, significantly reducing estimation error and enhancing the temporal stability of the covariance matrix.</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This stabilization directly translates into lower portfolio turnover, as the clustering algorithm is less likely to re-order the asset hierarchy based on transient statistical noise.</w:t>
      </w:r>
      <w:r w:rsidDel="00000000" w:rsidR="00000000" w:rsidRPr="00000000">
        <w:rPr>
          <w:rFonts w:ascii="Google Sans" w:cs="Google Sans" w:eastAsia="Google Sans" w:hAnsi="Google Sans"/>
          <w:color w:val="444746"/>
          <w:sz w:val="24"/>
          <w:szCs w:val="24"/>
          <w:vertAlign w:val="superscript"/>
          <w:rtl w:val="0"/>
        </w:rPr>
        <w:t xml:space="preserve">32</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Implementing the Gerber Statistic for Robust Co-Movement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While shrinkage improves the conditioning of the matrix, it still relies on the fundamental calculation of Pearson correlation, which is highly sensitive to outliers and assumes a linear relationship between asset returns. To completely insulate the hierarchical clustering process from the distorting effects of extreme, transient anomalies, the framework must implement the Gerber Statistic.</w:t>
      </w:r>
      <w:r w:rsidDel="00000000" w:rsidR="00000000" w:rsidRPr="00000000">
        <w:rPr>
          <w:rFonts w:ascii="Google Sans" w:cs="Google Sans" w:eastAsia="Google Sans" w:hAnsi="Google Sans"/>
          <w:color w:val="444746"/>
          <w:sz w:val="24"/>
          <w:szCs w:val="24"/>
          <w:vertAlign w:val="superscript"/>
          <w:rtl w:val="0"/>
        </w:rPr>
        <w:t xml:space="preserve">34</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Gerber Statistic is a robust measure of co-movement that filters out small, noisy fluctuations and focuses exclusively on simultaneous large movements that breach a predefined threshold.</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 For two asset return series, </w:t>
      </w:r>
      <w:r w:rsidDel="00000000" w:rsidR="00000000" w:rsidRPr="00000000">
        <w:rPr>
          <w:rFonts w:ascii="Google Sans" w:cs="Google Sans" w:eastAsia="Google Sans" w:hAnsi="Google Sans"/>
          <w:color w:val="1f1f1f"/>
        </w:rPr>
        <w:drawing>
          <wp:inline distB="19050" distT="19050" distL="19050" distR="19050">
            <wp:extent cx="67649" cy="270596"/>
            <wp:effectExtent b="0" l="0" r="0" t="0"/>
            <wp:docPr id="1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67649" cy="27059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91868" cy="233845"/>
            <wp:effectExtent b="0" l="0" r="0" t="0"/>
            <wp:docPr id="11"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91868" cy="23384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Gerber correlation </w:t>
      </w:r>
      <w:r w:rsidDel="00000000" w:rsidR="00000000" w:rsidRPr="00000000">
        <w:rPr>
          <w:rFonts w:ascii="Google Sans" w:cs="Google Sans" w:eastAsia="Google Sans" w:hAnsi="Google Sans"/>
          <w:color w:val="1f1f1f"/>
        </w:rPr>
        <w:drawing>
          <wp:inline distB="19050" distT="19050" distL="19050" distR="19050">
            <wp:extent cx="253008" cy="244283"/>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253008" cy="2442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defined based on a threshold </w:t>
      </w:r>
      <w:r w:rsidDel="00000000" w:rsidR="00000000" w:rsidRPr="00000000">
        <w:rPr>
          <w:rFonts w:ascii="Google Sans" w:cs="Google Sans" w:eastAsia="Google Sans" w:hAnsi="Google Sans"/>
          <w:color w:val="1f1f1f"/>
        </w:rPr>
        <w:drawing>
          <wp:inline distB="19050" distT="19050" distL="19050" distR="19050">
            <wp:extent cx="107697" cy="251294"/>
            <wp:effectExtent b="0" l="0" r="0" t="0"/>
            <wp:docPr id="13" name="image26.png"/>
            <a:graphic>
              <a:graphicData uri="http://schemas.openxmlformats.org/drawingml/2006/picture">
                <pic:pic>
                  <pic:nvPicPr>
                    <pic:cNvPr id="0" name="image26.png"/>
                    <pic:cNvPicPr preferRelativeResize="0"/>
                  </pic:nvPicPr>
                  <pic:blipFill>
                    <a:blip r:embed="rId10"/>
                    <a:srcRect b="0" l="0" r="0" t="0"/>
                    <a:stretch>
                      <a:fillRect/>
                    </a:stretch>
                  </pic:blipFill>
                  <pic:spPr>
                    <a:xfrm>
                      <a:off x="0" y="0"/>
                      <a:ext cx="107697" cy="2512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which is typically set as a proportion of the individual asset's historical standard deviation (e.g., </w:t>
      </w:r>
      <w:r w:rsidDel="00000000" w:rsidR="00000000" w:rsidRPr="00000000">
        <w:rPr>
          <w:rFonts w:ascii="Google Sans" w:cs="Google Sans" w:eastAsia="Google Sans" w:hAnsi="Google Sans"/>
          <w:color w:val="1f1f1f"/>
        </w:rPr>
        <w:drawing>
          <wp:inline distB="19050" distT="19050" distL="19050" distR="19050">
            <wp:extent cx="738188" cy="243168"/>
            <wp:effectExtent b="0" l="0" r="0" t="0"/>
            <wp:docPr id="1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738188" cy="24316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 The statistic evaluates the joint behavior of the assets: if both assets simultaneously experience returns that exceed their respective positive thresholds, or both fall below their negative thresholds, the movement is classified as concordant. If one asset breaches the positive threshold while the other breaches the negative threshold, the movement is discordant. Returns that fall within the bounds of the threshold are discarded as noise.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Gerber correlation is then calculated as the ratio of the difference between concordant and discordant movements to their sum:</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668888"/>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05500" cy="668888"/>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226489" cy="243912"/>
            <wp:effectExtent b="0" l="0" r="0" t="0"/>
            <wp:docPr id="1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26489" cy="2439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the total count of concordant joint movements and </w:t>
      </w:r>
      <w:r w:rsidDel="00000000" w:rsidR="00000000" w:rsidRPr="00000000">
        <w:rPr>
          <w:rFonts w:ascii="Google Sans" w:cs="Google Sans" w:eastAsia="Google Sans" w:hAnsi="Google Sans"/>
          <w:color w:val="1f1f1f"/>
        </w:rPr>
        <w:drawing>
          <wp:inline distB="19050" distT="19050" distL="19050" distR="19050">
            <wp:extent cx="238396" cy="247225"/>
            <wp:effectExtent b="0" l="0" r="0" t="0"/>
            <wp:docPr id="1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38396" cy="2472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the total count of discordant movements over the observation window.</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 Integrating the Gerber covariance matrix into the HRP pipeline fundamentally alters the resulting dendrogram.</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Because the Gerber statistic isolates structural, large-scale co-movements, the clustering algorithm identifies genuine, persistent relationships between asset classes and sectors.</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 This ensures that the portfolio's diversification structure remains intact during market shocks, as the underlying distance metrics were formulated specifically on the basis of significant tail behaviors rather than daily random walks.</w:t>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Refining the Allocation Algorithm: From HRP to HERC</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original architectural blueprint correctly identifies Hierarchical Risk Parity (HRP) as the core methodology.</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HRP operates through three distinct stages.</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 First, it calculates the distance matrix (now enhanced via the Gerber statistic). Second, it employs a hierarchical clustering algorithm—typically single-linkage—to group similar assets, resulting in a tree-like structure known as a dendrogram, which is used to quasi-diagonalize the covariance matrix so that highly correlated assets are placed adjacent to one another.</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Third, it executes recursive bisection, a top-down process that splits the ordered covariance matrix into two equal-sized halves at each iteration, calculating the inverse variance of each half to determine the proportional risk allocation until the algorithm reaches the individual asset level.</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The Limitations of Recursive Bisection and Single Linkage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Despite its advantages over MVO, the original formulation of HRP contains two structural weaknesses that limit its application in institutional FRM. First, the default use of single-linkage clustering often results in the "chaining effect," where individual assets are added to a single large cluster one by one, producing a highly unbalanced dendrogram that fails to accurately reflect distinct macroeconomic sectors.</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 Second, the recursive bisection step naively splits the covariance matrix into two equal-sized sub-matrices at each node.</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This arbitrary bisection ignores the actual topological structure and linkage heights of the dendrogram; it effectively forces a symmetric allocation process onto a naturally asymmetric market structure.</w:t>
      </w:r>
      <w:r w:rsidDel="00000000" w:rsidR="00000000" w:rsidRPr="00000000">
        <w:rPr>
          <w:rFonts w:ascii="Google Sans" w:cs="Google Sans" w:eastAsia="Google Sans" w:hAnsi="Google Sans"/>
          <w:color w:val="444746"/>
          <w:sz w:val="24"/>
          <w:szCs w:val="24"/>
          <w:vertAlign w:val="superscript"/>
          <w:rtl w:val="0"/>
        </w:rPr>
        <w:t xml:space="preserve">15</w:t>
      </w:r>
    </w:p>
    <w:p w:rsidR="00000000" w:rsidDel="00000000" w:rsidP="00000000" w:rsidRDefault="00000000" w:rsidRPr="00000000" w14:paraId="00000014">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Transitioning to Hierarchical Equal Risk Contribution (HERC)</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rectify these limitations, the framework must be upgraded to evaluate Hierarchical Equal Risk Contribution (HERC) alongside HRP.</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HERC represents a natural evolution of clustering-based portfolio allocation by explicitly utilizing the shape and linkage distances of the dendrogram during the top-down recursive division.</w:t>
      </w:r>
      <w:r w:rsidDel="00000000" w:rsidR="00000000" w:rsidRPr="00000000">
        <w:rPr>
          <w:rFonts w:ascii="Google Sans" w:cs="Google Sans" w:eastAsia="Google Sans" w:hAnsi="Google Sans"/>
          <w:color w:val="444746"/>
          <w:sz w:val="24"/>
          <w:szCs w:val="24"/>
          <w:vertAlign w:val="superscript"/>
          <w:rtl w:val="0"/>
        </w:rPr>
        <w:t xml:space="preserve">23</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Rather than relying on single linkage, HERC typically employs Ward's variance minimization algorithm, which merges clusters based on the minimum increase in total within-cluster variance.</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This produces much more balanced, cohesive, and economically intuitive clusters that naturally align with specific sectors or asset classes (e.g., grouping all financial equities and ETFs into one distinct branch, and commodities into another).</w:t>
      </w:r>
      <w:r w:rsidDel="00000000" w:rsidR="00000000" w:rsidRPr="00000000">
        <w:rPr>
          <w:rFonts w:ascii="Google Sans" w:cs="Google Sans" w:eastAsia="Google Sans" w:hAnsi="Google Sans"/>
          <w:color w:val="444746"/>
          <w:sz w:val="24"/>
          <w:szCs w:val="24"/>
          <w:vertAlign w:val="superscript"/>
          <w:rtl w:val="0"/>
        </w:rPr>
        <w:t xml:space="preserve">26</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Crucially, instead of arbitrary bisection, HERC allocates risk top-down by calculating the actual risk contribution of the natural clusters identified by the linkage algorithm.</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The algorithm distributes risk equally across the major branches of the dendrogram, and then cascades this equal-risk-contribution principle down through the sub-clusters until the individual asset weights are derived.</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This methodology ensures a mathematically rigorous and theoretically consistent mapping of risk across the portfolio's hierarchical sectors, providing a superior defense against localized sectoral shocks compared to basic HRP.</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By leveraging the Python library skfolio, which natively supports both HierarchicalRiskParity and HierarchicalEqualRiskContribution, the architecture can easily evaluate and deploy the most structurally sound model.</w:t>
      </w:r>
      <w:r w:rsidDel="00000000" w:rsidR="00000000" w:rsidRPr="00000000">
        <w:rPr>
          <w:rFonts w:ascii="Google Sans" w:cs="Google Sans" w:eastAsia="Google Sans" w:hAnsi="Google Sans"/>
          <w:color w:val="444746"/>
          <w:sz w:val="24"/>
          <w:szCs w:val="24"/>
          <w:vertAlign w:val="superscript"/>
          <w:rtl w:val="0"/>
        </w:rPr>
        <w:t xml:space="preserve">18</w:t>
      </w:r>
    </w:p>
    <w:p w:rsidR="00000000" w:rsidDel="00000000" w:rsidP="00000000" w:rsidRDefault="00000000" w:rsidRPr="00000000" w14:paraId="00000018">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Real-World Constraints: Transaction Costs and Turnover Optimization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persistent failure point of theoretical quantitative finance is the assumption of frictionless markets.</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 Academic models frequently generate highly attractive historical Sharpe ratios by dynamically shifting allocations daily or weekly.</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However, in live deployment, high-turnover strategies swiftly erode their theoretical alpha through the continuous accumulation of transaction costs, brokerage fees, bid-ask spreads, and market impact.</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A portfolio management project designed with genuine FRM business sense must explicitly model these frictions, preventing the algorithm from chasing fleeting correlation breakdowns that are mathematically optimal but practically unprofitable to exploit.</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Modeling Weight Drift and Rebalancing Frictions</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dynamic market, the actual weights of a portfolio constantly drift away from their target allocations due to the continuous fluctuation of underlying asset prices.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If a portfolio manager sets a monthly rebalancing schedule, the optimization algorithm must account for the current, drifted state of the portfolio before generating new target weights. If the marginal reduction in forecasted portfolio risk offered by the new optimal weights does not exceed the financial cost required to execute the necessary trades, the optimal decision from an FRM perspective is to retain the existing, drifted allocations.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align with institutional standards, the objective function must be modified from a pure risk-minimization problem to a net-of-costs optimization framework.</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By utilizing the comprehensive constraint features of the skfolio library, transaction costs and management fees can be directly embedded into the optimization logic.</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99565" cy="242949"/>
            <wp:effectExtent b="0" l="0" r="0" t="0"/>
            <wp:docPr id="21"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199565" cy="2429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 the optimal target weight vector at time </w:t>
      </w:r>
      <w:r w:rsidDel="00000000" w:rsidR="00000000" w:rsidRPr="00000000">
        <w:rPr>
          <w:rFonts w:ascii="Google Sans" w:cs="Google Sans" w:eastAsia="Google Sans" w:hAnsi="Google Sans"/>
          <w:color w:val="1f1f1f"/>
        </w:rPr>
        <w:drawing>
          <wp:inline distB="19050" distT="19050" distL="19050" distR="19050">
            <wp:extent cx="70761" cy="283044"/>
            <wp:effectExtent b="0" l="0" r="0" t="0"/>
            <wp:docPr id="19"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70761" cy="2830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306315" cy="245052"/>
            <wp:effectExtent b="0" l="0" r="0" t="0"/>
            <wp:docPr id="20"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306315" cy="24505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 the pre-rebalance weights resulting from the price drift over the previous holding period.</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The total portfolio turnover is defined as the sum of the absolute differences in weights: </w:t>
      </w:r>
      <w:r w:rsidDel="00000000" w:rsidR="00000000" w:rsidRPr="00000000">
        <w:rPr>
          <w:rFonts w:ascii="Google Sans" w:cs="Google Sans" w:eastAsia="Google Sans" w:hAnsi="Google Sans"/>
          <w:color w:val="1f1f1f"/>
        </w:rPr>
        <w:drawing>
          <wp:inline distB="19050" distT="19050" distL="19050" distR="19050">
            <wp:extent cx="1264768" cy="242558"/>
            <wp:effectExtent b="0" l="0" r="0" t="0"/>
            <wp:docPr id="22"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64768" cy="24255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transaction cost constraint penalizes the objective function based on a specific vector of trading costs associated with each asset.</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For the Indian equity and ETF universe, realistic assumptions must include a transaction cost of approximately 10 to 15 basis points (0.10% - 0.15%) per trade.</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 This figure accurately reflects the aggregate burden of standard institutional brokerage fees, the Securities Transaction Tax (STT) applicable in the Indian market, exchange transaction charges, and anticipated slippage.</w:t>
      </w:r>
      <w:r w:rsidDel="00000000" w:rsidR="00000000" w:rsidRPr="00000000">
        <w:rPr>
          <w:rFonts w:ascii="Google Sans" w:cs="Google Sans" w:eastAsia="Google Sans" w:hAnsi="Google Sans"/>
          <w:color w:val="444746"/>
          <w:sz w:val="24"/>
          <w:szCs w:val="24"/>
          <w:vertAlign w:val="superscript"/>
          <w:rtl w:val="0"/>
        </w:rPr>
        <w:t xml:space="preserve">43</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Furthermore, the architecture can enforce a strict maximum turnover limit (e.g., restricting total monthly portfolio turnover to a maximum of 20%).</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By invoking skfolio's needs_previous_weights parameter during the cross-validation process, the backtesting engine is forced to run sequentially, continuously passing the post-drift weights from one rebalancing period to the next.</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This ensures that the simulated historical performance is a true reflection of deployable, net-of-fee capital growth, establishing a standard of rigor rarely seen in standard academic projects.</w:t>
      </w:r>
      <w:r w:rsidDel="00000000" w:rsidR="00000000" w:rsidRPr="00000000">
        <w:rPr>
          <w:rFonts w:ascii="Google Sans" w:cs="Google Sans" w:eastAsia="Google Sans" w:hAnsi="Google Sans"/>
          <w:color w:val="444746"/>
          <w:sz w:val="24"/>
          <w:szCs w:val="24"/>
          <w:vertAlign w:val="superscript"/>
          <w:rtl w:val="0"/>
        </w:rPr>
        <w:t xml:space="preserve">16</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Market Regime Detection and Dynamic Volatility Targeting</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Static asset allocation models operate on the assumption of a stationary return distribution—an assumption that is consistently and violently violated in global financial markets.</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Financial history is characterized by alternating regimes: prolonged periods of low volatility and steady growth (bull markets) punctuated by sudden, violent transitions into high volatility, high correlation, and severe drawdowns (crises).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While hierarchical clustering improves risk distribution across assets, any strategy that maintains a static exposure level will suffer massive absolute capital losses during a systemic shock.</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To survive these structural breaks, the portfolio architecture requires a probabilistic intelligence layer capable of parsing non-linear market regimes and dynamically adapting the aggregate risk posture.</w:t>
      </w:r>
      <w:r w:rsidDel="00000000" w:rsidR="00000000" w:rsidRPr="00000000">
        <w:rPr>
          <w:rFonts w:ascii="Google Sans" w:cs="Google Sans" w:eastAsia="Google Sans" w:hAnsi="Google Sans"/>
          <w:color w:val="444746"/>
          <w:sz w:val="24"/>
          <w:szCs w:val="24"/>
          <w:vertAlign w:val="superscript"/>
          <w:rtl w:val="0"/>
        </w:rPr>
        <w:t xml:space="preserve">7</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Markov-Switching Autoregression Models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identify underlying market regimes without relying on arbitrary, lagging moving averages or fixed rolling-window thresholds, the framework must deploy probabilistic regime-switching models.</w:t>
      </w:r>
      <w:r w:rsidDel="00000000" w:rsidR="00000000" w:rsidRPr="00000000">
        <w:rPr>
          <w:rFonts w:ascii="Google Sans" w:cs="Google Sans" w:eastAsia="Google Sans" w:hAnsi="Google Sans"/>
          <w:color w:val="444746"/>
          <w:sz w:val="24"/>
          <w:szCs w:val="24"/>
          <w:vertAlign w:val="superscript"/>
          <w:rtl w:val="0"/>
        </w:rPr>
        <w:t xml:space="preserve">19</w:t>
      </w:r>
      <w:r w:rsidDel="00000000" w:rsidR="00000000" w:rsidRPr="00000000">
        <w:rPr>
          <w:rFonts w:ascii="Google Sans" w:cs="Google Sans" w:eastAsia="Google Sans" w:hAnsi="Google Sans"/>
          <w:color w:val="1f1f1f"/>
          <w:rtl w:val="0"/>
        </w:rPr>
        <w:t xml:space="preserve"> The Markov Autoregression model provides a mathematically rigorous foundation for this component, allowing the system to infer the hidden state of the market purely from the observable behavior of asset returns.</w:t>
      </w:r>
      <w:r w:rsidDel="00000000" w:rsidR="00000000" w:rsidRPr="00000000">
        <w:rPr>
          <w:rFonts w:ascii="Google Sans" w:cs="Google Sans" w:eastAsia="Google Sans" w:hAnsi="Google Sans"/>
          <w:color w:val="444746"/>
          <w:sz w:val="24"/>
          <w:szCs w:val="24"/>
          <w:vertAlign w:val="superscript"/>
          <w:rtl w:val="0"/>
        </w:rPr>
        <w:t xml:space="preserve">19</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core assumption is that the market environment is governed by </w:t>
      </w:r>
      <w:r w:rsidDel="00000000" w:rsidR="00000000" w:rsidRPr="00000000">
        <w:rPr>
          <w:rFonts w:ascii="Google Sans" w:cs="Google Sans" w:eastAsia="Google Sans" w:hAnsi="Google Sans"/>
          <w:color w:val="1f1f1f"/>
        </w:rPr>
        <w:drawing>
          <wp:inline distB="19050" distT="19050" distL="19050" distR="19050">
            <wp:extent cx="108238" cy="252556"/>
            <wp:effectExtent b="0" l="0" r="0" t="0"/>
            <wp:docPr id="23"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108238" cy="25255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distinct, unobservable states. For example, setting </w:t>
      </w:r>
      <w:r w:rsidDel="00000000" w:rsidR="00000000" w:rsidRPr="00000000">
        <w:rPr>
          <w:rFonts w:ascii="Google Sans" w:cs="Google Sans" w:eastAsia="Google Sans" w:hAnsi="Google Sans"/>
          <w:color w:val="1f1f1f"/>
        </w:rPr>
        <w:drawing>
          <wp:inline distB="19050" distT="19050" distL="19050" distR="19050">
            <wp:extent cx="467456" cy="246958"/>
            <wp:effectExtent b="0" l="0" r="0" t="0"/>
            <wp:docPr id="24"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467456" cy="24695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models the market as fluctuating between a Low-Volatility/Expansion regime and a High-Volatility/Contraction regime, while </w:t>
      </w:r>
      <w:r w:rsidDel="00000000" w:rsidR="00000000" w:rsidRPr="00000000">
        <w:rPr>
          <w:rFonts w:ascii="Google Sans" w:cs="Google Sans" w:eastAsia="Google Sans" w:hAnsi="Google Sans"/>
          <w:color w:val="1f1f1f"/>
        </w:rPr>
        <w:drawing>
          <wp:inline distB="19050" distT="19050" distL="19050" distR="19050">
            <wp:extent cx="467456" cy="246958"/>
            <wp:effectExtent b="0" l="0" r="0" t="0"/>
            <wp:docPr id="25"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467456" cy="24695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could introduce a distinct Correlation-Shock/Crisis state.</w:t>
      </w:r>
      <w:r w:rsidDel="00000000" w:rsidR="00000000" w:rsidRPr="00000000">
        <w:rPr>
          <w:rFonts w:ascii="Google Sans" w:cs="Google Sans" w:eastAsia="Google Sans" w:hAnsi="Google Sans"/>
          <w:color w:val="444746"/>
          <w:sz w:val="24"/>
          <w:szCs w:val="24"/>
          <w:vertAlign w:val="superscript"/>
          <w:rtl w:val="0"/>
        </w:rPr>
        <w:t xml:space="preserve">51</w:t>
      </w:r>
      <w:r w:rsidDel="00000000" w:rsidR="00000000" w:rsidRPr="00000000">
        <w:rPr>
          <w:rFonts w:ascii="Google Sans" w:cs="Google Sans" w:eastAsia="Google Sans" w:hAnsi="Google Sans"/>
          <w:color w:val="1f1f1f"/>
          <w:rtl w:val="0"/>
        </w:rPr>
        <w:t xml:space="preserve"> The state variable </w:t>
      </w:r>
      <w:r w:rsidDel="00000000" w:rsidR="00000000" w:rsidRPr="00000000">
        <w:rPr>
          <w:rFonts w:ascii="Google Sans" w:cs="Google Sans" w:eastAsia="Google Sans" w:hAnsi="Google Sans"/>
          <w:color w:val="1f1f1f"/>
        </w:rPr>
        <w:drawing>
          <wp:inline distB="19050" distT="19050" distL="19050" distR="19050">
            <wp:extent cx="179405" cy="251167"/>
            <wp:effectExtent b="0" l="0" r="0" t="0"/>
            <wp:docPr id="26"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179405" cy="25116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dictates the mean and variance of the return distribution at any given time, and transitions between these states according to a Markov probability matrix </w:t>
      </w:r>
      <w:r w:rsidDel="00000000" w:rsidR="00000000" w:rsidRPr="00000000">
        <w:rPr>
          <w:rFonts w:ascii="Google Sans" w:cs="Google Sans" w:eastAsia="Google Sans" w:hAnsi="Google Sans"/>
          <w:color w:val="1f1f1f"/>
        </w:rPr>
        <w:drawing>
          <wp:inline distB="19050" distT="19050" distL="19050" distR="19050">
            <wp:extent cx="153022" cy="252036"/>
            <wp:effectExtent b="0" l="0" r="0" t="0"/>
            <wp:docPr id="27"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153022" cy="252036"/>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518238"/>
            <wp:effectExtent b="0" l="0" r="0" t="0"/>
            <wp:docPr id="28"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905500" cy="518238"/>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219860" cy="246243"/>
            <wp:effectExtent b="0" l="0" r="0" t="0"/>
            <wp:docPr id="29"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219860" cy="2462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represents the transition probability of moving from regime </w:t>
      </w:r>
      <w:r w:rsidDel="00000000" w:rsidR="00000000" w:rsidRPr="00000000">
        <w:rPr>
          <w:rFonts w:ascii="Google Sans" w:cs="Google Sans" w:eastAsia="Google Sans" w:hAnsi="Google Sans"/>
          <w:color w:val="1f1f1f"/>
        </w:rPr>
        <w:drawing>
          <wp:inline distB="19050" distT="19050" distL="19050" distR="19050">
            <wp:extent cx="67649" cy="270596"/>
            <wp:effectExtent b="0" l="0" r="0" t="0"/>
            <wp:docPr id="1"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67649" cy="27059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to regime </w:t>
      </w:r>
      <w:r w:rsidDel="00000000" w:rsidR="00000000" w:rsidRPr="00000000">
        <w:rPr>
          <w:rFonts w:ascii="Google Sans" w:cs="Google Sans" w:eastAsia="Google Sans" w:hAnsi="Google Sans"/>
          <w:color w:val="1f1f1f"/>
        </w:rPr>
        <w:drawing>
          <wp:inline distB="19050" distT="19050" distL="19050" distR="19050">
            <wp:extent cx="91868" cy="233845"/>
            <wp:effectExtent b="0" l="0" r="0" t="0"/>
            <wp:docPr id="2"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91868" cy="23384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51</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implementing statsmodels.tsa.regime_switching.markov_autoregression, the analytical engine can process the historical return series of the broad market index to extract smoothed and filtered state probabilities.</w:t>
      </w:r>
      <w:r w:rsidDel="00000000" w:rsidR="00000000" w:rsidRPr="00000000">
        <w:rPr>
          <w:rFonts w:ascii="Google Sans" w:cs="Google Sans" w:eastAsia="Google Sans" w:hAnsi="Google Sans"/>
          <w:color w:val="444746"/>
          <w:sz w:val="24"/>
          <w:szCs w:val="24"/>
          <w:vertAlign w:val="superscript"/>
          <w:rtl w:val="0"/>
        </w:rPr>
        <w:t xml:space="preserve">19</w:t>
      </w:r>
      <w:r w:rsidDel="00000000" w:rsidR="00000000" w:rsidRPr="00000000">
        <w:rPr>
          <w:rFonts w:ascii="Google Sans" w:cs="Google Sans" w:eastAsia="Google Sans" w:hAnsi="Google Sans"/>
          <w:color w:val="1f1f1f"/>
          <w:rtl w:val="0"/>
        </w:rPr>
        <w:t xml:space="preserve"> The Kim smoother and Hamilton filter algorithms work continuously to evaluate the likelihood that the market has transitioned into a new regime.</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When the probability of existing within the high-volatility regime exceeds a specific confidence threshold, this probabilistic output serves as a direct, algorithmic trigger for the Dynamic Risk Allocation Layer.</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Dynamic Volatility Targeting and Defensive Scaling</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Risk parity methodologies, including HRP and HERC, inherently equalize risk contributions across the portfolio.</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In practice, this often requires applying leverage or increasing capital allocation to lower-volatility assets (such as bonds or defensive sectors) to match the risk contribution of high-volatility equities.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However, during regime transitions, the absolute volatility of all asset classes typically surges simultaneously.</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If the portfolio maintains a fully invested stance during a Markov-detected transition into a "Crisis" regime, the absolute risk of the portfolio will explode, resulting in severe left-tail drawdowns.</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To mitigate this, volatility targeting must be implemented as a critical FRM overlay.</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Volatility targeting is a systematic mechanism that dynamically scales the portfolio's overall market exposure inversely to the forecasted portfolio volatility, ensuring the absolute risk level remains constant over time.</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493163" cy="242255"/>
            <wp:effectExtent b="0" l="0" r="0" t="0"/>
            <wp:docPr id="3"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493163" cy="2422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 the desired, fixed annualized portfolio volatility determined by the investor's risk mandate, and let </w:t>
      </w:r>
      <w:r w:rsidDel="00000000" w:rsidR="00000000" w:rsidRPr="00000000">
        <w:rPr>
          <w:rFonts w:ascii="Google Sans" w:cs="Google Sans" w:eastAsia="Google Sans" w:hAnsi="Google Sans"/>
          <w:color w:val="1f1f1f"/>
        </w:rPr>
        <w:drawing>
          <wp:inline distB="19050" distT="19050" distL="19050" distR="19050">
            <wp:extent cx="641720" cy="246139"/>
            <wp:effectExtent b="0" l="0" r="0" t="0"/>
            <wp:docPr id="4"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641720" cy="246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represent the conditional volatility for the upcoming period, forecasted using an exponentially weighted moving average (EWMA) or a GARCH model.</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The dynamic exposure scalar </w:t>
      </w:r>
      <w:r w:rsidDel="00000000" w:rsidR="00000000" w:rsidRPr="00000000">
        <w:rPr>
          <w:rFonts w:ascii="Google Sans" w:cs="Google Sans" w:eastAsia="Google Sans" w:hAnsi="Google Sans"/>
          <w:color w:val="1f1f1f"/>
        </w:rPr>
        <w:drawing>
          <wp:inline distB="19050" distT="19050" distL="19050" distR="19050">
            <wp:extent cx="161411" cy="251083"/>
            <wp:effectExtent b="0" l="0" r="0" t="0"/>
            <wp:docPr id="5"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161411" cy="2510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determined by the ratio:</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699018"/>
            <wp:effectExtent b="0" l="0" r="0" t="0"/>
            <wp:docPr id="6"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905500" cy="699018"/>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Under normal regime conditions where </w:t>
      </w:r>
      <w:r w:rsidDel="00000000" w:rsidR="00000000" w:rsidRPr="00000000">
        <w:rPr>
          <w:rFonts w:ascii="Google Sans" w:cs="Google Sans" w:eastAsia="Google Sans" w:hAnsi="Google Sans"/>
          <w:color w:val="1f1f1f"/>
        </w:rPr>
        <w:drawing>
          <wp:inline distB="19050" distT="19050" distL="19050" distR="19050">
            <wp:extent cx="1396146" cy="242808"/>
            <wp:effectExtent b="0" l="0" r="0" t="0"/>
            <wp:docPr id="7"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1396146" cy="2428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520628" cy="242960"/>
            <wp:effectExtent b="0" l="0" r="0" t="0"/>
            <wp:docPr id="8"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20628" cy="2429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the portfolio remains fully invested across the HERC allocations.</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However, when the Markov model detects a regime shift and the forecasted volatility spikes such that </w:t>
      </w:r>
      <w:r w:rsidDel="00000000" w:rsidR="00000000" w:rsidRPr="00000000">
        <w:rPr>
          <w:rFonts w:ascii="Google Sans" w:cs="Google Sans" w:eastAsia="Google Sans" w:hAnsi="Google Sans"/>
          <w:color w:val="1f1f1f"/>
        </w:rPr>
        <w:drawing>
          <wp:inline distB="19050" distT="19050" distL="19050" distR="19050">
            <wp:extent cx="1396146" cy="242808"/>
            <wp:effectExtent b="0" l="0" r="0" t="0"/>
            <wp:docPr id="9"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1396146" cy="2428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scalar drops below 1.</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The dynamic risk layer automatically deleverages the portfolio, liquidating a proportional fraction of all risky assets and shifting that capital into cash equivalents or ultra-safe defensive instruments, such as Indian liquid ETFs (e.g., LIQUIDBEES.NS).</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This volatility scaling mechanism protects the portfolio against the catastrophic drawdowns that occur when traditional cross-asset diversification breaks down.</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Financial NLP and Systemic Uncertainty Extraction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While statistical models excel at parsing historical price data, they are fundamentally backward-looking.</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They react to correlation shocks only after the price damage has begun to manifest in the covariance matrix. To elevate the portfolio architecture from a reactive statistical engine to a proactive, forward-looking risk management platform, the system must integrate advanced Financial Natural Language Processing (NLP).</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objective of this module is not the futile attempt to predict short-term stock price movements, but rather the systematic quantification of macroeconomic stress, shifting forward guidance, and systemic uncertainty, which collectively act as leading indicators for regime shifts and correlation breakdowns.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align with the vanguard of institutional quantitative research, the architecture must discard generalized sentiment analyzers (such as standard VADER or basic dictionary methods) in favor of transformer-based large language models (LLMs) fine-tuned specifically on complex financial and central bank lexicons.</w:t>
      </w:r>
      <w:r w:rsidDel="00000000" w:rsidR="00000000" w:rsidRPr="00000000">
        <w:rPr>
          <w:rFonts w:ascii="Google Sans" w:cs="Google Sans" w:eastAsia="Google Sans" w:hAnsi="Google Sans"/>
          <w:color w:val="444746"/>
          <w:sz w:val="24"/>
          <w:szCs w:val="24"/>
          <w:vertAlign w:val="superscript"/>
          <w:rtl w:val="0"/>
        </w:rPr>
        <w:t xml:space="preserve">58</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Macro-Sentiment: Parsing Central Bank Communications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Global and domestic liquidity—dictated almost entirely by central bank monetary policy—serves as the primary driver of correlation regimes across all asset classes.</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Anticipating shifts in the interest rate cycle is paramount for an adaptive portfolio.</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Therefore, the NLP module must systematically ingest and process the Monetary Policy Committee (MPC) meeting minutes, governor speeches, and macroeconomic reports issued by the Reserve Bank of India (RBI).</w:t>
      </w:r>
      <w:r w:rsidDel="00000000" w:rsidR="00000000" w:rsidRPr="00000000">
        <w:rPr>
          <w:rFonts w:ascii="Google Sans" w:cs="Google Sans" w:eastAsia="Google Sans" w:hAnsi="Google Sans"/>
          <w:color w:val="444746"/>
          <w:sz w:val="24"/>
          <w:szCs w:val="24"/>
          <w:vertAlign w:val="superscript"/>
          <w:rtl w:val="0"/>
        </w:rPr>
        <w:t xml:space="preserve">61</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operationalize this macro-sentiment engine, the framework will utilize the comprehensive WorldCentralBanks (WCB) codebase and the corresponding reserve_bank_of_india datasets and models available on the Hugging Face repository (gtfintechlab).</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These advanced RoBERTa-based models have been meticulously fine-tuned by researchers to execute three core classification tasks on central bank texts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Stance Detection</w:t>
      </w:r>
      <w:r w:rsidDel="00000000" w:rsidR="00000000" w:rsidRPr="00000000">
        <w:rPr>
          <w:rFonts w:ascii="Google Sans" w:cs="Google Sans" w:eastAsia="Google Sans" w:hAnsi="Google Sans"/>
          <w:color w:val="1f1f1f"/>
          <w:rtl w:val="0"/>
        </w:rPr>
        <w:t xml:space="preserve"> (model_reserve_bank_of_india_stance_label): This model classifies sentences into Hawkish, Dovish, or Neutral categories, providing direct, quantitative insight into the central bank's bias toward monetary tightening or easing.</w:t>
      </w:r>
      <w:r w:rsidDel="00000000" w:rsidR="00000000" w:rsidRPr="00000000">
        <w:rPr>
          <w:rFonts w:ascii="Google Sans" w:cs="Google Sans" w:eastAsia="Google Sans" w:hAnsi="Google Sans"/>
          <w:color w:val="444746"/>
          <w:sz w:val="24"/>
          <w:szCs w:val="24"/>
          <w:vertAlign w:val="superscript"/>
          <w:rtl w:val="0"/>
        </w:rPr>
        <w:t xml:space="preserve">65</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Uncertainty Estimation</w:t>
      </w:r>
      <w:r w:rsidDel="00000000" w:rsidR="00000000" w:rsidRPr="00000000">
        <w:rPr>
          <w:rFonts w:ascii="Google Sans" w:cs="Google Sans" w:eastAsia="Google Sans" w:hAnsi="Google Sans"/>
          <w:color w:val="1f1f1f"/>
          <w:rtl w:val="0"/>
        </w:rPr>
        <w:t xml:space="preserve"> (model_reserve_bank_of_india_certain_label): This model measures the confidence level embedded in the central bank's economic projections, detecting rising systemic doubt before it manifests in market volatility.</w:t>
      </w:r>
      <w:r w:rsidDel="00000000" w:rsidR="00000000" w:rsidRPr="00000000">
        <w:rPr>
          <w:rFonts w:ascii="Google Sans" w:cs="Google Sans" w:eastAsia="Google Sans" w:hAnsi="Google Sans"/>
          <w:color w:val="444746"/>
          <w:sz w:val="24"/>
          <w:szCs w:val="24"/>
          <w:vertAlign w:val="superscript"/>
          <w:rtl w:val="0"/>
        </w:rPr>
        <w:t xml:space="preserve">66</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Temporal Classification</w:t>
      </w:r>
      <w:r w:rsidDel="00000000" w:rsidR="00000000" w:rsidRPr="00000000">
        <w:rPr>
          <w:rFonts w:ascii="Google Sans" w:cs="Google Sans" w:eastAsia="Google Sans" w:hAnsi="Google Sans"/>
          <w:color w:val="1f1f1f"/>
          <w:rtl w:val="0"/>
        </w:rPr>
        <w:t xml:space="preserve"> (model_reserve_bank_of_india_time_label): This model identifies whether the rhetoric refers to historical, backward-looking data or forward-looking policy guidance.</w:t>
      </w:r>
      <w:r w:rsidDel="00000000" w:rsidR="00000000" w:rsidRPr="00000000">
        <w:rPr>
          <w:rFonts w:ascii="Google Sans" w:cs="Google Sans" w:eastAsia="Google Sans" w:hAnsi="Google Sans"/>
          <w:color w:val="444746"/>
          <w:sz w:val="24"/>
          <w:szCs w:val="24"/>
          <w:vertAlign w:val="superscript"/>
          <w:rtl w:val="0"/>
        </w:rPr>
        <w:t xml:space="preserve">67</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feeding the latest RBI minutes through this pipeline, the system generates a composite Macro-Stance Index.</w:t>
      </w:r>
      <w:r w:rsidDel="00000000" w:rsidR="00000000" w:rsidRPr="00000000">
        <w:rPr>
          <w:rFonts w:ascii="Google Sans" w:cs="Google Sans" w:eastAsia="Google Sans" w:hAnsi="Google Sans"/>
          <w:color w:val="444746"/>
          <w:sz w:val="24"/>
          <w:szCs w:val="24"/>
          <w:vertAlign w:val="superscript"/>
          <w:rtl w:val="0"/>
        </w:rPr>
        <w:t xml:space="preserve">60</w:t>
      </w:r>
      <w:r w:rsidDel="00000000" w:rsidR="00000000" w:rsidRPr="00000000">
        <w:rPr>
          <w:rFonts w:ascii="Google Sans" w:cs="Google Sans" w:eastAsia="Google Sans" w:hAnsi="Google Sans"/>
          <w:color w:val="1f1f1f"/>
          <w:rtl w:val="0"/>
        </w:rPr>
        <w:t xml:space="preserve"> When the NLP engine detects a sustained, multi-month shift toward a Hawkish stance coupled with rising Uncertainty scores, it serves as a powerful early warning indicator of impending liquidity contraction.</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Dynamic Risk Allocation Layer interprets this quantitative signal by overriding the baseline optimization parameters—for instance, by reducing maximum concentration limits for high-beta cyclical sectors and forcing higher baseline allocations to defensive cluster groups (such as FMCG or Pharmaceuticals) prior to the realization of the correlation shock.</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Micro-Sentiment: Extracting Sector-Level Risk from Earnings Calls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While macroeconomic reports govern broad market regimes, the nuanced dynamics that drive intra-market correlation shifts originate at the corporate and sectoral levels.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Executive management discussions regarding supply chain bottlenecks, margin compression, demand deceleration, or regulatory hurdles during quarterly earnings calls frequently precede structural revaluations of entire industry sectors.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capture this localized risk, the framework will integrate the </w:t>
      </w:r>
      <w:r w:rsidDel="00000000" w:rsidR="00000000" w:rsidRPr="00000000">
        <w:rPr>
          <w:rFonts w:ascii="Google Sans" w:cs="Google Sans" w:eastAsia="Google Sans" w:hAnsi="Google Sans"/>
          <w:b w:val="1"/>
          <w:bCs w:val="1"/>
          <w:color w:val="1f1f1f"/>
          <w:rtl w:val="0"/>
        </w:rPr>
        <w:t xml:space="preserve">MiMIC (Multi-Modal Indian Earnings Calls)</w:t>
      </w:r>
      <w:r w:rsidDel="00000000" w:rsidR="00000000" w:rsidRPr="00000000">
        <w:rPr>
          <w:rFonts w:ascii="Google Sans" w:cs="Google Sans" w:eastAsia="Google Sans" w:hAnsi="Google Sans"/>
          <w:color w:val="1f1f1f"/>
          <w:rtl w:val="0"/>
        </w:rPr>
        <w:t xml:space="preserve"> dataset, accessible via Hugging Face (sohomghosh/MiMIC_Multi-Modal_Indian_Earnings_Calls_Dataset).</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The MiMIC dataset represents a groundbreaking resource specifically curated for the Indian financial market, encompassing extensive transcripts, accompanying presentation visuals, and corresponding corporate fundamental indicators for companies representing the Nifty 50, Nifty MidCap 50, and Nifty SmallCap 50 indices.</w:t>
      </w:r>
      <w:r w:rsidDel="00000000" w:rsidR="00000000" w:rsidRPr="00000000">
        <w:rPr>
          <w:rFonts w:ascii="Google Sans" w:cs="Google Sans" w:eastAsia="Google Sans" w:hAnsi="Google Sans"/>
          <w:color w:val="444746"/>
          <w:sz w:val="24"/>
          <w:szCs w:val="24"/>
          <w:vertAlign w:val="superscript"/>
          <w:rtl w:val="0"/>
        </w:rPr>
        <w:t xml:space="preserve">21</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deploying sentiment and uncertainty extraction algorithms across the textual transcripts of the MiMIC dataset, the NLP module generates a continuous, cross-sectional Sector-Level Risk Index.</w:t>
      </w:r>
      <w:r w:rsidDel="00000000" w:rsidR="00000000" w:rsidRPr="00000000">
        <w:rPr>
          <w:rFonts w:ascii="Google Sans" w:cs="Google Sans" w:eastAsia="Google Sans" w:hAnsi="Google Sans"/>
          <w:color w:val="444746"/>
          <w:sz w:val="24"/>
          <w:szCs w:val="24"/>
          <w:vertAlign w:val="superscript"/>
          <w:rtl w:val="0"/>
        </w:rPr>
        <w:t xml:space="preserve">56</w:t>
      </w:r>
      <w:r w:rsidDel="00000000" w:rsidR="00000000" w:rsidRPr="00000000">
        <w:rPr>
          <w:rFonts w:ascii="Google Sans" w:cs="Google Sans" w:eastAsia="Google Sans" w:hAnsi="Google Sans"/>
          <w:color w:val="1f1f1f"/>
          <w:rtl w:val="0"/>
        </w:rPr>
        <w:t xml:space="preserve"> If, for example, the aggregation of sentiment scores across the Information Technology sector reveals elevated uncertainty language regarding international export demand or visa regulations, the portfolio engine registers a high sector-specific risk penalty.</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This micro-sentiment output is fused seamlessly with the quantitative allocation engine. Rather than using the NLP scores to predict directional price movements, the scores are utilized to adjust the expected risk inputs or the distance metrics within the hierarchical clustering algorithm.</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The HERC algorithm naturally accommodates this by artificially inflating the perceived variance of the IT cluster, resulting in an organic, sentiment-adjusted reduction in capital allocation to that specific branch of the dendrogram.</w:t>
      </w:r>
      <w:r w:rsidDel="00000000" w:rsidR="00000000" w:rsidRPr="00000000">
        <w:rPr>
          <w:rFonts w:ascii="Google Sans" w:cs="Google Sans" w:eastAsia="Google Sans" w:hAnsi="Google Sans"/>
          <w:color w:val="444746"/>
          <w:sz w:val="24"/>
          <w:szCs w:val="24"/>
          <w:vertAlign w:val="superscript"/>
          <w:rtl w:val="0"/>
        </w:rPr>
        <w:t xml:space="preserve">56</w:t>
      </w:r>
    </w:p>
    <w:p w:rsidR="00000000" w:rsidDel="00000000" w:rsidP="00000000" w:rsidRDefault="00000000" w:rsidRPr="00000000" w14:paraId="0000003C">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Asset Universe and Industry-Standard Data Sourcing</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selection of the underlying asset universe is paramount; it dictates the fundamental efficacy of the hierarchical clustering algorithm.</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A portfolio composed entirely of randomly selected equities from a single sector will lack the necessary topological diversity, rendering the output of an advanced algorithm like HERC indistinguishable from basic, naive equal weighting.</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Conversely, a meticulously curated universe containing diversified large-capitalization equities combined with sector-specific Exchange Traded Funds (ETFs) guarantees a rich, multi-layered topology of inter-sector and intra-sector correlation dynamics.</w:t>
      </w:r>
      <w:r w:rsidDel="00000000" w:rsidR="00000000" w:rsidRPr="00000000">
        <w:rPr>
          <w:rFonts w:ascii="Google Sans" w:cs="Google Sans" w:eastAsia="Google Sans" w:hAnsi="Google Sans"/>
          <w:color w:val="444746"/>
          <w:sz w:val="24"/>
          <w:szCs w:val="24"/>
          <w:vertAlign w:val="superscript"/>
          <w:rtl w:val="0"/>
        </w:rPr>
        <w:t xml:space="preserve">55</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The Indian Equity and ETF Universe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capture the full spectrum of market regimes and facilitate effective sector rotation strategies, the proposed portfolio universe comprises 25 highly liquid, representative instruments actively traded on the National Stock Exchange of India (NSE).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deliberate integration of ETFs provides broad, pure-play macroeconomic sector exposures, while the inclusion of individual high-capitalization equities allows the algorithm to exploit granular, intra-sector correlation structures and idiosyncratic volatility.</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inclusion of non-correlated defensive assets—specifically Gold and Silver ETFs—is crucial, as they serve as natural structural hedges that the clustering algorithm will isolate into distinct, low-correlation branches of the dendrogram, drawing capital naturally during periods of equity market stress.</w:t>
      </w:r>
      <w:r w:rsidDel="00000000" w:rsidR="00000000" w:rsidRPr="00000000">
        <w:rPr>
          <w:rFonts w:ascii="Google Sans" w:cs="Google Sans" w:eastAsia="Google Sans" w:hAnsi="Google Sans"/>
          <w:color w:val="444746"/>
          <w:sz w:val="24"/>
          <w:szCs w:val="24"/>
          <w:vertAlign w:val="superscript"/>
          <w:rtl w:val="0"/>
        </w:rPr>
        <w:t xml:space="preserve">55</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Asset Category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Description &amp; Representative Assets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Exact NSE Ticker (Yahoo Finance)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Broad Market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 50 Benchmark ETF, Nifty Next 50 ETF</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NIFTYBEES.NS, JUNIORBEES.NS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Financial &amp; Banking</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 Bank ETF, HDFC Bank, ICICI Bank</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BANKBEES.NS, HDFCBANK.NS, ICICIBANK.NS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Information Technology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 IT ETF, Tata Consultancy Services, Infosys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ITBEES.NS, TCS.NS, INFY.NS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FMCG &amp; Consumption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 Consumption ETF, ITC Ltd, Hindustan Unilever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CONSUMBEES.NS, ITC.NS, HINDUNILVR.NS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Pharmaceuticals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NIFTY Pharma ETF, Sun Pharmaceutical Industries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PHARMABEES.NS, SUNPHARMA.NS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Energy &amp; Infrastructure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Reliance Industries, Larsen &amp; Toubro, Infra ETF</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RELIANCE.NS, LT.NS, INFRA_BEES.NS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Commodities / Defensive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Gold ETF, Silver ETF, Liquid ETF (Overnight rate)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GOLDBEES.NS, SILVERBEES.NS, LIQUIDBEES.NS</w:t>
            </w:r>
          </w:p>
        </w:tc>
      </w:tr>
    </w:tbl>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(Data for these precise tickers is readily accessible and seamlessly downloadable via the yfinance Python library, facilitating automated, daily updates for the rolling backtesting engine and dynamic dashboards.</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Verified Open-Source Dataset Infrastructure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guarantee absolute reproducibility, maintain strict academic and professional rigor, and ensure adherence to industry standards, the project sources all historical price volumes, alternative data, and pre-trained sentiment models from specific, verifiable open-source repositories. The exact access points are detailed below:</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Data Component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Source Description &amp; Relevance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Exact URL / Access Point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Indian Equities (Long History)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Kaggle: "20-years-indian-stock-market-data" dataset containing unadjusted and adjusted daily closing prices of BSE/NSE stocks from 2000 to 2026.</w:t>
            </w:r>
            <w:r w:rsidDel="00000000" w:rsidR="00000000" w:rsidRPr="00000000">
              <w:rPr>
                <w:rFonts w:ascii="Google Sans" w:cs="Google Sans" w:eastAsia="Google Sans" w:hAnsi="Google Sans"/>
                <w:color w:val="444746"/>
                <w:sz w:val="24"/>
                <w:szCs w:val="24"/>
                <w:vertAlign w:val="superscript"/>
                <w:rtl w:val="0"/>
              </w:rPr>
              <w:t xml:space="preserve">24</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https://www.kaggle.com/datasets/ishan2608/20-years-indian-stock-market-data</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Indian Sector ETFs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Kaggle: "SIP ETF Dataset - 20 Years of Monthly Data" specifically covering NIFTY, BankNifty, Gold, and Silver ETFs, optimized for systematic backtesting.</w:t>
            </w:r>
            <w:r w:rsidDel="00000000" w:rsidR="00000000" w:rsidRPr="00000000">
              <w:rPr>
                <w:rFonts w:ascii="Google Sans" w:cs="Google Sans" w:eastAsia="Google Sans" w:hAnsi="Google Sans"/>
                <w:color w:val="444746"/>
                <w:sz w:val="24"/>
                <w:szCs w:val="24"/>
                <w:vertAlign w:val="superscript"/>
                <w:rtl w:val="0"/>
              </w:rPr>
              <w:t xml:space="preserve">77</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https://www.kaggle.com/datasets/vivek468/sip-dataset-nifty-banknifty-gold-and-silver</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Corporate Earnings Call Transcripts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Hugging Face: "MiMIC: Multi-Modal Indian Earnings Calls Dataset," uniquely curated for Indian Nifty indices, bridging textual and fundamental data.</w:t>
            </w:r>
            <w:r w:rsidDel="00000000" w:rsidR="00000000" w:rsidRPr="00000000">
              <w:rPr>
                <w:rFonts w:ascii="Google Sans" w:cs="Google Sans" w:eastAsia="Google Sans" w:hAnsi="Google Sans"/>
                <w:color w:val="444746"/>
                <w:sz w:val="24"/>
                <w:szCs w:val="24"/>
                <w:vertAlign w:val="superscript"/>
                <w:rtl w:val="0"/>
              </w:rPr>
              <w:t xml:space="preserve">21</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https://huggingface.co/datasets/sohomghosh/MiMIC_Multi-Modal_Indian_Earnings_Calls_Dataset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RBI Monetary Policy Transcripts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Hugging Face: "Reserve Bank of India" dataset by gtfintechlab, containing meeting minutes explicitly pre-labeled for stance and uncertainty analysis.</w:t>
            </w:r>
            <w:r w:rsidDel="00000000" w:rsidR="00000000" w:rsidRPr="00000000">
              <w:rPr>
                <w:rFonts w:ascii="Google Sans" w:cs="Google Sans" w:eastAsia="Google Sans" w:hAnsi="Google Sans"/>
                <w:color w:val="444746"/>
                <w:sz w:val="24"/>
                <w:szCs w:val="24"/>
                <w:vertAlign w:val="superscript"/>
                <w:rtl w:val="0"/>
              </w:rPr>
              <w:t xml:space="preserve">65</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https://huggingface.co/datasets/gtfintechlab/reserve_bank_of_india</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Global Central Bank NLP Models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GitHub: "WorldCentralBanks" open-source codebase containing the specific sentiment extraction pipelines, models, and annotation guides.</w:t>
            </w:r>
            <w:r w:rsidDel="00000000" w:rsidR="00000000" w:rsidRPr="00000000">
              <w:rPr>
                <w:rFonts w:ascii="Google Sans" w:cs="Google Sans" w:eastAsia="Google Sans" w:hAnsi="Google Sans"/>
                <w:color w:val="444746"/>
                <w:sz w:val="24"/>
                <w:szCs w:val="24"/>
                <w:vertAlign w:val="superscript"/>
                <w:rtl w:val="0"/>
              </w:rPr>
              <w:t xml:space="preserve">58</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https://github.com/gtfintechlab/WorldCentralBanks</w:t>
            </w:r>
          </w:p>
        </w:tc>
      </w:tr>
    </w:tbl>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The Optimal Historical Time Frame for Stress-Testing</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original blueprint parameters suggested an evaluation period spanning solely from 2018 to 2025.</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While this specific period successfully encapsulates the acute shock of the COVID-19 crash, the subsequent unprecedented V-shaped monetary recovery, and the severe inflationary tightening cycle of 2022-2023, it remains structurally insufficient for a rigorous, institutional evaluation of a systemic risk management framework.</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Machine learning algorithms and graph-theoretic allocation models require massive statistical breadth to be trained effectively; a constrained seven-year window invites severe overfitting and fails to expose the algorithm to the full spectrum of modern macroeconomic crisis typologies.</w:t>
      </w:r>
      <w:r w:rsidDel="00000000" w:rsidR="00000000" w:rsidRPr="00000000">
        <w:rPr>
          <w:rFonts w:ascii="Google Sans" w:cs="Google Sans" w:eastAsia="Google Sans" w:hAnsi="Google Sans"/>
          <w:color w:val="444746"/>
          <w:sz w:val="24"/>
          <w:szCs w:val="24"/>
          <w:vertAlign w:val="superscript"/>
          <w:rtl w:val="0"/>
        </w:rPr>
        <w:t xml:space="preserve">50</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7.1 Recommending the 20-Year Horizon (2006–2026)</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definitively answer the project's core research hypothesis—whether clustering-based risk allocation produces more robust, survivable portfolios under shifting market correlation and uncertainty regimes compared to traditional methodologies—the evaluation time frame must be decisively expanded to a twenty-year horizon, specifically </w:t>
      </w:r>
      <w:r w:rsidDel="00000000" w:rsidR="00000000" w:rsidRPr="00000000">
        <w:rPr>
          <w:rFonts w:ascii="Google Sans" w:cs="Google Sans" w:eastAsia="Google Sans" w:hAnsi="Google Sans"/>
          <w:b w:val="1"/>
          <w:bCs w:val="1"/>
          <w:color w:val="1f1f1f"/>
          <w:rtl w:val="0"/>
        </w:rPr>
        <w:t xml:space="preserve">2006 to 2026</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comprehensive two-decade continuum encompasses the most diverse, extreme, and structurally distinct market regimes in modern financial history, providing the ultimate crucible for stress-testing the adaptive architecture.</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 Testing across this expanded period subjects the HERC algorithm, the Gerber statistic, and the dynamic volatility targeting layer to the following critical structural breaks:</w:t>
      </w:r>
    </w:p>
    <w:p w:rsidR="00000000" w:rsidDel="00000000" w:rsidP="00000000" w:rsidRDefault="00000000" w:rsidRPr="00000000" w14:paraId="00000074">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2008 Global Financial Crisis (GFC)</w:t>
      </w:r>
      <w:r w:rsidDel="00000000" w:rsidR="00000000" w:rsidRPr="00000000">
        <w:rPr>
          <w:rFonts w:ascii="Google Sans" w:cs="Google Sans" w:eastAsia="Google Sans" w:hAnsi="Google Sans"/>
          <w:color w:val="1f1f1f"/>
          <w:rtl w:val="0"/>
        </w:rPr>
        <w:t xml:space="preserve">: The archetypal systemic correlation shock. As global interbank liquidity evaporated, cross-asset correlations rapidly converged toward 1.0, rendering traditional diversification useless. This period brutally tests the clustering algorithm's ability to identify true non-correlated safe havens (like Gold ETFs) and the volatility targeting module's ability to rapidly deleverage to cash.</w:t>
      </w:r>
      <w:r w:rsidDel="00000000" w:rsidR="00000000" w:rsidRPr="00000000">
        <w:rPr>
          <w:rFonts w:ascii="Google Sans" w:cs="Google Sans" w:eastAsia="Google Sans" w:hAnsi="Google Sans"/>
          <w:color w:val="444746"/>
          <w:sz w:val="24"/>
          <w:szCs w:val="24"/>
          <w:vertAlign w:val="superscript"/>
          <w:rtl w:val="0"/>
        </w:rPr>
        <w:t xml:space="preserve">48</w:t>
      </w:r>
    </w:p>
    <w:p w:rsidR="00000000" w:rsidDel="00000000" w:rsidP="00000000" w:rsidRDefault="00000000" w:rsidRPr="00000000" w14:paraId="00000075">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2011 Eurozone Sovereign Debt Crisis</w:t>
      </w:r>
      <w:r w:rsidDel="00000000" w:rsidR="00000000" w:rsidRPr="00000000">
        <w:rPr>
          <w:rFonts w:ascii="Google Sans" w:cs="Google Sans" w:eastAsia="Google Sans" w:hAnsi="Google Sans"/>
          <w:color w:val="1f1f1f"/>
          <w:rtl w:val="0"/>
        </w:rPr>
        <w:t xml:space="preserve">: Characterized by localized macroeconomic uncertainty, contagion fears, and elevated baseline volatility, serving as a critical test for the sentiment engine's response to geopolitical and sovereign stress.</w:t>
      </w:r>
      <w:r w:rsidDel="00000000" w:rsidR="00000000" w:rsidRPr="00000000">
        <w:rPr>
          <w:rFonts w:ascii="Google Sans" w:cs="Google Sans" w:eastAsia="Google Sans" w:hAnsi="Google Sans"/>
          <w:color w:val="444746"/>
          <w:sz w:val="24"/>
          <w:szCs w:val="24"/>
          <w:vertAlign w:val="superscript"/>
          <w:rtl w:val="0"/>
        </w:rPr>
        <w:t xml:space="preserve">48</w:t>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2013 "Taper Tantrum"</w:t>
      </w:r>
      <w:r w:rsidDel="00000000" w:rsidR="00000000" w:rsidRPr="00000000">
        <w:rPr>
          <w:rFonts w:ascii="Google Sans" w:cs="Google Sans" w:eastAsia="Google Sans" w:hAnsi="Google Sans"/>
          <w:color w:val="1f1f1f"/>
          <w:rtl w:val="0"/>
        </w:rPr>
        <w:t xml:space="preserve">: Following the US Federal Reserve's indication of tapering quantitative easing, global yields spiked, resulting in a violent capital flight from emerging markets. This caused massive currency depreciation and severe equity drawdowns specifically in India. This isolates the portfolio's resilience to external interest-rate shocks and sudden hawkish central bank pivots.</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2016 Indian Demonetization</w:t>
      </w:r>
      <w:r w:rsidDel="00000000" w:rsidR="00000000" w:rsidRPr="00000000">
        <w:rPr>
          <w:rFonts w:ascii="Google Sans" w:cs="Google Sans" w:eastAsia="Google Sans" w:hAnsi="Google Sans"/>
          <w:color w:val="1f1f1f"/>
          <w:rtl w:val="0"/>
        </w:rPr>
        <w:t xml:space="preserve">: A highly localized, idiosyncratic domestic liquidity shock that affected specific, cash-intensive sectors (e.g., FMCG, Real Estate, Banking) disproportionately, while leaving others relatively unscathed. This provides a perfect, isolated testbed for the MiMIC NLP engine to prove its value in facilitating sector-level risk adaptation.</w:t>
      </w:r>
      <w:r w:rsidDel="00000000" w:rsidR="00000000" w:rsidRPr="00000000">
        <w:rPr>
          <w:rFonts w:ascii="Google Sans" w:cs="Google Sans" w:eastAsia="Google Sans" w:hAnsi="Google Sans"/>
          <w:color w:val="444746"/>
          <w:sz w:val="24"/>
          <w:szCs w:val="24"/>
          <w:vertAlign w:val="superscript"/>
          <w:rtl w:val="0"/>
        </w:rPr>
        <w:t xml:space="preserve">60</w:t>
      </w:r>
    </w:p>
    <w:p w:rsidR="00000000" w:rsidDel="00000000" w:rsidP="00000000" w:rsidRDefault="00000000" w:rsidRPr="00000000" w14:paraId="00000078">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2020 COVID-19 Pandemic</w:t>
      </w:r>
      <w:r w:rsidDel="00000000" w:rsidR="00000000" w:rsidRPr="00000000">
        <w:rPr>
          <w:rFonts w:ascii="Google Sans" w:cs="Google Sans" w:eastAsia="Google Sans" w:hAnsi="Google Sans"/>
          <w:color w:val="1f1f1f"/>
          <w:rtl w:val="0"/>
        </w:rPr>
        <w:t xml:space="preserve">: A true "black-swan" exogenous shock that triggered the fastest market collapse in history, followed immediately by unprecedented central bank quantitative easing. This forces the portfolio architecture to demonstrate severe operational agility—pivoting rapidly from extreme defensive posturing to high-beta recovery participation.</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79">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The 2022-2023 Inflationary Regime</w:t>
      </w:r>
      <w:r w:rsidDel="00000000" w:rsidR="00000000" w:rsidRPr="00000000">
        <w:rPr>
          <w:rFonts w:ascii="Google Sans" w:cs="Google Sans" w:eastAsia="Google Sans" w:hAnsi="Google Sans"/>
          <w:color w:val="1f1f1f"/>
          <w:rtl w:val="0"/>
        </w:rPr>
        <w:t xml:space="preserve">: A prolonged period characterized by synchronized global rate hikes, stagflationary pressures, and the simultaneous drawdown of both equities and bonds. This uniquely tests the framework's ability to navigate environments where the traditional 60/40 negative correlation assumption completely breaks down.</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evaluating the performance of the proposed adaptive models across these wildly distinct periods, the project generates highly defensible, robust empirical evidence regarding correlation instability and the mechanisms of adaptive risk survival.</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7B">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Rigorous Backtesting Engine and Advanced Risk Analytics</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translation of sophisticated quantitative theory into verifiable, actionable results relies entirely on the structural integrity of the backtesting framework.</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Evaluating machine learning models, clustering algorithms, and dynamic correlation strategies using simple, static train-test splits or basic rolling windows invariably leads to insidious data leakage, hindsight bias, and severe overfitting.</w:t>
      </w:r>
      <w:r w:rsidDel="00000000" w:rsidR="00000000" w:rsidRPr="00000000">
        <w:rPr>
          <w:rFonts w:ascii="Google Sans" w:cs="Google Sans" w:eastAsia="Google Sans" w:hAnsi="Google Sans"/>
          <w:color w:val="444746"/>
          <w:sz w:val="24"/>
          <w:szCs w:val="24"/>
          <w:vertAlign w:val="superscript"/>
          <w:rtl w:val="0"/>
        </w:rPr>
        <w:t xml:space="preserve">39</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8.1 Combinatorial Purged Cross-Validation (CPCV)</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blueprint initially recommended a standard rolling window structure (e.g., 2 years of training data forecasting the next 1 month).</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While adequate for basic statistical analysis, industry-standard machine learning applied to finance demands vastly more rigorous validation protocols.</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Financial time series data is highly serially correlated; if a training dataset immediately precedes a test dataset chronologically, the model may inadvertently learn from leaked macroeconomic information across the boundary.</w:t>
      </w:r>
      <w:r w:rsidDel="00000000" w:rsidR="00000000" w:rsidRPr="00000000">
        <w:rPr>
          <w:rFonts w:ascii="Google Sans" w:cs="Google Sans" w:eastAsia="Google Sans" w:hAnsi="Google Sans"/>
          <w:color w:val="444746"/>
          <w:sz w:val="24"/>
          <w:szCs w:val="24"/>
          <w:vertAlign w:val="superscript"/>
          <w:rtl w:val="0"/>
        </w:rPr>
        <w:t xml:space="preserve">23</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completely eradicate this bias, the framework must integrate </w:t>
      </w:r>
      <w:r w:rsidDel="00000000" w:rsidR="00000000" w:rsidRPr="00000000">
        <w:rPr>
          <w:rFonts w:ascii="Google Sans" w:cs="Google Sans" w:eastAsia="Google Sans" w:hAnsi="Google Sans"/>
          <w:b w:val="1"/>
          <w:bCs w:val="1"/>
          <w:color w:val="1f1f1f"/>
          <w:rtl w:val="0"/>
        </w:rPr>
        <w:t xml:space="preserve">Combinatorial Purged Cross-Validation (CPCV)</w:t>
      </w:r>
      <w:r w:rsidDel="00000000" w:rsidR="00000000" w:rsidRPr="00000000">
        <w:rPr>
          <w:rFonts w:ascii="Google Sans" w:cs="Google Sans" w:eastAsia="Google Sans" w:hAnsi="Google Sans"/>
          <w:color w:val="1f1f1f"/>
          <w:rtl w:val="0"/>
        </w:rPr>
        <w:t xml:space="preserve">, implemented efficiently via the skfolio Python library.</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CPCV systematically addresses serial correlation by "purging" observations—explicitly dropping a specific number of data points near the training-testing boundary to create a sterile quarantine zone that prevents any information leakage.</w:t>
      </w:r>
      <w:r w:rsidDel="00000000" w:rsidR="00000000" w:rsidRPr="00000000">
        <w:rPr>
          <w:rFonts w:ascii="Google Sans" w:cs="Google Sans" w:eastAsia="Google Sans" w:hAnsi="Google Sans"/>
          <w:color w:val="444746"/>
          <w:sz w:val="24"/>
          <w:szCs w:val="24"/>
          <w:vertAlign w:val="superscript"/>
          <w:rtl w:val="0"/>
        </w:rPr>
        <w:t xml:space="preserve">23</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Furthermore, instead of generating a single historical performance path (which could simply be the result of a favorable starting date), CPCV uses combinatorial mathematics to partition the 20-year dataset into multiple overlapping training and testing segments. This allows the system to simulate hundreds of alternative, statistically valid historical testing paths.</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The result is a robust, comprehensive statistical distribution of out-of-sample Sharpe ratios, drawdowns, and returns, providing a definitive measure of the algorithm's true expected performance under uncertainty, rather than a single, potentially lucky historical trajectory.</w:t>
      </w:r>
      <w:r w:rsidDel="00000000" w:rsidR="00000000" w:rsidRPr="00000000">
        <w:rPr>
          <w:rFonts w:ascii="Google Sans" w:cs="Google Sans" w:eastAsia="Google Sans" w:hAnsi="Google Sans"/>
          <w:color w:val="444746"/>
          <w:sz w:val="24"/>
          <w:szCs w:val="24"/>
          <w:vertAlign w:val="superscript"/>
          <w:rtl w:val="0"/>
        </w:rPr>
        <w:t xml:space="preserve">23</w:t>
      </w:r>
    </w:p>
    <w:p w:rsidR="00000000" w:rsidDel="00000000" w:rsidP="00000000" w:rsidRDefault="00000000" w:rsidRPr="00000000" w14:paraId="0000008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8.2 Industry-Standard Benchmarking and Evaluation Metrics</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sheer complexity of the adaptive HERC portfolios, Gerber statistics, and NLP sentiment overlays must be justified by demonstrable outperformance against naive and classical baselines across the 20-year horizon. The mandatory benchmark portfolios include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Equal Weight (1/N)</w:t>
      </w:r>
      <w:r w:rsidDel="00000000" w:rsidR="00000000" w:rsidRPr="00000000">
        <w:rPr>
          <w:rFonts w:ascii="Google Sans" w:cs="Google Sans" w:eastAsia="Google Sans" w:hAnsi="Google Sans"/>
          <w:color w:val="1f1f1f"/>
          <w:rtl w:val="0"/>
        </w:rPr>
        <w:t xml:space="preserve">: The ultimate naive diversification baseline. Due to its complete lack of parameter estimation error, 1/N famously outperforms complex MVO models in many out-of-sample stress tests, serving as the most honest benchmark for clustering algorithms.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Mean-Variance Optimization (MVO)</w:t>
      </w:r>
      <w:r w:rsidDel="00000000" w:rsidR="00000000" w:rsidRPr="00000000">
        <w:rPr>
          <w:rFonts w:ascii="Google Sans" w:cs="Google Sans" w:eastAsia="Google Sans" w:hAnsi="Google Sans"/>
          <w:color w:val="1f1f1f"/>
          <w:rtl w:val="0"/>
        </w:rPr>
        <w:t xml:space="preserve">: The classical Markowitz maximum-Sharpe frontier, included to explicitly demonstrate the catastrophic vulnerabilities of unconstrained covariance inversion during the 2008 and 2020 crises.</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Inverse Volatility (Risk Parity)</w:t>
      </w:r>
      <w:r w:rsidDel="00000000" w:rsidR="00000000" w:rsidRPr="00000000">
        <w:rPr>
          <w:rFonts w:ascii="Google Sans" w:cs="Google Sans" w:eastAsia="Google Sans" w:hAnsi="Google Sans"/>
          <w:color w:val="1f1f1f"/>
          <w:rtl w:val="0"/>
        </w:rPr>
        <w:t xml:space="preserve">: A standard volatility-weighted portfolio that ignores correlation entirely, serving as a mid-point baseline against which the correlation-aware HERC algorithm must prove its value.</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evaluation metrics utilized by the analytics layer must prioritize path dependency, turnover costs, and severe downside risk.</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While the traditional Sharpe Ratio measures basic risk-adjusted returns, the framework will emphasize advanced FRM metrics:</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Sortino Ratio</w:t>
      </w:r>
      <w:r w:rsidDel="00000000" w:rsidR="00000000" w:rsidRPr="00000000">
        <w:rPr>
          <w:rFonts w:ascii="Google Sans" w:cs="Google Sans" w:eastAsia="Google Sans" w:hAnsi="Google Sans"/>
          <w:color w:val="1f1f1f"/>
          <w:rtl w:val="0"/>
        </w:rPr>
        <w:t xml:space="preserve">: Isolating and penalizing only downside volatility, which is the only volatility relevant for strict risk management.</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Maximum Drawdown (MDD) and Conditional Drawdown at Risk (CDaR)</w:t>
      </w:r>
      <w:r w:rsidDel="00000000" w:rsidR="00000000" w:rsidRPr="00000000">
        <w:rPr>
          <w:rFonts w:ascii="Google Sans" w:cs="Google Sans" w:eastAsia="Google Sans" w:hAnsi="Google Sans"/>
          <w:color w:val="1f1f1f"/>
          <w:rtl w:val="0"/>
        </w:rPr>
        <w:t xml:space="preserve">: Accurately measuring the depth and severity of extreme capital losses during crisis regimes, which dictates a portfolio's ultimate survivability.</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Conditional Value at Risk (CVaR) and Entropic Value at Risk (EVaR)</w:t>
      </w:r>
      <w:r w:rsidDel="00000000" w:rsidR="00000000" w:rsidRPr="00000000">
        <w:rPr>
          <w:rFonts w:ascii="Google Sans" w:cs="Google Sans" w:eastAsia="Google Sans" w:hAnsi="Google Sans"/>
          <w:color w:val="1f1f1f"/>
          <w:rtl w:val="0"/>
        </w:rPr>
        <w:t xml:space="preserve">: Estimating the expected, absolute capital loss in the worst 5% of probabilistic scenarios, providing rigorous tail-risk evaluation.</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A">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Portfolio Turnover Rate</w:t>
      </w:r>
      <w:r w:rsidDel="00000000" w:rsidR="00000000" w:rsidRPr="00000000">
        <w:rPr>
          <w:rFonts w:ascii="Google Sans" w:cs="Google Sans" w:eastAsia="Google Sans" w:hAnsi="Google Sans"/>
          <w:color w:val="1f1f1f"/>
          <w:rtl w:val="0"/>
        </w:rPr>
        <w:t xml:space="preserve">: Measuring the average fraction of the portfolio traded during each rebalancing period, which directly links the theoretical optimality of the allocation to its practical, financial implementation cost.</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By meticulously enforcing these rigorous validation methodologies, implementing advanced net-of-cost optimizations, and expanding the testing horizon across two decades of systemic market volatility, the architecture transcends academic theory to become a highly defensible, institutionally viable Financial Risk Management platform.</w:t>
      </w:r>
    </w:p>
    <w:p w:rsidR="00000000" w:rsidDel="00000000" w:rsidP="00000000" w:rsidRDefault="00000000" w:rsidRPr="00000000" w14:paraId="0000008C">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8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Hierarchical Risk Parity on RAPIDS: An ML Approach to Portfolio Allocation, accessed on May 23, 2026, </w:t>
      </w:r>
      <w:hyperlink r:id="rId33">
        <w:r w:rsidDel="00000000" w:rsidR="00000000" w:rsidRPr="00000000">
          <w:rPr>
            <w:rFonts w:ascii="Google Sans" w:cs="Google Sans" w:eastAsia="Google Sans" w:hAnsi="Google Sans"/>
            <w:color w:val="0000ee"/>
            <w:sz w:val="24"/>
            <w:szCs w:val="24"/>
            <w:u w:val="single"/>
            <w:rtl w:val="0"/>
          </w:rPr>
          <w:t xml:space="preserve">https://developer.nvidia.com/blog/hierarchical-risk-parity-on-rapids-an-ml-approach-to-portfolio-allocation/</w:t>
        </w:r>
      </w:hyperlink>
      <w:r w:rsidDel="00000000" w:rsidR="00000000" w:rsidRPr="00000000">
        <w:rPr>
          <w:rtl w:val="0"/>
        </w:rPr>
      </w:r>
    </w:p>
    <w:p w:rsidR="00000000" w:rsidDel="00000000" w:rsidP="00000000" w:rsidRDefault="00000000" w:rsidRPr="00000000" w14:paraId="0000008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Mean-variance and hierarchical risk parity: An empirical study of large-cap stock portfolios - CFE - Columbia University, accessed on May 23, 2026, </w:t>
      </w:r>
      <w:hyperlink r:id="rId34">
        <w:r w:rsidDel="00000000" w:rsidR="00000000" w:rsidRPr="00000000">
          <w:rPr>
            <w:rFonts w:ascii="Google Sans" w:cs="Google Sans" w:eastAsia="Google Sans" w:hAnsi="Google Sans"/>
            <w:color w:val="0000ee"/>
            <w:sz w:val="24"/>
            <w:szCs w:val="24"/>
            <w:u w:val="single"/>
            <w:rtl w:val="0"/>
          </w:rPr>
          <w:t xml:space="preserve">https://cfe.columbia.edu/sites/cfe.columbia.edu/files/content/Posters/2025/Mean-variance%20and%20hierarchical%20risk%20parity%20An%20empirical%20study%20of%20large-cap%20stock%20portfolios.pdf</w:t>
        </w:r>
      </w:hyperlink>
      <w:r w:rsidDel="00000000" w:rsidR="00000000" w:rsidRPr="00000000">
        <w:rPr>
          <w:rtl w:val="0"/>
        </w:rPr>
      </w:r>
    </w:p>
    <w:p w:rsidR="00000000" w:rsidDel="00000000" w:rsidP="00000000" w:rsidRDefault="00000000" w:rsidRPr="00000000" w14:paraId="0000008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Management Project.docx</w:t>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Construction with Hierarchical Risk Parity (HRP) | by Varun - Medium, accessed on May 23, 2026, </w:t>
      </w:r>
      <w:hyperlink r:id="rId35">
        <w:r w:rsidDel="00000000" w:rsidR="00000000" w:rsidRPr="00000000">
          <w:rPr>
            <w:rFonts w:ascii="Google Sans" w:cs="Google Sans" w:eastAsia="Google Sans" w:hAnsi="Google Sans"/>
            <w:color w:val="0000ee"/>
            <w:sz w:val="24"/>
            <w:szCs w:val="24"/>
            <w:u w:val="single"/>
            <w:rtl w:val="0"/>
          </w:rPr>
          <w:t xml:space="preserve">https://medium.com/@varunp96/portfolio-construction-with-hierarchical-risk-parity-hrp-f63d66d19023</w:t>
        </w:r>
      </w:hyperlink>
      <w:r w:rsidDel="00000000" w:rsidR="00000000" w:rsidRPr="00000000">
        <w:rPr>
          <w:rtl w:val="0"/>
        </w:rPr>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Enhancing portfolio management using artificial intelligence: literature review - PMC, accessed on May 23, 2026, </w:t>
      </w:r>
      <w:hyperlink r:id="rId36">
        <w:r w:rsidDel="00000000" w:rsidR="00000000" w:rsidRPr="00000000">
          <w:rPr>
            <w:rFonts w:ascii="Google Sans" w:cs="Google Sans" w:eastAsia="Google Sans" w:hAnsi="Google Sans"/>
            <w:color w:val="0000ee"/>
            <w:sz w:val="24"/>
            <w:szCs w:val="24"/>
            <w:u w:val="single"/>
            <w:rtl w:val="0"/>
          </w:rPr>
          <w:t xml:space="preserve">https://pmc.ncbi.nlm.nih.gov/articles/PMC11033520/</w:t>
        </w:r>
      </w:hyperlink>
      <w:r w:rsidDel="00000000" w:rsidR="00000000" w:rsidRPr="00000000">
        <w:rPr>
          <w:rtl w:val="0"/>
        </w:rPr>
      </w:r>
    </w:p>
    <w:p w:rsidR="00000000" w:rsidDel="00000000" w:rsidP="00000000" w:rsidRDefault="00000000" w:rsidRPr="00000000" w14:paraId="0000009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 Portfolio Optimization in Python, accessed on May 23, 2026, </w:t>
      </w:r>
      <w:hyperlink r:id="rId37">
        <w:r w:rsidDel="00000000" w:rsidR="00000000" w:rsidRPr="00000000">
          <w:rPr>
            <w:rFonts w:ascii="Google Sans" w:cs="Google Sans" w:eastAsia="Google Sans" w:hAnsi="Google Sans"/>
            <w:color w:val="0000ee"/>
            <w:sz w:val="24"/>
            <w:szCs w:val="24"/>
            <w:u w:val="single"/>
            <w:rtl w:val="0"/>
          </w:rPr>
          <w:t xml:space="preserve">https://skfolio.org/</w:t>
        </w:r>
      </w:hyperlink>
      <w:r w:rsidDel="00000000" w:rsidR="00000000" w:rsidRPr="00000000">
        <w:rPr>
          <w:rtl w:val="0"/>
        </w:rPr>
      </w:r>
    </w:p>
    <w:p w:rsidR="00000000" w:rsidDel="00000000" w:rsidP="00000000" w:rsidRDefault="00000000" w:rsidRPr="00000000" w14:paraId="0000009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I Invest In An Adaptive Risk Parity Portfolio Strategy With Daniel Snover, accessed on May 23, 2026, </w:t>
      </w:r>
      <w:hyperlink r:id="rId38">
        <w:r w:rsidDel="00000000" w:rsidR="00000000" w:rsidRPr="00000000">
          <w:rPr>
            <w:rFonts w:ascii="Google Sans" w:cs="Google Sans" w:eastAsia="Google Sans" w:hAnsi="Google Sans"/>
            <w:color w:val="0000ee"/>
            <w:sz w:val="24"/>
            <w:szCs w:val="24"/>
            <w:u w:val="single"/>
            <w:rtl w:val="0"/>
          </w:rPr>
          <w:t xml:space="preserve">https://pictureperfectportfolios.com/how-i-invest-adaptive-risk-parity-portfolio-daniel-snover/</w:t>
        </w:r>
      </w:hyperlink>
      <w:r w:rsidDel="00000000" w:rsidR="00000000" w:rsidRPr="00000000">
        <w:rPr>
          <w:rtl w:val="0"/>
        </w:rPr>
      </w:r>
    </w:p>
    <w:p w:rsidR="00000000" w:rsidDel="00000000" w:rsidP="00000000" w:rsidRDefault="00000000" w:rsidRPr="00000000" w14:paraId="0000009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Managing Editor's Letter, accessed on May 23, 2026, </w:t>
      </w:r>
      <w:hyperlink r:id="rId39">
        <w:r w:rsidDel="00000000" w:rsidR="00000000" w:rsidRPr="00000000">
          <w:rPr>
            <w:rFonts w:ascii="Google Sans" w:cs="Google Sans" w:eastAsia="Google Sans" w:hAnsi="Google Sans"/>
            <w:color w:val="0000ee"/>
            <w:sz w:val="24"/>
            <w:szCs w:val="24"/>
            <w:u w:val="single"/>
            <w:rtl w:val="0"/>
          </w:rPr>
          <w:t xml:space="preserve">https://www.pm-research.com/content/iijjfds/3/2/1</w:t>
        </w:r>
      </w:hyperlink>
      <w:r w:rsidDel="00000000" w:rsidR="00000000" w:rsidRPr="00000000">
        <w:rPr>
          <w:rtl w:val="0"/>
        </w:rPr>
      </w:r>
    </w:p>
    <w:p w:rsidR="00000000" w:rsidDel="00000000" w:rsidP="00000000" w:rsidRDefault="00000000" w:rsidRPr="00000000" w14:paraId="0000009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Building optimal regime-switching portfolios | Request PDF - ResearchGate, accessed on May 23, 2026, </w:t>
      </w:r>
      <w:hyperlink r:id="rId40">
        <w:r w:rsidDel="00000000" w:rsidR="00000000" w:rsidRPr="00000000">
          <w:rPr>
            <w:rFonts w:ascii="Google Sans" w:cs="Google Sans" w:eastAsia="Google Sans" w:hAnsi="Google Sans"/>
            <w:color w:val="0000ee"/>
            <w:sz w:val="24"/>
            <w:szCs w:val="24"/>
            <w:u w:val="single"/>
            <w:rtl w:val="0"/>
          </w:rPr>
          <w:t xml:space="preserve">https://www.researchgate.net/publication/365774722_Building_optimal_regime-switching_portfolios</w:t>
        </w:r>
      </w:hyperlink>
      <w:r w:rsidDel="00000000" w:rsidR="00000000" w:rsidRPr="00000000">
        <w:rPr>
          <w:rtl w:val="0"/>
        </w:rPr>
      </w:r>
    </w:p>
    <w:p w:rsidR="00000000" w:rsidDel="00000000" w:rsidP="00000000" w:rsidRDefault="00000000" w:rsidRPr="00000000" w14:paraId="0000009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Study of Hierarchical Risk Parity in Portfolio Construction - IDEAS/RePEc, accessed on May 23, 2026, </w:t>
      </w:r>
      <w:hyperlink r:id="rId41">
        <w:r w:rsidDel="00000000" w:rsidR="00000000" w:rsidRPr="00000000">
          <w:rPr>
            <w:rFonts w:ascii="Google Sans" w:cs="Google Sans" w:eastAsia="Google Sans" w:hAnsi="Google Sans"/>
            <w:color w:val="0000ee"/>
            <w:sz w:val="24"/>
            <w:szCs w:val="24"/>
            <w:u w:val="single"/>
            <w:rtl w:val="0"/>
          </w:rPr>
          <w:t xml:space="preserve">https://ideas.repec.org/a/bba/j00001/v3y2024i3p106-125d218.html</w:t>
        </w:r>
      </w:hyperlink>
      <w:r w:rsidDel="00000000" w:rsidR="00000000" w:rsidRPr="00000000">
        <w:rPr>
          <w:rtl w:val="0"/>
        </w:rPr>
      </w:r>
    </w:p>
    <w:p w:rsidR="00000000" w:rsidDel="00000000" w:rsidP="00000000" w:rsidRDefault="00000000" w:rsidRPr="00000000" w14:paraId="0000009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Hierarchical Risk Parity Rebalancing Methods - LuxAlgo, accessed on May 23, 2026, </w:t>
      </w:r>
      <w:hyperlink r:id="rId42">
        <w:r w:rsidDel="00000000" w:rsidR="00000000" w:rsidRPr="00000000">
          <w:rPr>
            <w:rFonts w:ascii="Google Sans" w:cs="Google Sans" w:eastAsia="Google Sans" w:hAnsi="Google Sans"/>
            <w:color w:val="0000ee"/>
            <w:sz w:val="24"/>
            <w:szCs w:val="24"/>
            <w:u w:val="single"/>
            <w:rtl w:val="0"/>
          </w:rPr>
          <w:t xml:space="preserve">https://www.luxalgo.com/blog/hierarchical-risk-parity-rebalancing-methods/</w:t>
        </w:r>
      </w:hyperlink>
      <w:r w:rsidDel="00000000" w:rsidR="00000000" w:rsidRPr="00000000">
        <w:rPr>
          <w:rtl w:val="0"/>
        </w:rPr>
      </w:r>
    </w:p>
    <w:p w:rsidR="00000000" w:rsidDel="00000000" w:rsidP="00000000" w:rsidRDefault="00000000" w:rsidRPr="00000000" w14:paraId="0000009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Optimization and Asset Allocation - MATLAB &amp; Simulink - MathWorks, accessed on May 23, 2026, </w:t>
      </w:r>
      <w:hyperlink r:id="rId43">
        <w:r w:rsidDel="00000000" w:rsidR="00000000" w:rsidRPr="00000000">
          <w:rPr>
            <w:rFonts w:ascii="Google Sans" w:cs="Google Sans" w:eastAsia="Google Sans" w:hAnsi="Google Sans"/>
            <w:color w:val="0000ee"/>
            <w:sz w:val="24"/>
            <w:szCs w:val="24"/>
            <w:u w:val="single"/>
            <w:rtl w:val="0"/>
          </w:rPr>
          <w:t xml:space="preserve">https://www.mathworks.com/help/finance/asset-allocation-and-portfolio-optimization.html</w:t>
        </w:r>
      </w:hyperlink>
      <w:r w:rsidDel="00000000" w:rsidR="00000000" w:rsidRPr="00000000">
        <w:rPr>
          <w:rtl w:val="0"/>
        </w:rPr>
      </w:r>
    </w:p>
    <w:p w:rsidR="00000000" w:rsidDel="00000000" w:rsidP="00000000" w:rsidRDefault="00000000" w:rsidRPr="00000000" w14:paraId="0000009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 Orthogonal Hierarchical Risk Parity Allocation Method for Improved Portfolio Out-of-Sample Performance - IEEE Xplore, accessed on May 23, 2026, </w:t>
      </w:r>
      <w:hyperlink r:id="rId44">
        <w:r w:rsidDel="00000000" w:rsidR="00000000" w:rsidRPr="00000000">
          <w:rPr>
            <w:rFonts w:ascii="Google Sans" w:cs="Google Sans" w:eastAsia="Google Sans" w:hAnsi="Google Sans"/>
            <w:color w:val="0000ee"/>
            <w:sz w:val="24"/>
            <w:szCs w:val="24"/>
            <w:u w:val="single"/>
            <w:rtl w:val="0"/>
          </w:rPr>
          <w:t xml:space="preserve">https://ieeexplore.ieee.org/document/11359686/</w:t>
        </w:r>
      </w:hyperlink>
      <w:r w:rsidDel="00000000" w:rsidR="00000000" w:rsidRPr="00000000">
        <w:rPr>
          <w:rtl w:val="0"/>
        </w:rPr>
      </w:r>
    </w:p>
    <w:p w:rsidR="00000000" w:rsidDel="00000000" w:rsidP="00000000" w:rsidRDefault="00000000" w:rsidRPr="00000000" w14:paraId="0000009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Optimal Portfolio Construction -- A Reinforcement Learning Embedded Bayesian Hierarchical Risk Parity (RL-BHRP) Approach - arXiv, accessed on May 23, 2026, </w:t>
      </w:r>
      <w:hyperlink r:id="rId45">
        <w:r w:rsidDel="00000000" w:rsidR="00000000" w:rsidRPr="00000000">
          <w:rPr>
            <w:rFonts w:ascii="Google Sans" w:cs="Google Sans" w:eastAsia="Google Sans" w:hAnsi="Google Sans"/>
            <w:color w:val="0000ee"/>
            <w:sz w:val="24"/>
            <w:szCs w:val="24"/>
            <w:u w:val="single"/>
            <w:rtl w:val="0"/>
          </w:rPr>
          <w:t xml:space="preserve">https://arxiv.org/pdf/2508.11856</w:t>
        </w:r>
      </w:hyperlink>
      <w:r w:rsidDel="00000000" w:rsidR="00000000" w:rsidRPr="00000000">
        <w:rPr>
          <w:rtl w:val="0"/>
        </w:rPr>
      </w:r>
    </w:p>
    <w:p w:rsidR="00000000" w:rsidDel="00000000" w:rsidP="00000000" w:rsidRDefault="00000000" w:rsidRPr="00000000" w14:paraId="0000009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Hierarchical Risk Parity: A Hierarchical Clustering-based Portfolio Optimization - CBS Research Portal, accessed on May 23, 2026, </w:t>
      </w:r>
      <w:hyperlink r:id="rId46">
        <w:r w:rsidDel="00000000" w:rsidR="00000000" w:rsidRPr="00000000">
          <w:rPr>
            <w:rFonts w:ascii="Google Sans" w:cs="Google Sans" w:eastAsia="Google Sans" w:hAnsi="Google Sans"/>
            <w:color w:val="0000ee"/>
            <w:sz w:val="24"/>
            <w:szCs w:val="24"/>
            <w:u w:val="single"/>
            <w:rtl w:val="0"/>
          </w:rPr>
          <w:t xml:space="preserve">https://research.cbs.dk/en/studentProjects/hierarchical-risk-parity-a-hierarchical-clustering-based-portfoli/</w:t>
        </w:r>
      </w:hyperlink>
      <w:r w:rsidDel="00000000" w:rsidR="00000000" w:rsidRPr="00000000">
        <w:rPr>
          <w:rtl w:val="0"/>
        </w:rPr>
      </w:r>
    </w:p>
    <w:p w:rsidR="00000000" w:rsidDel="00000000" w:rsidP="00000000" w:rsidRDefault="00000000" w:rsidRPr="00000000" w14:paraId="0000009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 skfolio, accessed on May 23, 2026, </w:t>
      </w:r>
      <w:hyperlink r:id="rId47">
        <w:r w:rsidDel="00000000" w:rsidR="00000000" w:rsidRPr="00000000">
          <w:rPr>
            <w:rFonts w:ascii="Google Sans" w:cs="Google Sans" w:eastAsia="Google Sans" w:hAnsi="Google Sans"/>
            <w:color w:val="0000ee"/>
            <w:sz w:val="24"/>
            <w:szCs w:val="24"/>
            <w:u w:val="single"/>
            <w:rtl w:val="0"/>
          </w:rPr>
          <w:t xml:space="preserve">https://skfolio.org/user_guide/portfolio.html</w:t>
        </w:r>
      </w:hyperlink>
      <w:r w:rsidDel="00000000" w:rsidR="00000000" w:rsidRPr="00000000">
        <w:rPr>
          <w:rtl w:val="0"/>
        </w:rPr>
      </w:r>
    </w:p>
    <w:p w:rsidR="00000000" w:rsidDel="00000000" w:rsidP="00000000" w:rsidRDefault="00000000" w:rsidRPr="00000000" w14:paraId="0000009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Optimization with Python: Hierarchical Risk Parity - Yang Wu, accessed on May 23, 2026, </w:t>
      </w:r>
      <w:hyperlink r:id="rId48">
        <w:r w:rsidDel="00000000" w:rsidR="00000000" w:rsidRPr="00000000">
          <w:rPr>
            <w:rFonts w:ascii="Google Sans" w:cs="Google Sans" w:eastAsia="Google Sans" w:hAnsi="Google Sans"/>
            <w:color w:val="0000ee"/>
            <w:sz w:val="24"/>
            <w:szCs w:val="24"/>
            <w:u w:val="single"/>
            <w:rtl w:val="0"/>
          </w:rPr>
          <w:t xml:space="preserve">https://kenwuyang.com/posts/2024_10_20_portfolio_optimization_with_python_hierarchical_risk_parity/</w:t>
        </w:r>
      </w:hyperlink>
      <w:r w:rsidDel="00000000" w:rsidR="00000000" w:rsidRPr="00000000">
        <w:rPr>
          <w:rtl w:val="0"/>
        </w:rPr>
      </w:r>
    </w:p>
    <w:p w:rsidR="00000000" w:rsidDel="00000000" w:rsidP="00000000" w:rsidRDefault="00000000" w:rsidRPr="00000000" w14:paraId="0000009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skfolio.optimization.HierarchicalEqualRiskContribution, accessed on May 23, 2026, </w:t>
      </w:r>
      <w:hyperlink r:id="rId49">
        <w:r w:rsidDel="00000000" w:rsidR="00000000" w:rsidRPr="00000000">
          <w:rPr>
            <w:rFonts w:ascii="Google Sans" w:cs="Google Sans" w:eastAsia="Google Sans" w:hAnsi="Google Sans"/>
            <w:color w:val="0000ee"/>
            <w:sz w:val="24"/>
            <w:szCs w:val="24"/>
            <w:u w:val="single"/>
            <w:rtl w:val="0"/>
          </w:rPr>
          <w:t xml:space="preserve">https://skfolio.org/generated/skfolio.optimization.HierarchicalEqualRiskContribution.html</w:t>
        </w:r>
      </w:hyperlink>
      <w:r w:rsidDel="00000000" w:rsidR="00000000" w:rsidRPr="00000000">
        <w:rPr>
          <w:rtl w:val="0"/>
        </w:rPr>
      </w:r>
    </w:p>
    <w:p w:rsidR="00000000" w:rsidDel="00000000" w:rsidP="00000000" w:rsidRDefault="00000000" w:rsidRPr="00000000" w14:paraId="0000009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statsmodels.tsa.regime_switching.markov_autoregression.MarkovAutoregression.predict, accessed on May 23, 2026, </w:t>
      </w:r>
      <w:hyperlink r:id="rId50">
        <w:r w:rsidDel="00000000" w:rsidR="00000000" w:rsidRPr="00000000">
          <w:rPr>
            <w:rFonts w:ascii="Google Sans" w:cs="Google Sans" w:eastAsia="Google Sans" w:hAnsi="Google Sans"/>
            <w:color w:val="0000ee"/>
            <w:sz w:val="24"/>
            <w:szCs w:val="24"/>
            <w:u w:val="single"/>
            <w:rtl w:val="0"/>
          </w:rPr>
          <w:t xml:space="preserve">https://www.statsmodels.org/stable/generated/statsmodels.tsa.regime_switching.markov_autoregression.MarkovAutoregression.predict.html</w:t>
        </w:r>
      </w:hyperlink>
      <w:r w:rsidDel="00000000" w:rsidR="00000000" w:rsidRPr="00000000">
        <w:rPr>
          <w:rtl w:val="0"/>
        </w:rPr>
      </w:r>
    </w:p>
    <w:p w:rsidR="00000000" w:rsidDel="00000000" w:rsidP="00000000" w:rsidRDefault="00000000" w:rsidRPr="00000000" w14:paraId="000000A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Risk Parity | CAIA, accessed on May 23, 2026, </w:t>
      </w:r>
      <w:hyperlink r:id="rId51">
        <w:r w:rsidDel="00000000" w:rsidR="00000000" w:rsidRPr="00000000">
          <w:rPr>
            <w:rFonts w:ascii="Google Sans" w:cs="Google Sans" w:eastAsia="Google Sans" w:hAnsi="Google Sans"/>
            <w:color w:val="0000ee"/>
            <w:sz w:val="24"/>
            <w:szCs w:val="24"/>
            <w:u w:val="single"/>
            <w:rtl w:val="0"/>
          </w:rPr>
          <w:t xml:space="preserve">https://caia.org/sites/default/files/risk_parity_0.pdf</w:t>
        </w:r>
      </w:hyperlink>
      <w:r w:rsidDel="00000000" w:rsidR="00000000" w:rsidRPr="00000000">
        <w:rPr>
          <w:rtl w:val="0"/>
        </w:rPr>
      </w:r>
    </w:p>
    <w:p w:rsidR="00000000" w:rsidDel="00000000" w:rsidP="00000000" w:rsidRDefault="00000000" w:rsidRPr="00000000" w14:paraId="000000A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MiMIC: Multi-Modal Indian Earnings Calls Dataset to Predict Stock Prices - arXiv, accessed on May 23, 2026, </w:t>
      </w:r>
      <w:hyperlink r:id="rId52">
        <w:r w:rsidDel="00000000" w:rsidR="00000000" w:rsidRPr="00000000">
          <w:rPr>
            <w:rFonts w:ascii="Google Sans" w:cs="Google Sans" w:eastAsia="Google Sans" w:hAnsi="Google Sans"/>
            <w:color w:val="0000ee"/>
            <w:sz w:val="24"/>
            <w:szCs w:val="24"/>
            <w:u w:val="single"/>
            <w:rtl w:val="0"/>
          </w:rPr>
          <w:t xml:space="preserve">https://arxiv.org/html/2504.09257v1</w:t>
        </w:r>
      </w:hyperlink>
      <w:r w:rsidDel="00000000" w:rsidR="00000000" w:rsidRPr="00000000">
        <w:rPr>
          <w:rtl w:val="0"/>
        </w:rPr>
      </w:r>
    </w:p>
    <w:p w:rsidR="00000000" w:rsidDel="00000000" w:rsidP="00000000" w:rsidRDefault="00000000" w:rsidRPr="00000000" w14:paraId="000000A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Words That Unite The World: A Unified Framework for Deciphering Central Bank Communications | OpenReview, accessed on May 23, 2026, </w:t>
      </w:r>
      <w:hyperlink r:id="rId53">
        <w:r w:rsidDel="00000000" w:rsidR="00000000" w:rsidRPr="00000000">
          <w:rPr>
            <w:rFonts w:ascii="Google Sans" w:cs="Google Sans" w:eastAsia="Google Sans" w:hAnsi="Google Sans"/>
            <w:color w:val="0000ee"/>
            <w:sz w:val="24"/>
            <w:szCs w:val="24"/>
            <w:u w:val="single"/>
            <w:rtl w:val="0"/>
          </w:rPr>
          <w:t xml:space="preserve">https://openreview.net/forum?id=cU5W9Z3r8p¬eId=1lf5dXRyvW</w:t>
        </w:r>
      </w:hyperlink>
      <w:r w:rsidDel="00000000" w:rsidR="00000000" w:rsidRPr="00000000">
        <w:rPr>
          <w:rtl w:val="0"/>
        </w:rPr>
      </w:r>
    </w:p>
    <w:p w:rsidR="00000000" w:rsidDel="00000000" w:rsidP="00000000" w:rsidRDefault="00000000" w:rsidRPr="00000000" w14:paraId="000000A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HRP vs HERC - skfolio, accessed on May 23, 2026, </w:t>
      </w:r>
      <w:hyperlink r:id="rId54">
        <w:r w:rsidDel="00000000" w:rsidR="00000000" w:rsidRPr="00000000">
          <w:rPr>
            <w:rFonts w:ascii="Google Sans" w:cs="Google Sans" w:eastAsia="Google Sans" w:hAnsi="Google Sans"/>
            <w:color w:val="0000ee"/>
            <w:sz w:val="24"/>
            <w:szCs w:val="24"/>
            <w:u w:val="single"/>
            <w:rtl w:val="0"/>
          </w:rPr>
          <w:t xml:space="preserve">https://skfolio.org/auto_examples/clustering/plot_3_hrp_vs_herc.html</w:t>
        </w:r>
      </w:hyperlink>
      <w:r w:rsidDel="00000000" w:rsidR="00000000" w:rsidRPr="00000000">
        <w:rPr>
          <w:rtl w:val="0"/>
        </w:rPr>
      </w:r>
    </w:p>
    <w:p w:rsidR="00000000" w:rsidDel="00000000" w:rsidP="00000000" w:rsidRDefault="00000000" w:rsidRPr="00000000" w14:paraId="000000A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FY-2000-2026 Indian Stock Market Data - Kaggle, accessed on May 23, 2026, </w:t>
      </w:r>
      <w:hyperlink r:id="rId55">
        <w:r w:rsidDel="00000000" w:rsidR="00000000" w:rsidRPr="00000000">
          <w:rPr>
            <w:rFonts w:ascii="Google Sans" w:cs="Google Sans" w:eastAsia="Google Sans" w:hAnsi="Google Sans"/>
            <w:color w:val="0000ee"/>
            <w:sz w:val="24"/>
            <w:szCs w:val="24"/>
            <w:u w:val="single"/>
            <w:rtl w:val="0"/>
          </w:rPr>
          <w:t xml:space="preserve">https://www.kaggle.com/datasets/ishan2608/20-years-indian-stock-market-data</w:t>
        </w:r>
      </w:hyperlink>
      <w:r w:rsidDel="00000000" w:rsidR="00000000" w:rsidRPr="00000000">
        <w:rPr>
          <w:rtl w:val="0"/>
        </w:rPr>
      </w:r>
    </w:p>
    <w:p w:rsidR="00000000" w:rsidDel="00000000" w:rsidP="00000000" w:rsidRDefault="00000000" w:rsidRPr="00000000" w14:paraId="000000A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Adaptive Seriational Risk Parity and Other Extensions for Heuristic Portfolio Construction Using Machine Learning and Graph Theory, accessed on May 23, 2026, </w:t>
      </w:r>
      <w:hyperlink r:id="rId56">
        <w:r w:rsidDel="00000000" w:rsidR="00000000" w:rsidRPr="00000000">
          <w:rPr>
            <w:rFonts w:ascii="Google Sans" w:cs="Google Sans" w:eastAsia="Google Sans" w:hAnsi="Google Sans"/>
            <w:color w:val="0000ee"/>
            <w:sz w:val="24"/>
            <w:szCs w:val="24"/>
            <w:u w:val="single"/>
            <w:rtl w:val="0"/>
          </w:rPr>
          <w:t xml:space="preserve">https://www.pm-research.com/content/iijjfds/3/4/65</w:t>
        </w:r>
      </w:hyperlink>
      <w:r w:rsidDel="00000000" w:rsidR="00000000" w:rsidRPr="00000000">
        <w:rPr>
          <w:rtl w:val="0"/>
        </w:rPr>
      </w:r>
    </w:p>
    <w:p w:rsidR="00000000" w:rsidDel="00000000" w:rsidP="00000000" w:rsidRDefault="00000000" w:rsidRPr="00000000" w14:paraId="000000A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Hierarchical Equal Risk Contribution - CDaR - skfolio, accessed on May 23, 2026, </w:t>
      </w:r>
      <w:hyperlink r:id="rId57">
        <w:r w:rsidDel="00000000" w:rsidR="00000000" w:rsidRPr="00000000">
          <w:rPr>
            <w:rFonts w:ascii="Google Sans" w:cs="Google Sans" w:eastAsia="Google Sans" w:hAnsi="Google Sans"/>
            <w:color w:val="0000ee"/>
            <w:sz w:val="24"/>
            <w:szCs w:val="24"/>
            <w:u w:val="single"/>
            <w:rtl w:val="0"/>
          </w:rPr>
          <w:t xml:space="preserve">https://skfolio.org/auto_examples/clustering/plot_2_herc_cdar.html</w:t>
        </w:r>
      </w:hyperlink>
      <w:r w:rsidDel="00000000" w:rsidR="00000000" w:rsidRPr="00000000">
        <w:rPr>
          <w:rtl w:val="0"/>
        </w:rPr>
      </w:r>
    </w:p>
    <w:p w:rsidR="00000000" w:rsidDel="00000000" w:rsidP="00000000" w:rsidRDefault="00000000" w:rsidRPr="00000000" w14:paraId="000000A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skfolio.optimization.HierarchicalRiskParity, accessed on May 23, 2026, </w:t>
      </w:r>
      <w:hyperlink r:id="rId58">
        <w:r w:rsidDel="00000000" w:rsidR="00000000" w:rsidRPr="00000000">
          <w:rPr>
            <w:rFonts w:ascii="Google Sans" w:cs="Google Sans" w:eastAsia="Google Sans" w:hAnsi="Google Sans"/>
            <w:color w:val="0000ee"/>
            <w:sz w:val="24"/>
            <w:szCs w:val="24"/>
            <w:u w:val="single"/>
            <w:rtl w:val="0"/>
          </w:rPr>
          <w:t xml:space="preserve">https://skfolio.org/generated/skfolio.optimization.HierarchicalRiskParity.html</w:t>
        </w:r>
      </w:hyperlink>
      <w:r w:rsidDel="00000000" w:rsidR="00000000" w:rsidRPr="00000000">
        <w:rPr>
          <w:rtl w:val="0"/>
        </w:rPr>
      </w:r>
    </w:p>
    <w:p w:rsidR="00000000" w:rsidDel="00000000" w:rsidP="00000000" w:rsidRDefault="00000000" w:rsidRPr="00000000" w14:paraId="000000A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When to Route? Regime-Adaptive Meta- Policies for Hierarchical Portfolio Agents - Preprints.org, accessed on May 23, 2026, </w:t>
      </w:r>
      <w:hyperlink r:id="rId59">
        <w:r w:rsidDel="00000000" w:rsidR="00000000" w:rsidRPr="00000000">
          <w:rPr>
            <w:rFonts w:ascii="Google Sans" w:cs="Google Sans" w:eastAsia="Google Sans" w:hAnsi="Google Sans"/>
            <w:color w:val="0000ee"/>
            <w:sz w:val="24"/>
            <w:szCs w:val="24"/>
            <w:u w:val="single"/>
            <w:rtl w:val="0"/>
          </w:rPr>
          <w:t xml:space="preserve">https://www.preprints.org/frontend/manuscript/b2cae9be9907689dae928187f4227a9d/download_pub</w:t>
        </w:r>
      </w:hyperlink>
      <w:r w:rsidDel="00000000" w:rsidR="00000000" w:rsidRPr="00000000">
        <w:rPr>
          <w:rtl w:val="0"/>
        </w:rPr>
      </w:r>
    </w:p>
    <w:p w:rsidR="00000000" w:rsidDel="00000000" w:rsidP="00000000" w:rsidRDefault="00000000" w:rsidRPr="00000000" w14:paraId="000000A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When to Route? Regime-Adaptive Meta-Policies for Hierarchical Portfolio Agents, accessed on May 23, 2026, </w:t>
      </w:r>
      <w:hyperlink r:id="rId60">
        <w:r w:rsidDel="00000000" w:rsidR="00000000" w:rsidRPr="00000000">
          <w:rPr>
            <w:rFonts w:ascii="Google Sans" w:cs="Google Sans" w:eastAsia="Google Sans" w:hAnsi="Google Sans"/>
            <w:color w:val="0000ee"/>
            <w:sz w:val="24"/>
            <w:szCs w:val="24"/>
            <w:u w:val="single"/>
            <w:rtl w:val="0"/>
          </w:rPr>
          <w:t xml:space="preserve">https://www.preprints.org/manuscript/202605.0517</w:t>
        </w:r>
      </w:hyperlink>
      <w:r w:rsidDel="00000000" w:rsidR="00000000" w:rsidRPr="00000000">
        <w:rPr>
          <w:rtl w:val="0"/>
        </w:rPr>
      </w:r>
    </w:p>
    <w:p w:rsidR="00000000" w:rsidDel="00000000" w:rsidP="00000000" w:rsidRDefault="00000000" w:rsidRPr="00000000" w14:paraId="000000A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hierarchical-risk-parity · GitHub Topics, accessed on May 23, 2026, </w:t>
      </w:r>
      <w:hyperlink r:id="rId61">
        <w:r w:rsidDel="00000000" w:rsidR="00000000" w:rsidRPr="00000000">
          <w:rPr>
            <w:rFonts w:ascii="Google Sans" w:cs="Google Sans" w:eastAsia="Google Sans" w:hAnsi="Google Sans"/>
            <w:color w:val="0000ee"/>
            <w:sz w:val="24"/>
            <w:szCs w:val="24"/>
            <w:u w:val="single"/>
            <w:rtl w:val="0"/>
          </w:rPr>
          <w:t xml:space="preserve">https://github.com/topics/hierarchical-risk-parity</w:t>
        </w:r>
      </w:hyperlink>
      <w:r w:rsidDel="00000000" w:rsidR="00000000" w:rsidRPr="00000000">
        <w:rPr>
          <w:rtl w:val="0"/>
        </w:rPr>
      </w:r>
    </w:p>
    <w:p w:rsidR="00000000" w:rsidDel="00000000" w:rsidP="00000000" w:rsidRDefault="00000000" w:rsidRPr="00000000" w14:paraId="000000A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Modified Hierarchical Risk Parity Framework for Portfolio Management, accessed on May 23, 2026, </w:t>
      </w:r>
      <w:hyperlink r:id="rId62">
        <w:r w:rsidDel="00000000" w:rsidR="00000000" w:rsidRPr="00000000">
          <w:rPr>
            <w:rFonts w:ascii="Google Sans" w:cs="Google Sans" w:eastAsia="Google Sans" w:hAnsi="Google Sans"/>
            <w:color w:val="0000ee"/>
            <w:sz w:val="24"/>
            <w:szCs w:val="24"/>
            <w:u w:val="single"/>
            <w:rtl w:val="0"/>
          </w:rPr>
          <w:t xml:space="preserve">https://www.pm-research.com/content/iijjfds/2/3/128</w:t>
        </w:r>
      </w:hyperlink>
      <w:r w:rsidDel="00000000" w:rsidR="00000000" w:rsidRPr="00000000">
        <w:rPr>
          <w:rtl w:val="0"/>
        </w:rPr>
      </w:r>
    </w:p>
    <w:p w:rsidR="00000000" w:rsidDel="00000000" w:rsidP="00000000" w:rsidRDefault="00000000" w:rsidRPr="00000000" w14:paraId="000000A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Constrained Hierarchical Risk Parity Algorithm with Cluster-based Capital Allocation, accessed on May 23, 2026, </w:t>
      </w:r>
      <w:hyperlink r:id="rId63">
        <w:r w:rsidDel="00000000" w:rsidR="00000000" w:rsidRPr="00000000">
          <w:rPr>
            <w:rFonts w:ascii="Google Sans" w:cs="Google Sans" w:eastAsia="Google Sans" w:hAnsi="Google Sans"/>
            <w:color w:val="0000ee"/>
            <w:sz w:val="24"/>
            <w:szCs w:val="24"/>
            <w:u w:val="single"/>
            <w:rtl w:val="0"/>
          </w:rPr>
          <w:t xml:space="preserve">https://www.fmx.nfkatzke.com/Projects/HRP.pdf</w:t>
        </w:r>
      </w:hyperlink>
      <w:r w:rsidDel="00000000" w:rsidR="00000000" w:rsidRPr="00000000">
        <w:rPr>
          <w:rtl w:val="0"/>
        </w:rPr>
      </w:r>
    </w:p>
    <w:p w:rsidR="00000000" w:rsidDel="00000000" w:rsidP="00000000" w:rsidRDefault="00000000" w:rsidRPr="00000000" w14:paraId="000000A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Embracing machine learning to tackle portfolio optimisers limitations - CFA UK, accessed on May 23, 2026, </w:t>
      </w:r>
      <w:hyperlink r:id="rId64">
        <w:r w:rsidDel="00000000" w:rsidR="00000000" w:rsidRPr="00000000">
          <w:rPr>
            <w:rFonts w:ascii="Google Sans" w:cs="Google Sans" w:eastAsia="Google Sans" w:hAnsi="Google Sans"/>
            <w:color w:val="0000ee"/>
            <w:sz w:val="24"/>
            <w:szCs w:val="24"/>
            <w:u w:val="single"/>
            <w:rtl w:val="0"/>
          </w:rPr>
          <w:t xml:space="preserve">https://www.cfauk.org/pi-listing/embracing-machine-learning-to-tackle-portfolio-optimisers-limitations</w:t>
        </w:r>
      </w:hyperlink>
      <w:r w:rsidDel="00000000" w:rsidR="00000000" w:rsidRPr="00000000">
        <w:rPr>
          <w:rtl w:val="0"/>
        </w:rPr>
      </w:r>
    </w:p>
    <w:p w:rsidR="00000000" w:rsidDel="00000000" w:rsidP="00000000" w:rsidRDefault="00000000" w:rsidRPr="00000000" w14:paraId="000000A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ishitamehta028/LSTM-Portfolio-Optimization-using-Gerber-Estimator - GitHub, accessed on May 23, 2026, </w:t>
      </w:r>
      <w:hyperlink r:id="rId65">
        <w:r w:rsidDel="00000000" w:rsidR="00000000" w:rsidRPr="00000000">
          <w:rPr>
            <w:rFonts w:ascii="Google Sans" w:cs="Google Sans" w:eastAsia="Google Sans" w:hAnsi="Google Sans"/>
            <w:color w:val="0000ee"/>
            <w:sz w:val="24"/>
            <w:szCs w:val="24"/>
            <w:u w:val="single"/>
            <w:rtl w:val="0"/>
          </w:rPr>
          <w:t xml:space="preserve">https://github.com/ishitamehta028/LSTM-Portfolio-Optimization-using-Gerber-Estimator</w:t>
        </w:r>
      </w:hyperlink>
      <w:r w:rsidDel="00000000" w:rsidR="00000000" w:rsidRPr="00000000">
        <w:rPr>
          <w:rtl w:val="0"/>
        </w:rPr>
      </w:r>
    </w:p>
    <w:p w:rsidR="00000000" w:rsidDel="00000000" w:rsidP="00000000" w:rsidRDefault="00000000" w:rsidRPr="00000000" w14:paraId="000000A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Gerber Statistic: A Robust Co-Movement Measure for Correlation Matrix Estimation | Portfolio Optimizer, accessed on May 23, 2026, </w:t>
      </w:r>
      <w:hyperlink r:id="rId66">
        <w:r w:rsidDel="00000000" w:rsidR="00000000" w:rsidRPr="00000000">
          <w:rPr>
            <w:rFonts w:ascii="Google Sans" w:cs="Google Sans" w:eastAsia="Google Sans" w:hAnsi="Google Sans"/>
            <w:color w:val="0000ee"/>
            <w:sz w:val="24"/>
            <w:szCs w:val="24"/>
            <w:u w:val="single"/>
            <w:rtl w:val="0"/>
          </w:rPr>
          <w:t xml:space="preserve">https://portfoliooptimizer.io/blog/the-gerber-statistic-a-robust-co-movement-measure-for-correlation-matrix-estimation/</w:t>
        </w:r>
      </w:hyperlink>
      <w:r w:rsidDel="00000000" w:rsidR="00000000" w:rsidRPr="00000000">
        <w:rPr>
          <w:rtl w:val="0"/>
        </w:rPr>
      </w:r>
    </w:p>
    <w:p w:rsidR="00000000" w:rsidDel="00000000" w:rsidP="00000000" w:rsidRDefault="00000000" w:rsidRPr="00000000" w14:paraId="000000B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Portfolio Optimization with Robust Covariance and Conditional Value-at-Risk Constraints, accessed on May 23, 2026, </w:t>
      </w:r>
      <w:hyperlink r:id="rId67">
        <w:r w:rsidDel="00000000" w:rsidR="00000000" w:rsidRPr="00000000">
          <w:rPr>
            <w:rFonts w:ascii="Google Sans" w:cs="Google Sans" w:eastAsia="Google Sans" w:hAnsi="Google Sans"/>
            <w:color w:val="0000ee"/>
            <w:sz w:val="24"/>
            <w:szCs w:val="24"/>
            <w:u w:val="single"/>
            <w:rtl w:val="0"/>
          </w:rPr>
          <w:t xml:space="preserve">https://arxiv.org/html/2406.00610v1</w:t>
        </w:r>
      </w:hyperlink>
      <w:r w:rsidDel="00000000" w:rsidR="00000000" w:rsidRPr="00000000">
        <w:rPr>
          <w:rtl w:val="0"/>
        </w:rPr>
      </w:r>
    </w:p>
    <w:p w:rsidR="00000000" w:rsidDel="00000000" w:rsidP="00000000" w:rsidRDefault="00000000" w:rsidRPr="00000000" w14:paraId="000000B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LSTM-Based Portfolio Optimization with Gerber Covariance Estimator for Increased Robustness | springerprofessional.de, accessed on May 23, 2026, </w:t>
      </w:r>
      <w:hyperlink r:id="rId68">
        <w:r w:rsidDel="00000000" w:rsidR="00000000" w:rsidRPr="00000000">
          <w:rPr>
            <w:rFonts w:ascii="Google Sans" w:cs="Google Sans" w:eastAsia="Google Sans" w:hAnsi="Google Sans"/>
            <w:color w:val="0000ee"/>
            <w:sz w:val="24"/>
            <w:szCs w:val="24"/>
            <w:u w:val="single"/>
            <w:rtl w:val="0"/>
          </w:rPr>
          <w:t xml:space="preserve">https://www.springerprofessional.de/en/lstm-based-portfolio-optimization-with-gerber-covariance-estimat/50573694</w:t>
        </w:r>
      </w:hyperlink>
      <w:r w:rsidDel="00000000" w:rsidR="00000000" w:rsidRPr="00000000">
        <w:rPr>
          <w:rtl w:val="0"/>
        </w:rPr>
      </w:r>
    </w:p>
    <w:p w:rsidR="00000000" w:rsidDel="00000000" w:rsidP="00000000" w:rsidRDefault="00000000" w:rsidRPr="00000000" w14:paraId="000000B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Gerber Statistic: a Robust Co-movement Measure for Portfolio Optimization - Hudson Bay Capital, accessed on May 23, 2026, </w:t>
      </w:r>
      <w:hyperlink r:id="rId69">
        <w:r w:rsidDel="00000000" w:rsidR="00000000" w:rsidRPr="00000000">
          <w:rPr>
            <w:rFonts w:ascii="Google Sans" w:cs="Google Sans" w:eastAsia="Google Sans" w:hAnsi="Google Sans"/>
            <w:color w:val="0000ee"/>
            <w:sz w:val="24"/>
            <w:szCs w:val="24"/>
            <w:u w:val="single"/>
            <w:rtl w:val="0"/>
          </w:rPr>
          <w:t xml:space="preserve">https://www.hudsonbaycapital.com/documents/FG/hudsonbay/news/621114_Wolfe_Conference_Presentation.pdf</w:t>
        </w:r>
      </w:hyperlink>
      <w:r w:rsidDel="00000000" w:rsidR="00000000" w:rsidRPr="00000000">
        <w:rPr>
          <w:rtl w:val="0"/>
        </w:rPr>
      </w:r>
    </w:p>
    <w:p w:rsidR="00000000" w:rsidDel="00000000" w:rsidP="00000000" w:rsidRDefault="00000000" w:rsidRPr="00000000" w14:paraId="000000B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dcajasn/Riskfolio-Lib: Portfolio Optimization and Quantitative Strategic Asset Allocation in Python · GitHub, accessed on May 23, 2026, </w:t>
      </w:r>
      <w:hyperlink r:id="rId70">
        <w:r w:rsidDel="00000000" w:rsidR="00000000" w:rsidRPr="00000000">
          <w:rPr>
            <w:rFonts w:ascii="Google Sans" w:cs="Google Sans" w:eastAsia="Google Sans" w:hAnsi="Google Sans"/>
            <w:color w:val="0000ee"/>
            <w:sz w:val="24"/>
            <w:szCs w:val="24"/>
            <w:u w:val="single"/>
            <w:rtl w:val="0"/>
          </w:rPr>
          <w:t xml:space="preserve">https://github.com/dcajasn/Riskfolio-Lib</w:t>
        </w:r>
      </w:hyperlink>
      <w:r w:rsidDel="00000000" w:rsidR="00000000" w:rsidRPr="00000000">
        <w:rPr>
          <w:rtl w:val="0"/>
        </w:rPr>
      </w:r>
    </w:p>
    <w:p w:rsidR="00000000" w:rsidDel="00000000" w:rsidP="00000000" w:rsidRDefault="00000000" w:rsidRPr="00000000" w14:paraId="000000B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Causal Portfolio Optimization: Modern Portfolio Theory 2.0 - causaLens, accessed on May 23, 2026, </w:t>
      </w:r>
      <w:hyperlink r:id="rId71">
        <w:r w:rsidDel="00000000" w:rsidR="00000000" w:rsidRPr="00000000">
          <w:rPr>
            <w:rFonts w:ascii="Google Sans" w:cs="Google Sans" w:eastAsia="Google Sans" w:hAnsi="Google Sans"/>
            <w:color w:val="0000ee"/>
            <w:sz w:val="24"/>
            <w:szCs w:val="24"/>
            <w:u w:val="single"/>
            <w:rtl w:val="0"/>
          </w:rPr>
          <w:t xml:space="preserve">https://causalai.causalens.com/resources/white-papers/portfolio-optimization-beyond-machine-learning/</w:t>
        </w:r>
      </w:hyperlink>
      <w:r w:rsidDel="00000000" w:rsidR="00000000" w:rsidRPr="00000000">
        <w:rPr>
          <w:rtl w:val="0"/>
        </w:rPr>
      </w:r>
    </w:p>
    <w:p w:rsidR="00000000" w:rsidDel="00000000" w:rsidP="00000000" w:rsidRDefault="00000000" w:rsidRPr="00000000" w14:paraId="000000B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Riskfolio-Lib: Portfolio Optimization with Python | by Orenji - Medium, accessed on May 23, 2026, </w:t>
      </w:r>
      <w:hyperlink r:id="rId72">
        <w:r w:rsidDel="00000000" w:rsidR="00000000" w:rsidRPr="00000000">
          <w:rPr>
            <w:rFonts w:ascii="Google Sans" w:cs="Google Sans" w:eastAsia="Google Sans" w:hAnsi="Google Sans"/>
            <w:color w:val="0000ee"/>
            <w:sz w:val="24"/>
            <w:szCs w:val="24"/>
            <w:u w:val="single"/>
            <w:rtl w:val="0"/>
          </w:rPr>
          <w:t xml:space="preserve">https://medium.com/@orenji.eirl/riskfolio-lib-portfolio-optimization-with-python-650c6223e8b1</w:t>
        </w:r>
      </w:hyperlink>
      <w:r w:rsidDel="00000000" w:rsidR="00000000" w:rsidRPr="00000000">
        <w:rPr>
          <w:rtl w:val="0"/>
        </w:rPr>
      </w:r>
    </w:p>
    <w:p w:rsidR="00000000" w:rsidDel="00000000" w:rsidP="00000000" w:rsidRDefault="00000000" w:rsidRPr="00000000" w14:paraId="000000B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Downside risk-return volatilities during Covid 19 outbreak: a comparison across developed and emerging markets - PMC, accessed on May 23, 2026, </w:t>
      </w:r>
      <w:hyperlink r:id="rId73">
        <w:r w:rsidDel="00000000" w:rsidR="00000000" w:rsidRPr="00000000">
          <w:rPr>
            <w:rFonts w:ascii="Google Sans" w:cs="Google Sans" w:eastAsia="Google Sans" w:hAnsi="Google Sans"/>
            <w:color w:val="0000ee"/>
            <w:sz w:val="24"/>
            <w:szCs w:val="24"/>
            <w:u w:val="single"/>
            <w:rtl w:val="0"/>
          </w:rPr>
          <w:t xml:space="preserve">https://pmc.ncbi.nlm.nih.gov/articles/PMC9114284/</w:t>
        </w:r>
      </w:hyperlink>
      <w:r w:rsidDel="00000000" w:rsidR="00000000" w:rsidRPr="00000000">
        <w:rPr>
          <w:rtl w:val="0"/>
        </w:rPr>
      </w:r>
    </w:p>
    <w:p w:rsidR="00000000" w:rsidDel="00000000" w:rsidP="00000000" w:rsidRDefault="00000000" w:rsidRPr="00000000" w14:paraId="000000B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Transaction Costs - skfolio, accessed on May 23, 2026, </w:t>
      </w:r>
      <w:hyperlink r:id="rId74">
        <w:r w:rsidDel="00000000" w:rsidR="00000000" w:rsidRPr="00000000">
          <w:rPr>
            <w:rFonts w:ascii="Google Sans" w:cs="Google Sans" w:eastAsia="Google Sans" w:hAnsi="Google Sans"/>
            <w:color w:val="0000ee"/>
            <w:sz w:val="24"/>
            <w:szCs w:val="24"/>
            <w:u w:val="single"/>
            <w:rtl w:val="0"/>
          </w:rPr>
          <w:t xml:space="preserve">https://skfolio.org/auto_examples/mean_risk/plot_6_transaction_costs.html</w:t>
        </w:r>
      </w:hyperlink>
      <w:r w:rsidDel="00000000" w:rsidR="00000000" w:rsidRPr="00000000">
        <w:rPr>
          <w:rtl w:val="0"/>
        </w:rPr>
      </w:r>
    </w:p>
    <w:p w:rsidR="00000000" w:rsidDel="00000000" w:rsidP="00000000" w:rsidRDefault="00000000" w:rsidRPr="00000000" w14:paraId="000000B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Management Fees - skfolio, accessed on May 23, 2026, </w:t>
      </w:r>
      <w:hyperlink r:id="rId75">
        <w:r w:rsidDel="00000000" w:rsidR="00000000" w:rsidRPr="00000000">
          <w:rPr>
            <w:rFonts w:ascii="Google Sans" w:cs="Google Sans" w:eastAsia="Google Sans" w:hAnsi="Google Sans"/>
            <w:color w:val="0000ee"/>
            <w:sz w:val="24"/>
            <w:szCs w:val="24"/>
            <w:u w:val="single"/>
            <w:rtl w:val="0"/>
          </w:rPr>
          <w:t xml:space="preserve">https://skfolio.org/auto_examples/mean_risk/plot_7_management_fees.html</w:t>
        </w:r>
      </w:hyperlink>
      <w:r w:rsidDel="00000000" w:rsidR="00000000" w:rsidRPr="00000000">
        <w:rPr>
          <w:rtl w:val="0"/>
        </w:rPr>
      </w:r>
    </w:p>
    <w:p w:rsidR="00000000" w:rsidDel="00000000" w:rsidP="00000000" w:rsidRDefault="00000000" w:rsidRPr="00000000" w14:paraId="000000B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skfolio.optimization.EqualWeighted, accessed on May 23, 2026, </w:t>
      </w:r>
      <w:hyperlink r:id="rId76">
        <w:r w:rsidDel="00000000" w:rsidR="00000000" w:rsidRPr="00000000">
          <w:rPr>
            <w:rFonts w:ascii="Google Sans" w:cs="Google Sans" w:eastAsia="Google Sans" w:hAnsi="Google Sans"/>
            <w:color w:val="0000ee"/>
            <w:sz w:val="24"/>
            <w:szCs w:val="24"/>
            <w:u w:val="single"/>
            <w:rtl w:val="0"/>
          </w:rPr>
          <w:t xml:space="preserve">https://skfolio.org/generated/skfolio.optimization.EqualWeighted.html</w:t>
        </w:r>
      </w:hyperlink>
      <w:r w:rsidDel="00000000" w:rsidR="00000000" w:rsidRPr="00000000">
        <w:rPr>
          <w:rtl w:val="0"/>
        </w:rPr>
      </w:r>
    </w:p>
    <w:p w:rsidR="00000000" w:rsidDel="00000000" w:rsidP="00000000" w:rsidRDefault="00000000" w:rsidRPr="00000000" w14:paraId="000000B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skfolio.optimization.RiskBudgeting, accessed on May 23, 2026, </w:t>
      </w:r>
      <w:hyperlink r:id="rId77">
        <w:r w:rsidDel="00000000" w:rsidR="00000000" w:rsidRPr="00000000">
          <w:rPr>
            <w:rFonts w:ascii="Google Sans" w:cs="Google Sans" w:eastAsia="Google Sans" w:hAnsi="Google Sans"/>
            <w:color w:val="0000ee"/>
            <w:sz w:val="24"/>
            <w:szCs w:val="24"/>
            <w:u w:val="single"/>
            <w:rtl w:val="0"/>
          </w:rPr>
          <w:t xml:space="preserve">https://skfolio.org/generated/skfolio.optimization.RiskBudgeting.html</w:t>
        </w:r>
      </w:hyperlink>
      <w:r w:rsidDel="00000000" w:rsidR="00000000" w:rsidRPr="00000000">
        <w:rPr>
          <w:rtl w:val="0"/>
        </w:rPr>
      </w:r>
    </w:p>
    <w:p w:rsidR="00000000" w:rsidDel="00000000" w:rsidP="00000000" w:rsidRDefault="00000000" w:rsidRPr="00000000" w14:paraId="000000B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skfolio.optimization.convex._risk_budgeting — skfolio 0.7.0, accessed on May 23, 2026, </w:t>
      </w:r>
      <w:hyperlink r:id="rId78">
        <w:r w:rsidDel="00000000" w:rsidR="00000000" w:rsidRPr="00000000">
          <w:rPr>
            <w:rFonts w:ascii="Google Sans" w:cs="Google Sans" w:eastAsia="Google Sans" w:hAnsi="Google Sans"/>
            <w:color w:val="0000ee"/>
            <w:sz w:val="24"/>
            <w:szCs w:val="24"/>
            <w:u w:val="single"/>
            <w:rtl w:val="0"/>
          </w:rPr>
          <w:t xml:space="preserve">https://www.aidoczh.com/skfolio/_modules/skfolio/optimization/convex/_risk_budgeting.html</w:t>
        </w:r>
      </w:hyperlink>
      <w:r w:rsidDel="00000000" w:rsidR="00000000" w:rsidRPr="00000000">
        <w:rPr>
          <w:rtl w:val="0"/>
        </w:rPr>
      </w:r>
    </w:p>
    <w:p w:rsidR="00000000" w:rsidDel="00000000" w:rsidP="00000000" w:rsidRDefault="00000000" w:rsidRPr="00000000" w14:paraId="000000B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Machine Learning in Portfolio Optimization: A Comparative Study of Hierarchical Risk Parity and Traditional Allocation Methods - Gupea, accessed on May 23, 2026, </w:t>
      </w:r>
      <w:hyperlink r:id="rId79">
        <w:r w:rsidDel="00000000" w:rsidR="00000000" w:rsidRPr="00000000">
          <w:rPr>
            <w:rFonts w:ascii="Google Sans" w:cs="Google Sans" w:eastAsia="Google Sans" w:hAnsi="Google Sans"/>
            <w:color w:val="0000ee"/>
            <w:sz w:val="24"/>
            <w:szCs w:val="24"/>
            <w:u w:val="single"/>
            <w:rtl w:val="0"/>
          </w:rPr>
          <w:t xml:space="preserve">https://gupea.ub.gu.se/bitstreams/eaf33c7c-0d37-4830-a616-96bf52f57c67/download</w:t>
        </w:r>
      </w:hyperlink>
      <w:r w:rsidDel="00000000" w:rsidR="00000000" w:rsidRPr="00000000">
        <w:rPr>
          <w:rtl w:val="0"/>
        </w:rPr>
      </w:r>
    </w:p>
    <w:p w:rsidR="00000000" w:rsidDel="00000000" w:rsidP="00000000" w:rsidRDefault="00000000" w:rsidRPr="00000000" w14:paraId="000000B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Volatility is Back: Better to Target Returns or Target Risk? - Man Group, accessed on May 23, 2026, </w:t>
      </w:r>
      <w:hyperlink r:id="rId80">
        <w:r w:rsidDel="00000000" w:rsidR="00000000" w:rsidRPr="00000000">
          <w:rPr>
            <w:rFonts w:ascii="Google Sans" w:cs="Google Sans" w:eastAsia="Google Sans" w:hAnsi="Google Sans"/>
            <w:color w:val="0000ee"/>
            <w:sz w:val="24"/>
            <w:szCs w:val="24"/>
            <w:u w:val="single"/>
            <w:rtl w:val="0"/>
          </w:rPr>
          <w:t xml:space="preserve">https://www.man.com/insights/volatility-is-back-better-to-target-returns-or-target-risk</w:t>
        </w:r>
      </w:hyperlink>
      <w:r w:rsidDel="00000000" w:rsidR="00000000" w:rsidRPr="00000000">
        <w:rPr>
          <w:rtl w:val="0"/>
        </w:rPr>
      </w:r>
    </w:p>
    <w:p w:rsidR="00000000" w:rsidDel="00000000" w:rsidP="00000000" w:rsidRDefault="00000000" w:rsidRPr="00000000" w14:paraId="000000B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Risk parity portfolio optimization under a Markov regime-switching framework, accessed on May 23, 2026, </w:t>
      </w:r>
      <w:hyperlink r:id="rId81">
        <w:r w:rsidDel="00000000" w:rsidR="00000000" w:rsidRPr="00000000">
          <w:rPr>
            <w:rFonts w:ascii="Google Sans" w:cs="Google Sans" w:eastAsia="Google Sans" w:hAnsi="Google Sans"/>
            <w:color w:val="0000ee"/>
            <w:sz w:val="24"/>
            <w:szCs w:val="24"/>
            <w:u w:val="single"/>
            <w:rtl w:val="0"/>
          </w:rPr>
          <w:t xml:space="preserve">https://www.researchgate.net/publication/326756996_Risk_parity_portfolio_optimization_under_a_Markov_regime-switching_framework</w:t>
        </w:r>
      </w:hyperlink>
      <w:r w:rsidDel="00000000" w:rsidR="00000000" w:rsidRPr="00000000">
        <w:rPr>
          <w:rtl w:val="0"/>
        </w:rPr>
      </w:r>
    </w:p>
    <w:p w:rsidR="00000000" w:rsidDel="00000000" w:rsidP="00000000" w:rsidRDefault="00000000" w:rsidRPr="00000000" w14:paraId="000000B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Markov switching autoregression models - statsmodels 0.15.0 (+990), accessed on May 23, 2026, </w:t>
      </w:r>
      <w:hyperlink r:id="rId82">
        <w:r w:rsidDel="00000000" w:rsidR="00000000" w:rsidRPr="00000000">
          <w:rPr>
            <w:rFonts w:ascii="Google Sans" w:cs="Google Sans" w:eastAsia="Google Sans" w:hAnsi="Google Sans"/>
            <w:color w:val="0000ee"/>
            <w:sz w:val="24"/>
            <w:szCs w:val="24"/>
            <w:u w:val="single"/>
            <w:rtl w:val="0"/>
          </w:rPr>
          <w:t xml:space="preserve">https://www.statsmodels.org/dev/examples/notebooks/generated/markov_autoregression.html</w:t>
        </w:r>
      </w:hyperlink>
      <w:r w:rsidDel="00000000" w:rsidR="00000000" w:rsidRPr="00000000">
        <w:rPr>
          <w:rtl w:val="0"/>
        </w:rPr>
      </w:r>
    </w:p>
    <w:p w:rsidR="00000000" w:rsidDel="00000000" w:rsidP="00000000" w:rsidRDefault="00000000" w:rsidRPr="00000000" w14:paraId="000000C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Markov switching autoregression models - Statsmodels, accessed on May 23, 2026, </w:t>
      </w:r>
      <w:hyperlink r:id="rId83">
        <w:r w:rsidDel="00000000" w:rsidR="00000000" w:rsidRPr="00000000">
          <w:rPr>
            <w:rFonts w:ascii="Google Sans" w:cs="Google Sans" w:eastAsia="Google Sans" w:hAnsi="Google Sans"/>
            <w:color w:val="0000ee"/>
            <w:sz w:val="24"/>
            <w:szCs w:val="24"/>
            <w:u w:val="single"/>
            <w:rtl w:val="0"/>
          </w:rPr>
          <w:t xml:space="preserve">https://www.statsmodels.org/0.8.0/examples/notebooks/generated/markov_autoregression.html</w:t>
        </w:r>
      </w:hyperlink>
      <w:r w:rsidDel="00000000" w:rsidR="00000000" w:rsidRPr="00000000">
        <w:rPr>
          <w:rtl w:val="0"/>
        </w:rPr>
      </w:r>
    </w:p>
    <w:p w:rsidR="00000000" w:rsidDel="00000000" w:rsidP="00000000" w:rsidRDefault="00000000" w:rsidRPr="00000000" w14:paraId="000000C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statsmodels.tsa.regime_switching.markov_autoregression.MarkovAutoregression, accessed on May 23, 2026, </w:t>
      </w:r>
      <w:hyperlink r:id="rId84">
        <w:r w:rsidDel="00000000" w:rsidR="00000000" w:rsidRPr="00000000">
          <w:rPr>
            <w:rFonts w:ascii="Google Sans" w:cs="Google Sans" w:eastAsia="Google Sans" w:hAnsi="Google Sans"/>
            <w:color w:val="0000ee"/>
            <w:sz w:val="24"/>
            <w:szCs w:val="24"/>
            <w:u w:val="single"/>
            <w:rtl w:val="0"/>
          </w:rPr>
          <w:t xml:space="preserve">https://www.statsmodels.org/stable/generated/statsmodels.tsa.regime_switching.markov_autoregression.MarkovAutoregression.html</w:t>
        </w:r>
      </w:hyperlink>
      <w:r w:rsidDel="00000000" w:rsidR="00000000" w:rsidRPr="00000000">
        <w:rPr>
          <w:rtl w:val="0"/>
        </w:rPr>
      </w:r>
    </w:p>
    <w:p w:rsidR="00000000" w:rsidDel="00000000" w:rsidP="00000000" w:rsidRDefault="00000000" w:rsidRPr="00000000" w14:paraId="000000C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Indexing Risk Parity Strategies - S&amp;P Global, accessed on May 23, 2026, </w:t>
      </w:r>
      <w:hyperlink r:id="rId85">
        <w:r w:rsidDel="00000000" w:rsidR="00000000" w:rsidRPr="00000000">
          <w:rPr>
            <w:rFonts w:ascii="Google Sans" w:cs="Google Sans" w:eastAsia="Google Sans" w:hAnsi="Google Sans"/>
            <w:color w:val="0000ee"/>
            <w:sz w:val="24"/>
            <w:szCs w:val="24"/>
            <w:u w:val="single"/>
            <w:rtl w:val="0"/>
          </w:rPr>
          <w:t xml:space="preserve">https://www.spglobal.com/spdji/en/documents/research/research-indexing-risk-parity-strategies.pdf</w:t>
        </w:r>
      </w:hyperlink>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Exchange Traded Fund (ETF's) - NSE India, accessed on May 23, 2026, </w:t>
      </w:r>
      <w:hyperlink r:id="rId86">
        <w:r w:rsidDel="00000000" w:rsidR="00000000" w:rsidRPr="00000000">
          <w:rPr>
            <w:rFonts w:ascii="Google Sans" w:cs="Google Sans" w:eastAsia="Google Sans" w:hAnsi="Google Sans"/>
            <w:color w:val="0000ee"/>
            <w:sz w:val="24"/>
            <w:szCs w:val="24"/>
            <w:u w:val="single"/>
            <w:rtl w:val="0"/>
          </w:rPr>
          <w:t xml:space="preserve">https://www.nseindia.com/market-data/exchange-traded-funds-etf</w:t>
        </w:r>
      </w:hyperlink>
      <w:r w:rsidDel="00000000" w:rsidR="00000000" w:rsidRPr="00000000">
        <w:rPr>
          <w:rtl w:val="0"/>
        </w:rPr>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Learning Time Varying Risk Preferences from Investment Portfolios using Inverse Optimization with Applications on Mutual Funds - arXiv, accessed on May 23, 2026, </w:t>
      </w:r>
      <w:hyperlink r:id="rId87">
        <w:r w:rsidDel="00000000" w:rsidR="00000000" w:rsidRPr="00000000">
          <w:rPr>
            <w:rFonts w:ascii="Google Sans" w:cs="Google Sans" w:eastAsia="Google Sans" w:hAnsi="Google Sans"/>
            <w:color w:val="0000ee"/>
            <w:sz w:val="24"/>
            <w:szCs w:val="24"/>
            <w:u w:val="single"/>
            <w:rtl w:val="0"/>
          </w:rPr>
          <w:t xml:space="preserve">https://arxiv.org/pdf/2010.01687</w:t>
        </w:r>
      </w:hyperlink>
      <w:r w:rsidDel="00000000" w:rsidR="00000000" w:rsidRPr="00000000">
        <w:rPr>
          <w:rtl w:val="0"/>
        </w:rPr>
      </w:r>
    </w:p>
    <w:p w:rsidR="00000000" w:rsidDel="00000000" w:rsidP="00000000" w:rsidRDefault="00000000" w:rsidRPr="00000000" w14:paraId="000000C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Earnings-Call-Dataset - GitHub, accessed on May 23, 2026, </w:t>
      </w:r>
      <w:hyperlink r:id="rId88">
        <w:r w:rsidDel="00000000" w:rsidR="00000000" w:rsidRPr="00000000">
          <w:rPr>
            <w:rFonts w:ascii="Google Sans" w:cs="Google Sans" w:eastAsia="Google Sans" w:hAnsi="Google Sans"/>
            <w:color w:val="0000ee"/>
            <w:sz w:val="24"/>
            <w:szCs w:val="24"/>
            <w:u w:val="single"/>
            <w:rtl w:val="0"/>
          </w:rPr>
          <w:t xml:space="preserve">https://github.com/Earnings-Call-Dataset</w:t>
        </w:r>
      </w:hyperlink>
      <w:r w:rsidDel="00000000" w:rsidR="00000000" w:rsidRPr="00000000">
        <w:rPr>
          <w:rtl w:val="0"/>
        </w:rPr>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Words That Unite The World: A Unified Framework for Deciphering Central‑Bank Communications Globally - GitHub, accessed on May 23, 2026, </w:t>
      </w:r>
      <w:hyperlink r:id="rId89">
        <w:r w:rsidDel="00000000" w:rsidR="00000000" w:rsidRPr="00000000">
          <w:rPr>
            <w:rFonts w:ascii="Google Sans" w:cs="Google Sans" w:eastAsia="Google Sans" w:hAnsi="Google Sans"/>
            <w:color w:val="0000ee"/>
            <w:sz w:val="24"/>
            <w:szCs w:val="24"/>
            <w:u w:val="single"/>
            <w:rtl w:val="0"/>
          </w:rPr>
          <w:t xml:space="preserve">https://github.com/gtfintechlab/WorldsCentralBanks</w:t>
        </w:r>
      </w:hyperlink>
      <w:r w:rsidDel="00000000" w:rsidR="00000000" w:rsidRPr="00000000">
        <w:rPr>
          <w:rtl w:val="0"/>
        </w:rPr>
      </w:r>
    </w:p>
    <w:p w:rsidR="00000000" w:rsidDel="00000000" w:rsidP="00000000" w:rsidRDefault="00000000" w:rsidRPr="00000000" w14:paraId="000000C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gtfintechlab/model_WCB_stance_label - Hugging Face, accessed on May 23, 2026, </w:t>
      </w:r>
      <w:hyperlink r:id="rId90">
        <w:r w:rsidDel="00000000" w:rsidR="00000000" w:rsidRPr="00000000">
          <w:rPr>
            <w:rFonts w:ascii="Google Sans" w:cs="Google Sans" w:eastAsia="Google Sans" w:hAnsi="Google Sans"/>
            <w:color w:val="0000ee"/>
            <w:sz w:val="24"/>
            <w:szCs w:val="24"/>
            <w:u w:val="single"/>
            <w:rtl w:val="0"/>
          </w:rPr>
          <w:t xml:space="preserve">https://huggingface.co/gtfintechlab/model_WCB_stance_label</w:t>
        </w:r>
      </w:hyperlink>
      <w:r w:rsidDel="00000000" w:rsidR="00000000" w:rsidRPr="00000000">
        <w:rPr>
          <w:rtl w:val="0"/>
        </w:rPr>
      </w:r>
    </w:p>
    <w:p w:rsidR="00000000" w:rsidDel="00000000" w:rsidP="00000000" w:rsidRDefault="00000000" w:rsidRPr="00000000" w14:paraId="000000C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martingeew/central_bank_sentiment - GitHub, accessed on May 23, 2026, </w:t>
      </w:r>
      <w:hyperlink r:id="rId91">
        <w:r w:rsidDel="00000000" w:rsidR="00000000" w:rsidRPr="00000000">
          <w:rPr>
            <w:rFonts w:ascii="Google Sans" w:cs="Google Sans" w:eastAsia="Google Sans" w:hAnsi="Google Sans"/>
            <w:color w:val="0000ee"/>
            <w:sz w:val="24"/>
            <w:szCs w:val="24"/>
            <w:u w:val="single"/>
            <w:rtl w:val="0"/>
          </w:rPr>
          <w:t xml:space="preserve">https://github.com/martingeew/central_bank_sentiment</w:t>
        </w:r>
      </w:hyperlink>
      <w:r w:rsidDel="00000000" w:rsidR="00000000" w:rsidRPr="00000000">
        <w:rPr>
          <w:rtl w:val="0"/>
        </w:rPr>
      </w:r>
    </w:p>
    <w:p w:rsidR="00000000" w:rsidDel="00000000" w:rsidP="00000000" w:rsidRDefault="00000000" w:rsidRPr="00000000" w14:paraId="000000C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danieleongari/investing_economic_indicators: List of economic indicators from Investing.com - GitHub, accessed on May 23, 2026, </w:t>
      </w:r>
      <w:hyperlink r:id="rId92">
        <w:r w:rsidDel="00000000" w:rsidR="00000000" w:rsidRPr="00000000">
          <w:rPr>
            <w:rFonts w:ascii="Google Sans" w:cs="Google Sans" w:eastAsia="Google Sans" w:hAnsi="Google Sans"/>
            <w:color w:val="0000ee"/>
            <w:sz w:val="24"/>
            <w:szCs w:val="24"/>
            <w:u w:val="single"/>
            <w:rtl w:val="0"/>
          </w:rPr>
          <w:t xml:space="preserve">https://github.com/danieleongari/investing_economic_indicators</w:t>
        </w:r>
      </w:hyperlink>
      <w:r w:rsidDel="00000000" w:rsidR="00000000" w:rsidRPr="00000000">
        <w:rPr>
          <w:rtl w:val="0"/>
        </w:rPr>
      </w:r>
    </w:p>
    <w:p w:rsidR="00000000" w:rsidDel="00000000" w:rsidP="00000000" w:rsidRDefault="00000000" w:rsidRPr="00000000" w14:paraId="000000C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Reserve Bank of India Monetary Policy, accessed on May 23, 2026, </w:t>
      </w:r>
      <w:hyperlink r:id="rId93">
        <w:r w:rsidDel="00000000" w:rsidR="00000000" w:rsidRPr="00000000">
          <w:rPr>
            <w:rFonts w:ascii="Google Sans" w:cs="Google Sans" w:eastAsia="Google Sans" w:hAnsi="Google Sans"/>
            <w:color w:val="0000ee"/>
            <w:sz w:val="24"/>
            <w:szCs w:val="24"/>
            <w:u w:val="single"/>
            <w:rtl w:val="0"/>
          </w:rPr>
          <w:t xml:space="preserve">https://rbi.org.in/commonperson/English/scripts/commpol.aspx</w:t>
        </w:r>
      </w:hyperlink>
      <w:r w:rsidDel="00000000" w:rsidR="00000000" w:rsidRPr="00000000">
        <w:rPr>
          <w:rtl w:val="0"/>
        </w:rPr>
      </w:r>
    </w:p>
    <w:p w:rsidR="00000000" w:rsidDel="00000000" w:rsidP="00000000" w:rsidRDefault="00000000" w:rsidRPr="00000000" w14:paraId="000000C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RBI Issues June 2025 Monetary Policy Update - PIB, accessed on May 23, 2026, </w:t>
      </w:r>
      <w:hyperlink r:id="rId94">
        <w:r w:rsidDel="00000000" w:rsidR="00000000" w:rsidRPr="00000000">
          <w:rPr>
            <w:rFonts w:ascii="Google Sans" w:cs="Google Sans" w:eastAsia="Google Sans" w:hAnsi="Google Sans"/>
            <w:color w:val="0000ee"/>
            <w:sz w:val="24"/>
            <w:szCs w:val="24"/>
            <w:u w:val="single"/>
            <w:rtl w:val="0"/>
          </w:rPr>
          <w:t xml:space="preserve">https://www.pib.gov.in/PressNoteDetails.aspx?NoteId=154573&amp;ModuleId=3</w:t>
        </w:r>
      </w:hyperlink>
      <w:r w:rsidDel="00000000" w:rsidR="00000000" w:rsidRPr="00000000">
        <w:rPr>
          <w:rtl w:val="0"/>
        </w:rPr>
      </w:r>
    </w:p>
    <w:p w:rsidR="00000000" w:rsidDel="00000000" w:rsidP="00000000" w:rsidRDefault="00000000" w:rsidRPr="00000000" w14:paraId="000000C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WCB - a gtfintechlab Collection - Hugging Face, accessed on May 23, 2026, </w:t>
      </w:r>
      <w:hyperlink r:id="rId95">
        <w:r w:rsidDel="00000000" w:rsidR="00000000" w:rsidRPr="00000000">
          <w:rPr>
            <w:rFonts w:ascii="Google Sans" w:cs="Google Sans" w:eastAsia="Google Sans" w:hAnsi="Google Sans"/>
            <w:color w:val="0000ee"/>
            <w:sz w:val="24"/>
            <w:szCs w:val="24"/>
            <w:u w:val="single"/>
            <w:rtl w:val="0"/>
          </w:rPr>
          <w:t xml:space="preserve">https://huggingface.co/collections/gtfintechlab/wcb</w:t>
        </w:r>
      </w:hyperlink>
      <w:r w:rsidDel="00000000" w:rsidR="00000000" w:rsidRPr="00000000">
        <w:rPr>
          <w:rtl w:val="0"/>
        </w:rPr>
      </w:r>
    </w:p>
    <w:p w:rsidR="00000000" w:rsidDel="00000000" w:rsidP="00000000" w:rsidRDefault="00000000" w:rsidRPr="00000000" w14:paraId="000000C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gtfintechlab/model_reserve_bank_of_india_stance_label - Hugging Face, accessed on May 23, 2026, </w:t>
      </w:r>
      <w:hyperlink r:id="rId96">
        <w:r w:rsidDel="00000000" w:rsidR="00000000" w:rsidRPr="00000000">
          <w:rPr>
            <w:rFonts w:ascii="Google Sans" w:cs="Google Sans" w:eastAsia="Google Sans" w:hAnsi="Google Sans"/>
            <w:color w:val="0000ee"/>
            <w:sz w:val="24"/>
            <w:szCs w:val="24"/>
            <w:u w:val="single"/>
            <w:rtl w:val="0"/>
          </w:rPr>
          <w:t xml:space="preserve">https://huggingface.co/gtfintechlab/model_reserve_bank_of_india_stance_label</w:t>
        </w:r>
      </w:hyperlink>
      <w:r w:rsidDel="00000000" w:rsidR="00000000" w:rsidRPr="00000000">
        <w:rPr>
          <w:rtl w:val="0"/>
        </w:rPr>
      </w:r>
    </w:p>
    <w:p w:rsidR="00000000" w:rsidDel="00000000" w:rsidP="00000000" w:rsidRDefault="00000000" w:rsidRPr="00000000" w14:paraId="000000C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gtfintechlab/model_reserve_bank_of_india_certain_label · Hugging, accessed on May 23, 2026, </w:t>
      </w:r>
      <w:hyperlink r:id="rId97">
        <w:r w:rsidDel="00000000" w:rsidR="00000000" w:rsidRPr="00000000">
          <w:rPr>
            <w:rFonts w:ascii="Google Sans" w:cs="Google Sans" w:eastAsia="Google Sans" w:hAnsi="Google Sans"/>
            <w:color w:val="0000ee"/>
            <w:sz w:val="24"/>
            <w:szCs w:val="24"/>
            <w:u w:val="single"/>
            <w:rtl w:val="0"/>
          </w:rPr>
          <w:t xml:space="preserve">https://huggingface.co/gtfintechlab/model_reserve_bank_of_india_certain_label</w:t>
        </w:r>
      </w:hyperlink>
      <w:r w:rsidDel="00000000" w:rsidR="00000000" w:rsidRPr="00000000">
        <w:rPr>
          <w:rtl w:val="0"/>
        </w:rPr>
      </w:r>
    </w:p>
    <w:p w:rsidR="00000000" w:rsidDel="00000000" w:rsidP="00000000" w:rsidRDefault="00000000" w:rsidRPr="00000000" w14:paraId="000000C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gtfintechlab/model_reserve_bank_of_india_time_label - Hugging Face, accessed on May 23, 2026, </w:t>
      </w:r>
      <w:hyperlink r:id="rId98">
        <w:r w:rsidDel="00000000" w:rsidR="00000000" w:rsidRPr="00000000">
          <w:rPr>
            <w:rFonts w:ascii="Google Sans" w:cs="Google Sans" w:eastAsia="Google Sans" w:hAnsi="Google Sans"/>
            <w:color w:val="0000ee"/>
            <w:sz w:val="24"/>
            <w:szCs w:val="24"/>
            <w:u w:val="single"/>
            <w:rtl w:val="0"/>
          </w:rPr>
          <w:t xml:space="preserve">https://huggingface.co/gtfintechlab/model_reserve_bank_of_india_time_label</w:t>
        </w:r>
      </w:hyperlink>
      <w:r w:rsidDel="00000000" w:rsidR="00000000" w:rsidRPr="00000000">
        <w:rPr>
          <w:rtl w:val="0"/>
        </w:rPr>
      </w:r>
    </w:p>
    <w:p w:rsidR="00000000" w:rsidDel="00000000" w:rsidP="00000000" w:rsidRDefault="00000000" w:rsidRPr="00000000" w14:paraId="000000D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Comprehensive Appraisal of Style-Integration Methods - City Research Online, accessed on May 23, 2026, </w:t>
      </w:r>
      <w:hyperlink r:id="rId99">
        <w:r w:rsidDel="00000000" w:rsidR="00000000" w:rsidRPr="00000000">
          <w:rPr>
            <w:rFonts w:ascii="Google Sans" w:cs="Google Sans" w:eastAsia="Google Sans" w:hAnsi="Google Sans"/>
            <w:color w:val="0000ee"/>
            <w:sz w:val="24"/>
            <w:szCs w:val="24"/>
            <w:u w:val="single"/>
            <w:rtl w:val="0"/>
          </w:rPr>
          <w:t xml:space="preserve">https://openaccess.city.ac.uk/id/eprint/22246/</w:t>
        </w:r>
      </w:hyperlink>
      <w:r w:rsidDel="00000000" w:rsidR="00000000" w:rsidRPr="00000000">
        <w:rPr>
          <w:rtl w:val="0"/>
        </w:rPr>
      </w:r>
    </w:p>
    <w:p w:rsidR="00000000" w:rsidDel="00000000" w:rsidP="00000000" w:rsidRDefault="00000000" w:rsidRPr="00000000" w14:paraId="000000D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Investing in Megatrends: A Risk-Adjusted Performance Comparison of Thematic and Sector ETFs - Helda, accessed on May 23, 2026, </w:t>
      </w:r>
      <w:hyperlink r:id="rId100">
        <w:r w:rsidDel="00000000" w:rsidR="00000000" w:rsidRPr="00000000">
          <w:rPr>
            <w:rFonts w:ascii="Google Sans" w:cs="Google Sans" w:eastAsia="Google Sans" w:hAnsi="Google Sans"/>
            <w:color w:val="0000ee"/>
            <w:sz w:val="24"/>
            <w:szCs w:val="24"/>
            <w:u w:val="single"/>
            <w:rtl w:val="0"/>
          </w:rPr>
          <w:t xml:space="preserve">https://helda.helsinki.fi/bitstreams/2bc06479-8315-4314-8779-5102a5706190/download</w:t>
        </w:r>
      </w:hyperlink>
      <w:r w:rsidDel="00000000" w:rsidR="00000000" w:rsidRPr="00000000">
        <w:rPr>
          <w:rtl w:val="0"/>
        </w:rPr>
      </w:r>
    </w:p>
    <w:p w:rsidR="00000000" w:rsidDel="00000000" w:rsidP="00000000" w:rsidRDefault="00000000" w:rsidRPr="00000000" w14:paraId="000000D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new class of Shariah-compliant portfolio optimization model: diversification analysis, accessed on May 23, 2026, </w:t>
      </w:r>
      <w:hyperlink r:id="rId101">
        <w:r w:rsidDel="00000000" w:rsidR="00000000" w:rsidRPr="00000000">
          <w:rPr>
            <w:rFonts w:ascii="Google Sans" w:cs="Google Sans" w:eastAsia="Google Sans" w:hAnsi="Google Sans"/>
            <w:color w:val="0000ee"/>
            <w:sz w:val="24"/>
            <w:szCs w:val="24"/>
            <w:u w:val="single"/>
            <w:rtl w:val="0"/>
          </w:rPr>
          <w:t xml:space="preserve">https://www.aimspress.com/article/doi/10.3934/math.20231066?viewType=HTML</w:t>
        </w:r>
      </w:hyperlink>
      <w:r w:rsidDel="00000000" w:rsidR="00000000" w:rsidRPr="00000000">
        <w:rPr>
          <w:rtl w:val="0"/>
        </w:rPr>
      </w:r>
    </w:p>
    <w:p w:rsidR="00000000" w:rsidDel="00000000" w:rsidP="00000000" w:rsidRDefault="00000000" w:rsidRPr="00000000" w14:paraId="000000D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MiMIC: Multi-Modal Indian Earnings Calls Dataset to Predict Stock Prices - ResearchGate, accessed on May 23, 2026, </w:t>
      </w:r>
      <w:hyperlink r:id="rId102">
        <w:r w:rsidDel="00000000" w:rsidR="00000000" w:rsidRPr="00000000">
          <w:rPr>
            <w:rFonts w:ascii="Google Sans" w:cs="Google Sans" w:eastAsia="Google Sans" w:hAnsi="Google Sans"/>
            <w:color w:val="0000ee"/>
            <w:sz w:val="24"/>
            <w:szCs w:val="24"/>
            <w:u w:val="single"/>
            <w:rtl w:val="0"/>
          </w:rPr>
          <w:t xml:space="preserve">https://www.researchgate.net/publication/390773323_MiMIC_Multi-Modal_Indian_Earnings_Calls_Dataset_to_Predict_Stock_Prices</w:t>
        </w:r>
      </w:hyperlink>
      <w:r w:rsidDel="00000000" w:rsidR="00000000" w:rsidRPr="00000000">
        <w:rPr>
          <w:rtl w:val="0"/>
        </w:rPr>
      </w:r>
    </w:p>
    <w:p w:rsidR="00000000" w:rsidDel="00000000" w:rsidP="00000000" w:rsidRDefault="00000000" w:rsidRPr="00000000" w14:paraId="000000D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MiMIC: Multi-Modal Indian Earnings Calls Dataset to Predict Stock Prices - Hugging Face, accessed on May 23, 2026, </w:t>
      </w:r>
      <w:hyperlink r:id="rId103">
        <w:r w:rsidDel="00000000" w:rsidR="00000000" w:rsidRPr="00000000">
          <w:rPr>
            <w:rFonts w:ascii="Google Sans" w:cs="Google Sans" w:eastAsia="Google Sans" w:hAnsi="Google Sans"/>
            <w:color w:val="0000ee"/>
            <w:sz w:val="24"/>
            <w:szCs w:val="24"/>
            <w:u w:val="single"/>
            <w:rtl w:val="0"/>
          </w:rPr>
          <w:t xml:space="preserve">https://huggingface.co/papers/2504.09257</w:t>
        </w:r>
      </w:hyperlink>
      <w:r w:rsidDel="00000000" w:rsidR="00000000" w:rsidRPr="00000000">
        <w:rPr>
          <w:rtl w:val="0"/>
        </w:rPr>
      </w:r>
    </w:p>
    <w:p w:rsidR="00000000" w:rsidDel="00000000" w:rsidP="00000000" w:rsidRDefault="00000000" w:rsidRPr="00000000" w14:paraId="000000D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Combined Algorithm Approach for Optimizing Portfolio Performance in Automated Trading: A Study of SET50 Stocks - MDPI, accessed on May 23, 2026, </w:t>
      </w:r>
      <w:hyperlink r:id="rId104">
        <w:r w:rsidDel="00000000" w:rsidR="00000000" w:rsidRPr="00000000">
          <w:rPr>
            <w:rFonts w:ascii="Google Sans" w:cs="Google Sans" w:eastAsia="Google Sans" w:hAnsi="Google Sans"/>
            <w:color w:val="0000ee"/>
            <w:sz w:val="24"/>
            <w:szCs w:val="24"/>
            <w:u w:val="single"/>
            <w:rtl w:val="0"/>
          </w:rPr>
          <w:t xml:space="preserve">https://www.mdpi.com/2227-7390/13/3/461</w:t>
        </w:r>
      </w:hyperlink>
      <w:r w:rsidDel="00000000" w:rsidR="00000000" w:rsidRPr="00000000">
        <w:rPr>
          <w:rtl w:val="0"/>
        </w:rPr>
      </w:r>
    </w:p>
    <w:p w:rsidR="00000000" w:rsidDel="00000000" w:rsidP="00000000" w:rsidRDefault="00000000" w:rsidRPr="00000000" w14:paraId="000000D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Dynamic multi-period sparse portfolio selection model with asymmetric investors' sentiments, accessed on May 23, 2026, </w:t>
      </w:r>
      <w:hyperlink r:id="rId105">
        <w:r w:rsidDel="00000000" w:rsidR="00000000" w:rsidRPr="00000000">
          <w:rPr>
            <w:rFonts w:ascii="Google Sans" w:cs="Google Sans" w:eastAsia="Google Sans" w:hAnsi="Google Sans"/>
            <w:color w:val="0000ee"/>
            <w:sz w:val="24"/>
            <w:szCs w:val="24"/>
            <w:u w:val="single"/>
            <w:rtl w:val="0"/>
          </w:rPr>
          <w:t xml:space="preserve">https://www.researchgate.net/publication/350565868_Dynamic_multi-period_sparse_portfolio_selection_model_with_asymmetric_investors'_sentiments</w:t>
        </w:r>
      </w:hyperlink>
      <w:r w:rsidDel="00000000" w:rsidR="00000000" w:rsidRPr="00000000">
        <w:rPr>
          <w:rtl w:val="0"/>
        </w:rPr>
      </w:r>
    </w:p>
    <w:p w:rsidR="00000000" w:rsidDel="00000000" w:rsidP="00000000" w:rsidRDefault="00000000" w:rsidRPr="00000000" w14:paraId="000000D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Behavioral Portfolio Model with Interval Return and Investor's Sentiment, accessed on May 23, 2026, </w:t>
      </w:r>
      <w:hyperlink r:id="rId106">
        <w:r w:rsidDel="00000000" w:rsidR="00000000" w:rsidRPr="00000000">
          <w:rPr>
            <w:rFonts w:ascii="Google Sans" w:cs="Google Sans" w:eastAsia="Google Sans" w:hAnsi="Google Sans"/>
            <w:color w:val="0000ee"/>
            <w:sz w:val="24"/>
            <w:szCs w:val="24"/>
            <w:u w:val="single"/>
            <w:rtl w:val="0"/>
          </w:rPr>
          <w:t xml:space="preserve">https://pubs.sciepub.com/jfe/7/4/1/index.html</w:t>
        </w:r>
      </w:hyperlink>
      <w:r w:rsidDel="00000000" w:rsidR="00000000" w:rsidRPr="00000000">
        <w:rPr>
          <w:rtl w:val="0"/>
        </w:rPr>
      </w:r>
    </w:p>
    <w:p w:rsidR="00000000" w:rsidDel="00000000" w:rsidP="00000000" w:rsidRDefault="00000000" w:rsidRPr="00000000" w14:paraId="000000D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Historical Index Data - NSE, accessed on May 23, 2026, </w:t>
      </w:r>
      <w:hyperlink r:id="rId107">
        <w:r w:rsidDel="00000000" w:rsidR="00000000" w:rsidRPr="00000000">
          <w:rPr>
            <w:rFonts w:ascii="Google Sans" w:cs="Google Sans" w:eastAsia="Google Sans" w:hAnsi="Google Sans"/>
            <w:color w:val="0000ee"/>
            <w:sz w:val="24"/>
            <w:szCs w:val="24"/>
            <w:u w:val="single"/>
            <w:rtl w:val="0"/>
          </w:rPr>
          <w:t xml:space="preserve">https://www.nseindia.com/reports-indices-historical-index-data</w:t>
        </w:r>
      </w:hyperlink>
      <w:r w:rsidDel="00000000" w:rsidR="00000000" w:rsidRPr="00000000">
        <w:rPr>
          <w:rtl w:val="0"/>
        </w:rPr>
      </w:r>
    </w:p>
    <w:p w:rsidR="00000000" w:rsidDel="00000000" w:rsidP="00000000" w:rsidRDefault="00000000" w:rsidRPr="00000000" w14:paraId="000000D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SIP ETF Dataset (Nifty, BankNifty, Gold &amp; Silver) - Kaggle, accessed on May 23, 2026, </w:t>
      </w:r>
      <w:hyperlink r:id="rId108">
        <w:r w:rsidDel="00000000" w:rsidR="00000000" w:rsidRPr="00000000">
          <w:rPr>
            <w:rFonts w:ascii="Google Sans" w:cs="Google Sans" w:eastAsia="Google Sans" w:hAnsi="Google Sans"/>
            <w:color w:val="0000ee"/>
            <w:sz w:val="24"/>
            <w:szCs w:val="24"/>
            <w:u w:val="single"/>
            <w:rtl w:val="0"/>
          </w:rPr>
          <w:t xml:space="preserve">https://www.kaggle.com/datasets/vivek468/sip-dataset-nifty-banknifty-gold-and-silver</w:t>
        </w:r>
      </w:hyperlink>
      <w:r w:rsidDel="00000000" w:rsidR="00000000" w:rsidRPr="00000000">
        <w:rPr>
          <w:rtl w:val="0"/>
        </w:rPr>
      </w:r>
    </w:p>
    <w:p w:rsidR="00000000" w:rsidDel="00000000" w:rsidP="00000000" w:rsidRDefault="00000000" w:rsidRPr="00000000" w14:paraId="000000D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Daily ETF Picker, accessed on May 23, 2026, </w:t>
      </w:r>
      <w:hyperlink r:id="rId109">
        <w:r w:rsidDel="00000000" w:rsidR="00000000" w:rsidRPr="00000000">
          <w:rPr>
            <w:rFonts w:ascii="Google Sans" w:cs="Google Sans" w:eastAsia="Google Sans" w:hAnsi="Google Sans"/>
            <w:color w:val="0000ee"/>
            <w:sz w:val="24"/>
            <w:szCs w:val="24"/>
            <w:u w:val="single"/>
            <w:rtl w:val="0"/>
          </w:rPr>
          <w:t xml:space="preserve">https://eftpickerwithbacktest.streamlit.app/</w:t>
        </w:r>
      </w:hyperlink>
      <w:r w:rsidDel="00000000" w:rsidR="00000000" w:rsidRPr="00000000">
        <w:rPr>
          <w:rtl w:val="0"/>
        </w:rPr>
      </w:r>
    </w:p>
    <w:p w:rsidR="00000000" w:rsidDel="00000000" w:rsidP="00000000" w:rsidRDefault="00000000" w:rsidRPr="00000000" w14:paraId="000000D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Importing Financial Data from Yahoo Finance - Kaggle, accessed on May 23, 2026, </w:t>
      </w:r>
      <w:hyperlink r:id="rId110">
        <w:r w:rsidDel="00000000" w:rsidR="00000000" w:rsidRPr="00000000">
          <w:rPr>
            <w:rFonts w:ascii="Google Sans" w:cs="Google Sans" w:eastAsia="Google Sans" w:hAnsi="Google Sans"/>
            <w:color w:val="0000ee"/>
            <w:sz w:val="24"/>
            <w:szCs w:val="24"/>
            <w:u w:val="single"/>
            <w:rtl w:val="0"/>
          </w:rPr>
          <w:t xml:space="preserve">https://www.kaggle.com/code/dheerparikh/importing-financial-data-from-yahoo-finance</w:t>
        </w:r>
      </w:hyperlink>
      <w:r w:rsidDel="00000000" w:rsidR="00000000" w:rsidRPr="00000000">
        <w:rPr>
          <w:rtl w:val="0"/>
        </w:rPr>
      </w:r>
    </w:p>
    <w:p w:rsidR="00000000" w:rsidDel="00000000" w:rsidP="00000000" w:rsidRDefault="00000000" w:rsidRPr="00000000" w14:paraId="000000D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sohomghosh/MiMIC_Multi-Modal_Indian_Earnings_Calls_Dataset · Datasets at Hugging Face, accessed on May 23, 2026, </w:t>
      </w:r>
      <w:hyperlink r:id="rId111">
        <w:r w:rsidDel="00000000" w:rsidR="00000000" w:rsidRPr="00000000">
          <w:rPr>
            <w:rFonts w:ascii="Google Sans" w:cs="Google Sans" w:eastAsia="Google Sans" w:hAnsi="Google Sans"/>
            <w:color w:val="0000ee"/>
            <w:sz w:val="24"/>
            <w:szCs w:val="24"/>
            <w:u w:val="single"/>
            <w:rtl w:val="0"/>
          </w:rPr>
          <w:t xml:space="preserve">https://huggingface.co/datasets/sohomghosh/MiMIC_Multi-Modal_Indian_Earnings_Calls_Dataset</w:t>
        </w:r>
      </w:hyperlink>
      <w:r w:rsidDel="00000000" w:rsidR="00000000" w:rsidRPr="00000000">
        <w:rPr>
          <w:rtl w:val="0"/>
        </w:rPr>
      </w:r>
    </w:p>
    <w:p w:rsidR="00000000" w:rsidDel="00000000" w:rsidP="00000000" w:rsidRDefault="00000000" w:rsidRPr="00000000" w14:paraId="000000D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gtfintechlab/reserve_bank_of_india · Datasets at Hugging Face, accessed on May 23, 2026, </w:t>
      </w:r>
      <w:hyperlink r:id="rId112">
        <w:r w:rsidDel="00000000" w:rsidR="00000000" w:rsidRPr="00000000">
          <w:rPr>
            <w:rFonts w:ascii="Google Sans" w:cs="Google Sans" w:eastAsia="Google Sans" w:hAnsi="Google Sans"/>
            <w:color w:val="0000ee"/>
            <w:sz w:val="24"/>
            <w:szCs w:val="24"/>
            <w:u w:val="single"/>
            <w:rtl w:val="0"/>
          </w:rPr>
          <w:t xml:space="preserve">https://huggingface.co/datasets/gtfintechlab/reserve_bank_of_india</w:t>
        </w:r>
      </w:hyperlink>
      <w:r w:rsidDel="00000000" w:rsidR="00000000" w:rsidRPr="00000000">
        <w:rPr>
          <w:rtl w:val="0"/>
        </w:rPr>
      </w:r>
    </w:p>
    <w:p w:rsidR="00000000" w:rsidDel="00000000" w:rsidP="00000000" w:rsidRDefault="00000000" w:rsidRPr="00000000" w14:paraId="000000D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NIFTY 50 Stock Market Data (2000-2023) - Kaggle, accessed on May 23, 2026, </w:t>
      </w:r>
      <w:hyperlink r:id="rId113">
        <w:r w:rsidDel="00000000" w:rsidR="00000000" w:rsidRPr="00000000">
          <w:rPr>
            <w:rFonts w:ascii="Google Sans" w:cs="Google Sans" w:eastAsia="Google Sans" w:hAnsi="Google Sans"/>
            <w:color w:val="0000ee"/>
            <w:sz w:val="24"/>
            <w:szCs w:val="24"/>
            <w:u w:val="single"/>
            <w:rtl w:val="0"/>
          </w:rPr>
          <w:t xml:space="preserve">https://www.kaggle.com/datasets/rockyjoseph/nifty-50-stock-market-data-2000-2023</w:t>
        </w:r>
      </w:hyperlink>
      <w:r w:rsidDel="00000000" w:rsidR="00000000" w:rsidRPr="00000000">
        <w:rPr>
          <w:rtl w:val="0"/>
        </w:rPr>
      </w:r>
    </w:p>
    <w:p w:rsidR="00000000" w:rsidDel="00000000" w:rsidP="00000000" w:rsidRDefault="00000000" w:rsidRPr="00000000" w14:paraId="000000D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Using Deep Reinforcement Learning with Hierarchical Risk Parity for Portfolio Optimization, accessed on May 23, 2026, </w:t>
      </w:r>
      <w:hyperlink r:id="rId114">
        <w:r w:rsidDel="00000000" w:rsidR="00000000" w:rsidRPr="00000000">
          <w:rPr>
            <w:rFonts w:ascii="Google Sans" w:cs="Google Sans" w:eastAsia="Google Sans" w:hAnsi="Google Sans"/>
            <w:color w:val="0000ee"/>
            <w:sz w:val="24"/>
            <w:szCs w:val="24"/>
            <w:u w:val="single"/>
            <w:rtl w:val="0"/>
          </w:rPr>
          <w:t xml:space="preserve">https://ideas.repec.org/a/gam/jijfss/v11y2022i1p10-d1019580.html</w:t>
        </w:r>
      </w:hyperlink>
      <w:r w:rsidDel="00000000" w:rsidR="00000000" w:rsidRPr="00000000">
        <w:rPr>
          <w:rtl w:val="0"/>
        </w:rPr>
      </w:r>
    </w:p>
    <w:p w:rsidR="00000000" w:rsidDel="00000000" w:rsidP="00000000" w:rsidRDefault="00000000" w:rsidRPr="00000000" w14:paraId="000000E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Maximizing the Rebalancing Premium: Why Risk Parity portfolios are much greater than the sum of their parts - ReSolve Asset Management, accessed on May 23, 2026, </w:t>
      </w:r>
      <w:hyperlink r:id="rId115">
        <w:r w:rsidDel="00000000" w:rsidR="00000000" w:rsidRPr="00000000">
          <w:rPr>
            <w:rFonts w:ascii="Google Sans" w:cs="Google Sans" w:eastAsia="Google Sans" w:hAnsi="Google Sans"/>
            <w:color w:val="0000ee"/>
            <w:sz w:val="24"/>
            <w:szCs w:val="24"/>
            <w:u w:val="single"/>
            <w:rtl w:val="0"/>
          </w:rPr>
          <w:t xml:space="preserve">https://investresolve.com/maximizing-the-rebalancing-premium-why-risk-parity-portfolios-are-much-greater-than-the-sum-of-their-parts/</w:t>
        </w:r>
      </w:hyperlink>
      <w:r w:rsidDel="00000000" w:rsidR="00000000" w:rsidRPr="00000000">
        <w:rPr>
          <w:rtl w:val="0"/>
        </w:rPr>
      </w:r>
    </w:p>
    <w:p w:rsidR="00000000" w:rsidDel="00000000" w:rsidP="00000000" w:rsidRDefault="00000000" w:rsidRPr="00000000" w14:paraId="000000E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General-code-trading-bot/skfolio-portfolio-optimisation.ipynb at main - GitHub, accessed on May 23, 2026, </w:t>
      </w:r>
      <w:hyperlink r:id="rId116">
        <w:r w:rsidDel="00000000" w:rsidR="00000000" w:rsidRPr="00000000">
          <w:rPr>
            <w:rFonts w:ascii="Google Sans" w:cs="Google Sans" w:eastAsia="Google Sans" w:hAnsi="Google Sans"/>
            <w:color w:val="0000ee"/>
            <w:sz w:val="24"/>
            <w:szCs w:val="24"/>
            <w:u w:val="single"/>
            <w:rtl w:val="0"/>
          </w:rPr>
          <w:t xml:space="preserve">https://github.com/CryptoRobotFr/General-code-trading-bot/blob/main/skfolio-portfolio-optimisation.ipynb?ref=crypto-robot.com</w:t>
        </w:r>
      </w:hyperlink>
      <w:r w:rsidDel="00000000" w:rsidR="00000000" w:rsidRPr="00000000">
        <w:rPr>
          <w:rtl w:val="0"/>
        </w:rPr>
      </w:r>
    </w:p>
    <w:p w:rsidR="00000000" w:rsidDel="00000000" w:rsidP="00000000" w:rsidRDefault="00000000" w:rsidRPr="00000000" w14:paraId="000000E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CarloNicolini/autoresearch-skfolio: Inspired by autoresearch but for finance - GitHub, accessed on May 23, 2026, </w:t>
      </w:r>
      <w:hyperlink r:id="rId117">
        <w:r w:rsidDel="00000000" w:rsidR="00000000" w:rsidRPr="00000000">
          <w:rPr>
            <w:rFonts w:ascii="Google Sans" w:cs="Google Sans" w:eastAsia="Google Sans" w:hAnsi="Google Sans"/>
            <w:color w:val="0000ee"/>
            <w:sz w:val="24"/>
            <w:szCs w:val="24"/>
            <w:u w:val="single"/>
            <w:rtl w:val="0"/>
          </w:rPr>
          <w:t xml:space="preserve">https://github.com/carlonicolini/autoresearch-skfolio</w:t>
        </w:r>
      </w:hyperlink>
      <w:r w:rsidDel="00000000" w:rsidR="00000000" w:rsidRPr="00000000">
        <w:rPr>
          <w:rtl w:val="0"/>
        </w:rPr>
      </w:r>
    </w:p>
    <w:p w:rsidR="00000000" w:rsidDel="00000000" w:rsidP="00000000" w:rsidRDefault="00000000" w:rsidRPr="00000000" w14:paraId="000000E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Optimizing Portfolio Construction: Hierarchical Risk Parity (HRP) and Modified HRP Against Traditional Methods - CBS Research Portal, accessed on May 23, 2026, </w:t>
      </w:r>
      <w:hyperlink r:id="rId118">
        <w:r w:rsidDel="00000000" w:rsidR="00000000" w:rsidRPr="00000000">
          <w:rPr>
            <w:rFonts w:ascii="Google Sans" w:cs="Google Sans" w:eastAsia="Google Sans" w:hAnsi="Google Sans"/>
            <w:color w:val="0000ee"/>
            <w:sz w:val="24"/>
            <w:szCs w:val="24"/>
            <w:u w:val="single"/>
            <w:rtl w:val="0"/>
          </w:rPr>
          <w:t xml:space="preserve">https://research.cbs.dk/files/108049172/1850844_Master_Thesis_HRP_Rasul_Rokas_.pdf</w:t>
        </w:r>
      </w:hyperlink>
      <w:r w:rsidDel="00000000" w:rsidR="00000000" w:rsidRPr="00000000">
        <w:rPr>
          <w:rtl w:val="0"/>
        </w:rPr>
      </w:r>
    </w:p>
    <w:p w:rsidR="00000000" w:rsidDel="00000000" w:rsidP="00000000" w:rsidRDefault="00000000" w:rsidRPr="00000000" w14:paraId="000000E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Black-Litterman Model Explained: Bayesian Portfolio Optimization Guide (2026), accessed on May 23, 2026, </w:t>
      </w:r>
      <w:hyperlink r:id="rId119">
        <w:r w:rsidDel="00000000" w:rsidR="00000000" w:rsidRPr="00000000">
          <w:rPr>
            <w:rFonts w:ascii="Google Sans" w:cs="Google Sans" w:eastAsia="Google Sans" w:hAnsi="Google Sans"/>
            <w:color w:val="0000ee"/>
            <w:sz w:val="24"/>
            <w:szCs w:val="24"/>
            <w:u w:val="single"/>
            <w:rtl w:val="0"/>
          </w:rPr>
          <w:t xml:space="preserve">https://alcapitaladvisory.com/research/frameworks/black-litterman.html</w:t>
        </w:r>
      </w:hyperlink>
      <w:r w:rsidDel="00000000" w:rsidR="00000000" w:rsidRPr="00000000">
        <w:rPr>
          <w:rtl w:val="0"/>
        </w:rPr>
      </w:r>
    </w:p>
    <w:p w:rsidR="00000000" w:rsidDel="00000000" w:rsidP="00000000" w:rsidRDefault="00000000" w:rsidRPr="00000000" w14:paraId="000000E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Optimization - skfolio, accessed on May 23, 2026, </w:t>
      </w:r>
      <w:hyperlink r:id="rId120">
        <w:r w:rsidDel="00000000" w:rsidR="00000000" w:rsidRPr="00000000">
          <w:rPr>
            <w:rFonts w:ascii="Google Sans" w:cs="Google Sans" w:eastAsia="Google Sans" w:hAnsi="Google Sans"/>
            <w:color w:val="0000ee"/>
            <w:sz w:val="24"/>
            <w:szCs w:val="24"/>
            <w:u w:val="single"/>
            <w:rtl w:val="0"/>
          </w:rPr>
          <w:t xml:space="preserve">https://skfolio.org/user_guide/optimization.html</w:t>
        </w:r>
      </w:hyperlink>
      <w:r w:rsidDel="00000000" w:rsidR="00000000" w:rsidRPr="00000000">
        <w:rPr>
          <w:rtl w:val="0"/>
        </w:rPr>
      </w:r>
    </w:p>
    <w:p w:rsidR="00000000" w:rsidDel="00000000" w:rsidP="00000000" w:rsidRDefault="00000000" w:rsidRPr="00000000" w14:paraId="000000E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constrained hierarchical risk parity algorithm with cluster-based capital allocation, accessed on May 23, 2026, </w:t>
      </w:r>
      <w:hyperlink r:id="rId121">
        <w:r w:rsidDel="00000000" w:rsidR="00000000" w:rsidRPr="00000000">
          <w:rPr>
            <w:rFonts w:ascii="Google Sans" w:cs="Google Sans" w:eastAsia="Google Sans" w:hAnsi="Google Sans"/>
            <w:color w:val="0000ee"/>
            <w:sz w:val="24"/>
            <w:szCs w:val="24"/>
            <w:u w:val="single"/>
            <w:rtl w:val="0"/>
          </w:rPr>
          <w:t xml:space="preserve">https://ideas.repec.org/p/sza/wpaper/wpapers328.html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searchgate.net/publication/365774722_Building_optimal_regime-switching_portfolios" TargetMode="External"/><Relationship Id="rId42" Type="http://schemas.openxmlformats.org/officeDocument/2006/relationships/hyperlink" Target="https://www.luxalgo.com/blog/hierarchical-risk-parity-rebalancing-methods/" TargetMode="External"/><Relationship Id="rId41" Type="http://schemas.openxmlformats.org/officeDocument/2006/relationships/hyperlink" Target="https://ideas.repec.org/a/bba/j00001/v3y2024i3p106-125d218.html" TargetMode="External"/><Relationship Id="rId44" Type="http://schemas.openxmlformats.org/officeDocument/2006/relationships/hyperlink" Target="https://ieeexplore.ieee.org/document/11359686/" TargetMode="External"/><Relationship Id="rId43" Type="http://schemas.openxmlformats.org/officeDocument/2006/relationships/hyperlink" Target="https://www.mathworks.com/help/finance/asset-allocation-and-portfolio-optimization.html" TargetMode="External"/><Relationship Id="rId46" Type="http://schemas.openxmlformats.org/officeDocument/2006/relationships/hyperlink" Target="https://research.cbs.dk/en/studentProjects/hierarchical-risk-parity-a-hierarchical-clustering-based-portfoli/" TargetMode="External"/><Relationship Id="rId45" Type="http://schemas.openxmlformats.org/officeDocument/2006/relationships/hyperlink" Target="https://arxiv.org/pdf/2508.11856" TargetMode="External"/><Relationship Id="rId107" Type="http://schemas.openxmlformats.org/officeDocument/2006/relationships/hyperlink" Target="https://www.nseindia.com/reports-indices-historical-index-data" TargetMode="External"/><Relationship Id="rId106" Type="http://schemas.openxmlformats.org/officeDocument/2006/relationships/hyperlink" Target="https://pubs.sciepub.com/jfe/7/4/1/index.html" TargetMode="External"/><Relationship Id="rId105" Type="http://schemas.openxmlformats.org/officeDocument/2006/relationships/hyperlink" Target="https://www.researchgate.net/publication/350565868_Dynamic_multi-period_sparse_portfolio_selection_model_with_asymmetric_investors'_sentiments" TargetMode="External"/><Relationship Id="rId104" Type="http://schemas.openxmlformats.org/officeDocument/2006/relationships/hyperlink" Target="https://www.mdpi.com/2227-7390/13/3/461" TargetMode="External"/><Relationship Id="rId109" Type="http://schemas.openxmlformats.org/officeDocument/2006/relationships/hyperlink" Target="https://eftpickerwithbacktest.streamlit.app/" TargetMode="External"/><Relationship Id="rId108" Type="http://schemas.openxmlformats.org/officeDocument/2006/relationships/hyperlink" Target="https://www.kaggle.com/datasets/vivek468/sip-dataset-nifty-banknifty-gold-and-silver" TargetMode="External"/><Relationship Id="rId48" Type="http://schemas.openxmlformats.org/officeDocument/2006/relationships/hyperlink" Target="https://kenwuyang.com/posts/2024_10_20_portfolio_optimization_with_python_hierarchical_risk_parity/" TargetMode="External"/><Relationship Id="rId47" Type="http://schemas.openxmlformats.org/officeDocument/2006/relationships/hyperlink" Target="https://skfolio.org/user_guide/portfolio.html" TargetMode="External"/><Relationship Id="rId49" Type="http://schemas.openxmlformats.org/officeDocument/2006/relationships/hyperlink" Target="https://skfolio.org/generated/skfolio.optimization.HierarchicalEqualRiskContribution.html" TargetMode="External"/><Relationship Id="rId103" Type="http://schemas.openxmlformats.org/officeDocument/2006/relationships/hyperlink" Target="https://huggingface.co/papers/2504.09257" TargetMode="External"/><Relationship Id="rId102" Type="http://schemas.openxmlformats.org/officeDocument/2006/relationships/hyperlink" Target="https://www.researchgate.net/publication/390773323_MiMIC_Multi-Modal_Indian_Earnings_Calls_Dataset_to_Predict_Stock_Prices" TargetMode="External"/><Relationship Id="rId101" Type="http://schemas.openxmlformats.org/officeDocument/2006/relationships/hyperlink" Target="https://www.aimspress.com/article/doi/10.3934/math.20231066?viewType=HTML" TargetMode="External"/><Relationship Id="rId100" Type="http://schemas.openxmlformats.org/officeDocument/2006/relationships/hyperlink" Target="https://helda.helsinki.fi/bitstreams/2bc06479-8315-4314-8779-5102a5706190/download" TargetMode="External"/><Relationship Id="rId31" Type="http://schemas.openxmlformats.org/officeDocument/2006/relationships/image" Target="media/image10.png"/><Relationship Id="rId30" Type="http://schemas.openxmlformats.org/officeDocument/2006/relationships/image" Target="media/image3.png"/><Relationship Id="rId33" Type="http://schemas.openxmlformats.org/officeDocument/2006/relationships/hyperlink" Target="https://developer.nvidia.com/blog/hierarchical-risk-parity-on-rapids-an-ml-approach-to-portfolio-allocation/" TargetMode="External"/><Relationship Id="rId32" Type="http://schemas.openxmlformats.org/officeDocument/2006/relationships/image" Target="media/image5.png"/><Relationship Id="rId35" Type="http://schemas.openxmlformats.org/officeDocument/2006/relationships/hyperlink" Target="https://medium.com/@varunp96/portfolio-construction-with-hierarchical-risk-parity-hrp-f63d66d19023" TargetMode="External"/><Relationship Id="rId34" Type="http://schemas.openxmlformats.org/officeDocument/2006/relationships/hyperlink" Target="https://cfe.columbia.edu/sites/cfe.columbia.edu/files/content/Posters/2025/Mean-variance%20and%20hierarchical%20risk%20parity%20An%20empirical%20study%20of%20large-cap%20stock%20portfolios.pdf" TargetMode="External"/><Relationship Id="rId37" Type="http://schemas.openxmlformats.org/officeDocument/2006/relationships/hyperlink" Target="https://skfolio.org/" TargetMode="External"/><Relationship Id="rId36" Type="http://schemas.openxmlformats.org/officeDocument/2006/relationships/hyperlink" Target="https://pmc.ncbi.nlm.nih.gov/articles/PMC11033520/" TargetMode="External"/><Relationship Id="rId39" Type="http://schemas.openxmlformats.org/officeDocument/2006/relationships/hyperlink" Target="https://www.pm-research.com/content/iijjfds/3/2/1" TargetMode="External"/><Relationship Id="rId38" Type="http://schemas.openxmlformats.org/officeDocument/2006/relationships/hyperlink" Target="https://pictureperfectportfolios.com/how-i-invest-adaptive-risk-parity-portfolio-daniel-snover/" TargetMode="External"/><Relationship Id="rId20" Type="http://schemas.openxmlformats.org/officeDocument/2006/relationships/image" Target="media/image21.png"/><Relationship Id="rId22" Type="http://schemas.openxmlformats.org/officeDocument/2006/relationships/image" Target="media/image22.png"/><Relationship Id="rId21" Type="http://schemas.openxmlformats.org/officeDocument/2006/relationships/image" Target="media/image27.png"/><Relationship Id="rId24" Type="http://schemas.openxmlformats.org/officeDocument/2006/relationships/image" Target="media/image13.png"/><Relationship Id="rId23" Type="http://schemas.openxmlformats.org/officeDocument/2006/relationships/image" Target="media/image23.png"/><Relationship Id="rId26" Type="http://schemas.openxmlformats.org/officeDocument/2006/relationships/image" Target="media/image18.png"/><Relationship Id="rId121" Type="http://schemas.openxmlformats.org/officeDocument/2006/relationships/hyperlink" Target="https://ideas.repec.org/p/sza/wpaper/wpapers328.html" TargetMode="External"/><Relationship Id="rId25" Type="http://schemas.openxmlformats.org/officeDocument/2006/relationships/image" Target="media/image24.png"/><Relationship Id="rId120" Type="http://schemas.openxmlformats.org/officeDocument/2006/relationships/hyperlink" Target="https://skfolio.org/user_guide/optimization.html" TargetMode="External"/><Relationship Id="rId28" Type="http://schemas.openxmlformats.org/officeDocument/2006/relationships/image" Target="media/image12.png"/><Relationship Id="rId27" Type="http://schemas.openxmlformats.org/officeDocument/2006/relationships/image" Target="media/image20.png"/><Relationship Id="rId29" Type="http://schemas.openxmlformats.org/officeDocument/2006/relationships/image" Target="media/image4.png"/><Relationship Id="rId95" Type="http://schemas.openxmlformats.org/officeDocument/2006/relationships/hyperlink" Target="https://huggingface.co/collections/gtfintechlab/wcb" TargetMode="External"/><Relationship Id="rId94" Type="http://schemas.openxmlformats.org/officeDocument/2006/relationships/hyperlink" Target="https://www.pib.gov.in/PressNoteDetails.aspx?NoteId=154573&amp;ModuleId=3" TargetMode="External"/><Relationship Id="rId97" Type="http://schemas.openxmlformats.org/officeDocument/2006/relationships/hyperlink" Target="https://huggingface.co/gtfintechlab/model_reserve_bank_of_india_certain_label" TargetMode="External"/><Relationship Id="rId96" Type="http://schemas.openxmlformats.org/officeDocument/2006/relationships/hyperlink" Target="https://huggingface.co/gtfintechlab/model_reserve_bank_of_india_stance_label" TargetMode="External"/><Relationship Id="rId11" Type="http://schemas.openxmlformats.org/officeDocument/2006/relationships/image" Target="media/image8.png"/><Relationship Id="rId99" Type="http://schemas.openxmlformats.org/officeDocument/2006/relationships/hyperlink" Target="https://openaccess.city.ac.uk/id/eprint/22246/" TargetMode="External"/><Relationship Id="rId10" Type="http://schemas.openxmlformats.org/officeDocument/2006/relationships/image" Target="media/image26.png"/><Relationship Id="rId98" Type="http://schemas.openxmlformats.org/officeDocument/2006/relationships/hyperlink" Target="https://huggingface.co/gtfintechlab/model_reserve_bank_of_india_time_label" TargetMode="External"/><Relationship Id="rId13" Type="http://schemas.openxmlformats.org/officeDocument/2006/relationships/image" Target="media/image9.png"/><Relationship Id="rId12" Type="http://schemas.openxmlformats.org/officeDocument/2006/relationships/image" Target="media/image17.png"/><Relationship Id="rId91" Type="http://schemas.openxmlformats.org/officeDocument/2006/relationships/hyperlink" Target="https://github.com/martingeew/central_bank_sentiment" TargetMode="External"/><Relationship Id="rId90" Type="http://schemas.openxmlformats.org/officeDocument/2006/relationships/hyperlink" Target="https://huggingface.co/gtfintechlab/model_WCB_stance_label" TargetMode="External"/><Relationship Id="rId93" Type="http://schemas.openxmlformats.org/officeDocument/2006/relationships/hyperlink" Target="https://rbi.org.in/commonperson/English/scripts/commpol.aspx" TargetMode="External"/><Relationship Id="rId92" Type="http://schemas.openxmlformats.org/officeDocument/2006/relationships/hyperlink" Target="https://github.com/danieleongari/investing_economic_indicators" TargetMode="External"/><Relationship Id="rId118" Type="http://schemas.openxmlformats.org/officeDocument/2006/relationships/hyperlink" Target="https://research.cbs.dk/files/108049172/1850844_Master_Thesis_HRP_Rasul_Rokas_.pdf" TargetMode="External"/><Relationship Id="rId117" Type="http://schemas.openxmlformats.org/officeDocument/2006/relationships/hyperlink" Target="https://github.com/carlonicolini/autoresearch-skfolio" TargetMode="External"/><Relationship Id="rId116" Type="http://schemas.openxmlformats.org/officeDocument/2006/relationships/hyperlink" Target="https://github.com/CryptoRobotFr/General-code-trading-bot/blob/main/skfolio-portfolio-optimisation.ipynb?ref=crypto-robot.com" TargetMode="External"/><Relationship Id="rId115" Type="http://schemas.openxmlformats.org/officeDocument/2006/relationships/hyperlink" Target="https://investresolve.com/maximizing-the-rebalancing-premium-why-risk-parity-portfolios-are-much-greater-than-the-sum-of-their-parts/" TargetMode="External"/><Relationship Id="rId119" Type="http://schemas.openxmlformats.org/officeDocument/2006/relationships/hyperlink" Target="https://alcapitaladvisory.com/research/frameworks/black-litterman.html" TargetMode="External"/><Relationship Id="rId15" Type="http://schemas.openxmlformats.org/officeDocument/2006/relationships/image" Target="media/image16.png"/><Relationship Id="rId110" Type="http://schemas.openxmlformats.org/officeDocument/2006/relationships/hyperlink" Target="https://www.kaggle.com/code/dheerparikh/importing-financial-data-from-yahoo-finance" TargetMode="External"/><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19.png"/><Relationship Id="rId19" Type="http://schemas.openxmlformats.org/officeDocument/2006/relationships/image" Target="media/image11.png"/><Relationship Id="rId114" Type="http://schemas.openxmlformats.org/officeDocument/2006/relationships/hyperlink" Target="https://ideas.repec.org/a/gam/jijfss/v11y2022i1p10-d1019580.html" TargetMode="External"/><Relationship Id="rId18" Type="http://schemas.openxmlformats.org/officeDocument/2006/relationships/image" Target="media/image25.png"/><Relationship Id="rId113" Type="http://schemas.openxmlformats.org/officeDocument/2006/relationships/hyperlink" Target="https://www.kaggle.com/datasets/rockyjoseph/nifty-50-stock-market-data-2000-2023" TargetMode="External"/><Relationship Id="rId112" Type="http://schemas.openxmlformats.org/officeDocument/2006/relationships/hyperlink" Target="https://huggingface.co/datasets/gtfintechlab/reserve_bank_of_india" TargetMode="External"/><Relationship Id="rId111" Type="http://schemas.openxmlformats.org/officeDocument/2006/relationships/hyperlink" Target="https://huggingface.co/datasets/sohomghosh/MiMIC_Multi-Modal_Indian_Earnings_Calls_Dataset" TargetMode="External"/><Relationship Id="rId84" Type="http://schemas.openxmlformats.org/officeDocument/2006/relationships/hyperlink" Target="https://www.statsmodels.org/stable/generated/statsmodels.tsa.regime_switching.markov_autoregression.MarkovAutoregression.html" TargetMode="External"/><Relationship Id="rId83" Type="http://schemas.openxmlformats.org/officeDocument/2006/relationships/hyperlink" Target="https://www.statsmodels.org/0.8.0/examples/notebooks/generated/markov_autoregression.html" TargetMode="External"/><Relationship Id="rId86" Type="http://schemas.openxmlformats.org/officeDocument/2006/relationships/hyperlink" Target="https://www.nseindia.com/market-data/exchange-traded-funds-etf" TargetMode="External"/><Relationship Id="rId85" Type="http://schemas.openxmlformats.org/officeDocument/2006/relationships/hyperlink" Target="https://www.spglobal.com/spdji/en/documents/research/research-indexing-risk-parity-strategies.pdf" TargetMode="External"/><Relationship Id="rId88" Type="http://schemas.openxmlformats.org/officeDocument/2006/relationships/hyperlink" Target="https://github.com/Earnings-Call-Dataset" TargetMode="External"/><Relationship Id="rId87" Type="http://schemas.openxmlformats.org/officeDocument/2006/relationships/hyperlink" Target="https://arxiv.org/pdf/2010.01687" TargetMode="External"/><Relationship Id="rId89" Type="http://schemas.openxmlformats.org/officeDocument/2006/relationships/hyperlink" Target="https://github.com/gtfintechlab/WorldsCentralBanks" TargetMode="External"/><Relationship Id="rId80" Type="http://schemas.openxmlformats.org/officeDocument/2006/relationships/hyperlink" Target="https://www.man.com/insights/volatility-is-back-better-to-target-returns-or-target-risk" TargetMode="External"/><Relationship Id="rId82" Type="http://schemas.openxmlformats.org/officeDocument/2006/relationships/hyperlink" Target="https://www.statsmodels.org/dev/examples/notebooks/generated/markov_autoregression.html" TargetMode="External"/><Relationship Id="rId81" Type="http://schemas.openxmlformats.org/officeDocument/2006/relationships/hyperlink" Target="https://www.researchgate.net/publication/326756996_Risk_parity_portfolio_optimization_under_a_Markov_regime-switching_framewor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7.png"/><Relationship Id="rId8" Type="http://schemas.openxmlformats.org/officeDocument/2006/relationships/image" Target="media/image15.png"/><Relationship Id="rId73" Type="http://schemas.openxmlformats.org/officeDocument/2006/relationships/hyperlink" Target="https://pmc.ncbi.nlm.nih.gov/articles/PMC9114284/" TargetMode="External"/><Relationship Id="rId72" Type="http://schemas.openxmlformats.org/officeDocument/2006/relationships/hyperlink" Target="https://medium.com/@orenji.eirl/riskfolio-lib-portfolio-optimization-with-python-650c6223e8b1" TargetMode="External"/><Relationship Id="rId75" Type="http://schemas.openxmlformats.org/officeDocument/2006/relationships/hyperlink" Target="https://skfolio.org/auto_examples/mean_risk/plot_7_management_fees.html" TargetMode="External"/><Relationship Id="rId74" Type="http://schemas.openxmlformats.org/officeDocument/2006/relationships/hyperlink" Target="https://skfolio.org/auto_examples/mean_risk/plot_6_transaction_costs.html" TargetMode="External"/><Relationship Id="rId77" Type="http://schemas.openxmlformats.org/officeDocument/2006/relationships/hyperlink" Target="https://skfolio.org/generated/skfolio.optimization.RiskBudgeting.html" TargetMode="External"/><Relationship Id="rId76" Type="http://schemas.openxmlformats.org/officeDocument/2006/relationships/hyperlink" Target="https://skfolio.org/generated/skfolio.optimization.EqualWeighted.html" TargetMode="External"/><Relationship Id="rId79" Type="http://schemas.openxmlformats.org/officeDocument/2006/relationships/hyperlink" Target="https://gupea.ub.gu.se/bitstreams/eaf33c7c-0d37-4830-a616-96bf52f57c67/download" TargetMode="External"/><Relationship Id="rId78" Type="http://schemas.openxmlformats.org/officeDocument/2006/relationships/hyperlink" Target="https://www.aidoczh.com/skfolio/_modules/skfolio/optimization/convex/_risk_budgeting.html" TargetMode="External"/><Relationship Id="rId71" Type="http://schemas.openxmlformats.org/officeDocument/2006/relationships/hyperlink" Target="https://causalai.causalens.com/resources/white-papers/portfolio-optimization-beyond-machine-learning/" TargetMode="External"/><Relationship Id="rId70" Type="http://schemas.openxmlformats.org/officeDocument/2006/relationships/hyperlink" Target="https://github.com/dcajasn/Riskfolio-Lib" TargetMode="External"/><Relationship Id="rId62" Type="http://schemas.openxmlformats.org/officeDocument/2006/relationships/hyperlink" Target="https://www.pm-research.com/content/iijjfds/2/3/128" TargetMode="External"/><Relationship Id="rId61" Type="http://schemas.openxmlformats.org/officeDocument/2006/relationships/hyperlink" Target="https://github.com/topics/hierarchical-risk-parity" TargetMode="External"/><Relationship Id="rId64" Type="http://schemas.openxmlformats.org/officeDocument/2006/relationships/hyperlink" Target="https://www.cfauk.org/pi-listing/embracing-machine-learning-to-tackle-portfolio-optimisers-limitations" TargetMode="External"/><Relationship Id="rId63" Type="http://schemas.openxmlformats.org/officeDocument/2006/relationships/hyperlink" Target="https://www.fmx.nfkatzke.com/Projects/HRP.pdf" TargetMode="External"/><Relationship Id="rId66" Type="http://schemas.openxmlformats.org/officeDocument/2006/relationships/hyperlink" Target="https://portfoliooptimizer.io/blog/the-gerber-statistic-a-robust-co-movement-measure-for-correlation-matrix-estimation/" TargetMode="External"/><Relationship Id="rId65" Type="http://schemas.openxmlformats.org/officeDocument/2006/relationships/hyperlink" Target="https://github.com/ishitamehta028/LSTM-Portfolio-Optimization-using-Gerber-Estimator" TargetMode="External"/><Relationship Id="rId68" Type="http://schemas.openxmlformats.org/officeDocument/2006/relationships/hyperlink" Target="https://www.springerprofessional.de/en/lstm-based-portfolio-optimization-with-gerber-covariance-estimat/50573694" TargetMode="External"/><Relationship Id="rId67" Type="http://schemas.openxmlformats.org/officeDocument/2006/relationships/hyperlink" Target="https://arxiv.org/html/2406.00610v1" TargetMode="External"/><Relationship Id="rId60" Type="http://schemas.openxmlformats.org/officeDocument/2006/relationships/hyperlink" Target="https://www.preprints.org/manuscript/202605.0517" TargetMode="External"/><Relationship Id="rId69" Type="http://schemas.openxmlformats.org/officeDocument/2006/relationships/hyperlink" Target="https://www.hudsonbaycapital.com/documents/FG/hudsonbay/news/621114_Wolfe_Conference_Presentation.pdf" TargetMode="External"/><Relationship Id="rId51" Type="http://schemas.openxmlformats.org/officeDocument/2006/relationships/hyperlink" Target="https://caia.org/sites/default/files/risk_parity_0.pdf" TargetMode="External"/><Relationship Id="rId50" Type="http://schemas.openxmlformats.org/officeDocument/2006/relationships/hyperlink" Target="https://www.statsmodels.org/stable/generated/statsmodels.tsa.regime_switching.markov_autoregression.MarkovAutoregression.predict.html" TargetMode="External"/><Relationship Id="rId53" Type="http://schemas.openxmlformats.org/officeDocument/2006/relationships/hyperlink" Target="https://openreview.net/forum?id=cU5W9Z3r8p&amp;noteId=1lf5dXRyvW" TargetMode="External"/><Relationship Id="rId52" Type="http://schemas.openxmlformats.org/officeDocument/2006/relationships/hyperlink" Target="https://arxiv.org/html/2504.09257v1" TargetMode="External"/><Relationship Id="rId55" Type="http://schemas.openxmlformats.org/officeDocument/2006/relationships/hyperlink" Target="https://www.kaggle.com/datasets/ishan2608/20-years-indian-stock-market-data" TargetMode="External"/><Relationship Id="rId54" Type="http://schemas.openxmlformats.org/officeDocument/2006/relationships/hyperlink" Target="https://skfolio.org/auto_examples/clustering/plot_3_hrp_vs_herc.html" TargetMode="External"/><Relationship Id="rId57" Type="http://schemas.openxmlformats.org/officeDocument/2006/relationships/hyperlink" Target="https://skfolio.org/auto_examples/clustering/plot_2_herc_cdar.html" TargetMode="External"/><Relationship Id="rId56" Type="http://schemas.openxmlformats.org/officeDocument/2006/relationships/hyperlink" Target="https://www.pm-research.com/content/iijjfds/3/4/65" TargetMode="External"/><Relationship Id="rId59" Type="http://schemas.openxmlformats.org/officeDocument/2006/relationships/hyperlink" Target="https://www.preprints.org/frontend/manuscript/b2cae9be9907689dae928187f4227a9d/download_pub" TargetMode="External"/><Relationship Id="rId58" Type="http://schemas.openxmlformats.org/officeDocument/2006/relationships/hyperlink" Target="https://skfolio.org/generated/skfolio.optimization.HierarchicalRiskParity.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