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 Portfolio Risk Analytics</w:t>
      </w:r>
    </w:p>
    <w:p>
      <w:pPr>
        <w:pStyle w:val="Subtitle"/>
      </w:pPr>
      <w:r>
        <w:t xml:space="preserve">Hierarchical Allocation, Backtesting, and Volatility Targeting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7" w:name="X1a9d43d18fb91231e39ccafb1ccb6b1c3f6761b"/>
    <w:p>
      <w:pPr>
        <w:pStyle w:val="Heading1"/>
      </w:pPr>
      <w:r>
        <w:rPr>
          <w:rStyle w:val="SectionNumber"/>
        </w:rPr>
        <w:t xml:space="preserve">1</w:t>
      </w:r>
      <w:r>
        <w:tab/>
      </w:r>
      <w:r>
        <w:t xml:space="preserve">Adaptive Portfolio Risk Analytics: Hierarchical Allocation, Backtesting, and Volatility Targeting</w:t>
      </w:r>
    </w:p>
    <w:p>
      <w:pPr>
        <w:pStyle w:val="FirstParagraph"/>
      </w:pPr>
      <w:r>
        <w:rPr>
          <w:b/>
          <w:bCs/>
        </w:rPr>
        <w:t xml:space="preserve">Project name:</w:t>
      </w:r>
      <w:r>
        <w:t xml:space="preserve"> </w:t>
      </w:r>
      <w:r>
        <w:t xml:space="preserve">Adaptive Portfolio Risk Analytics</w:t>
      </w:r>
      <w:r>
        <w:br/>
      </w:r>
      <w:r>
        <w:rPr>
          <w:b/>
          <w:bCs/>
        </w:rPr>
        <w:t xml:space="preserve">Project type:</w:t>
      </w:r>
      <w:r>
        <w:t xml:space="preserve"> </w:t>
      </w:r>
      <w:r>
        <w:t xml:space="preserve">Risk-aware adaptive allocation and portfolio analytics platform</w:t>
      </w:r>
      <w:r>
        <w:br/>
      </w:r>
      <w:r>
        <w:rPr>
          <w:b/>
          <w:bCs/>
        </w:rPr>
        <w:t xml:space="preserve">Audience:</w:t>
      </w:r>
      <w:r>
        <w:t xml:space="preserve"> </w:t>
      </w:r>
      <w:r>
        <w:t xml:space="preserve">Intermediate teammates who understand basic Python/finance but need the full project story</w:t>
      </w:r>
      <w:r>
        <w:br/>
      </w:r>
      <w:r>
        <w:rPr>
          <w:b/>
          <w:bCs/>
        </w:rPr>
        <w:t xml:space="preserve">Purpose:</w:t>
      </w:r>
      <w:r>
        <w:t xml:space="preserve"> </w:t>
      </w:r>
      <w:r>
        <w:t xml:space="preserve">Viva preparation + technical documentation support</w:t>
      </w:r>
      <w:r>
        <w:br/>
      </w:r>
      <w:r>
        <w:rPr>
          <w:b/>
          <w:bCs/>
        </w:rPr>
        <w:t xml:space="preserve">Current status:</w:t>
      </w:r>
      <w:r>
        <w:t xml:space="preserve"> </w:t>
      </w:r>
      <w:r>
        <w:t xml:space="preserve">Strong research prototype; not a production trading system</w:t>
      </w:r>
    </w:p>
    <w:p>
      <w:pPr>
        <w:pStyle w:val="BodyText"/>
      </w:pPr>
      <w:r>
        <w:rPr>
          <w:b/>
          <w:bCs/>
        </w:rPr>
        <w:t xml:space="preserve">DOCX formatting note:</w:t>
      </w:r>
      <w:r>
        <w:t xml:space="preserve"> </w:t>
      </w:r>
      <w:r>
        <w:t xml:space="preserve">Formula blocks are rendered as readable equations. Code/configuration blocks are preserved in monospace.</w:t>
      </w:r>
    </w:p>
    <w:p>
      <w:r>
        <w:pict>
          <v:rect style="width:0;height:1.5pt" o:hralign="center" o:hrstd="t" o:hr="t"/>
        </w:pict>
      </w:r>
    </w:p>
    <w:bookmarkStart w:id="20" w:name="one-paragraph-project-summary"/>
    <w:p>
      <w:pPr>
        <w:pStyle w:val="Heading2"/>
      </w:pPr>
      <w:r>
        <w:rPr>
          <w:rStyle w:val="SectionNumber"/>
        </w:rPr>
        <w:t xml:space="preserve">1.1</w:t>
      </w:r>
      <w:r>
        <w:tab/>
      </w:r>
      <w:r>
        <w:t xml:space="preserve">1. One-Paragraph Project Summary</w:t>
      </w:r>
    </w:p>
    <w:p>
      <w:pPr>
        <w:pStyle w:val="FirstParagraph"/>
      </w:pPr>
      <w:r>
        <w:t xml:space="preserve">This project builds a portfolio analytics platform that takes historical market prices, cleans and validates them, converts them into returns, estimates risk through volatility/covariance/correlation, constructs portfolios using multiple allocation methods, and tests those strategies through rolling backtests with realistic rebalancing and transaction-cost assumptions. The project compares Equal Weight, Inverse Volatility, Mean-Variance/Max-Sharpe, Hierarchical Risk Parity (HRP), and Hierarchical Equal Risk Contribution (HERC), then adds risk analytics, benchmark comparison, volatility targeting, and experiment sensitivity analysis. The current system is best described as a</w:t>
      </w:r>
      <w:r>
        <w:t xml:space="preserve"> </w:t>
      </w:r>
      <w:r>
        <w:rPr>
          <w:b/>
          <w:bCs/>
        </w:rPr>
        <w:t xml:space="preserve">risk-aware adaptive allocation and portfolio analytics platform</w:t>
      </w:r>
      <w:r>
        <w:t xml:space="preserve">. It is not yet a full regime-detection or NLP-driven dynamic allocation engine; those are future extensions.</w:t>
      </w:r>
    </w:p>
    <w:p>
      <w:r>
        <w:pict>
          <v:rect style="width:0;height:1.5pt" o:hralign="center" o:hrstd="t" o:hr="t"/>
        </w:pict>
      </w:r>
    </w:p>
    <w:bookmarkEnd w:id="20"/>
    <w:bookmarkStart w:id="21" w:name="what-problem-are-we-solving"/>
    <w:p>
      <w:pPr>
        <w:pStyle w:val="Heading2"/>
      </w:pPr>
      <w:r>
        <w:rPr>
          <w:rStyle w:val="SectionNumber"/>
        </w:rPr>
        <w:t xml:space="preserve">1.2</w:t>
      </w:r>
      <w:r>
        <w:tab/>
      </w:r>
      <w:r>
        <w:t xml:space="preserve">2. What Problem Are We Solving?</w:t>
      </w:r>
    </w:p>
    <w:p>
      <w:pPr>
        <w:pStyle w:val="FirstParagraph"/>
      </w:pPr>
      <w:r>
        <w:t xml:space="preserve">A normal investor may ask:</w:t>
      </w:r>
      <w:r>
        <w:t xml:space="preserve"> </w:t>
      </w:r>
      <w:r>
        <w:t xml:space="preserve">“</w:t>
      </w:r>
      <w:r>
        <w:t xml:space="preserve">Which stocks should I buy?</w:t>
      </w:r>
      <w:r>
        <w:t xml:space="preserve">”</w:t>
      </w:r>
      <w:r>
        <w:br/>
      </w:r>
      <w:r>
        <w:t xml:space="preserve">This project asks a deeper question:</w:t>
      </w:r>
    </w:p>
    <w:p>
      <w:pPr>
        <w:pStyle w:val="BlockText"/>
      </w:pPr>
      <w:r>
        <w:t xml:space="preserve">Given a universe of assets, how can we construct and test portfolios that balance return, risk, diversification, drawdown control, rebalancing cost, and robustness?</w:t>
      </w:r>
    </w:p>
    <w:p>
      <w:pPr>
        <w:pStyle w:val="FirstParagraph"/>
      </w:pPr>
      <w:r>
        <w:t xml:space="preserve">The project does not simply pick the asset with the highest past return. Instead, it studies how assets behave together. In portfolio construction, the risk of the whole portfolio depends not only on the risk of each asset, but also on how assets move together.</w:t>
      </w:r>
    </w:p>
    <w:p>
      <w:pPr>
        <w:pStyle w:val="BodyText"/>
      </w:pPr>
      <w:r>
        <w:t xml:space="preserve">A portfolio may contain 30 assets, but if all of them crash together, diversification is weak. Therefore, the project focuses on:</w:t>
      </w:r>
    </w:p>
    <w:p>
      <w:pPr>
        <w:pStyle w:val="Compact"/>
        <w:numPr>
          <w:ilvl w:val="0"/>
          <w:numId w:val="1001"/>
        </w:numPr>
      </w:pPr>
      <w:r>
        <w:t xml:space="preserve">estimating returns and risk,</w:t>
      </w:r>
    </w:p>
    <w:p>
      <w:pPr>
        <w:pStyle w:val="Compact"/>
        <w:numPr>
          <w:ilvl w:val="0"/>
          <w:numId w:val="1001"/>
        </w:numPr>
      </w:pPr>
      <w:r>
        <w:t xml:space="preserve">estimating covariance and correlation,</w:t>
      </w:r>
    </w:p>
    <w:p>
      <w:pPr>
        <w:pStyle w:val="Compact"/>
        <w:numPr>
          <w:ilvl w:val="0"/>
          <w:numId w:val="1001"/>
        </w:numPr>
      </w:pPr>
      <w:r>
        <w:t xml:space="preserve">understanding asset similarity through hierarchical clustering,</w:t>
      </w:r>
    </w:p>
    <w:p>
      <w:pPr>
        <w:pStyle w:val="Compact"/>
        <w:numPr>
          <w:ilvl w:val="0"/>
          <w:numId w:val="1001"/>
        </w:numPr>
      </w:pPr>
      <w:r>
        <w:t xml:space="preserve">constructing portfolios using different allocation philosophies,</w:t>
      </w:r>
    </w:p>
    <w:p>
      <w:pPr>
        <w:pStyle w:val="Compact"/>
        <w:numPr>
          <w:ilvl w:val="0"/>
          <w:numId w:val="1001"/>
        </w:numPr>
      </w:pPr>
      <w:r>
        <w:t xml:space="preserve">testing strategies out of sample through rolling backtests,</w:t>
      </w:r>
    </w:p>
    <w:p>
      <w:pPr>
        <w:pStyle w:val="Compact"/>
        <w:numPr>
          <w:ilvl w:val="0"/>
          <w:numId w:val="1001"/>
        </w:numPr>
      </w:pPr>
      <w:r>
        <w:t xml:space="preserve">including turnover and transaction costs,</w:t>
      </w:r>
    </w:p>
    <w:p>
      <w:pPr>
        <w:pStyle w:val="Compact"/>
        <w:numPr>
          <w:ilvl w:val="0"/>
          <w:numId w:val="1001"/>
        </w:numPr>
      </w:pPr>
      <w:r>
        <w:t xml:space="preserve">comparing results against benchmarks,</w:t>
      </w:r>
    </w:p>
    <w:p>
      <w:pPr>
        <w:pStyle w:val="Compact"/>
        <w:numPr>
          <w:ilvl w:val="0"/>
          <w:numId w:val="1001"/>
        </w:numPr>
      </w:pPr>
      <w:r>
        <w:t xml:space="preserve">explaining risk contribution, and</w:t>
      </w:r>
    </w:p>
    <w:p>
      <w:pPr>
        <w:pStyle w:val="Compact"/>
        <w:numPr>
          <w:ilvl w:val="0"/>
          <w:numId w:val="1001"/>
        </w:numPr>
      </w:pPr>
      <w:r>
        <w:t xml:space="preserve">running sensitivity experiments over strategy assumptions.</w:t>
      </w:r>
    </w:p>
    <w:p>
      <w:r>
        <w:pict>
          <v:rect style="width:0;height:1.5pt" o:hralign="center" o:hrstd="t" o:hr="t"/>
        </w:pict>
      </w:r>
    </w:p>
    <w:bookmarkEnd w:id="21"/>
    <w:bookmarkStart w:id="24" w:name="final-presentation-boundary"/>
    <w:p>
      <w:pPr>
        <w:pStyle w:val="Heading2"/>
      </w:pPr>
      <w:r>
        <w:rPr>
          <w:rStyle w:val="SectionNumber"/>
        </w:rPr>
        <w:t xml:space="preserve">1.3</w:t>
      </w:r>
      <w:r>
        <w:tab/>
      </w:r>
      <w:r>
        <w:t xml:space="preserve">3. Final Presentation Boundary</w:t>
      </w:r>
    </w:p>
    <w:bookmarkStart w:id="22" w:name="implemented-and-safe-to-present"/>
    <w:p>
      <w:pPr>
        <w:pStyle w:val="Heading3"/>
      </w:pPr>
      <w:r>
        <w:rPr>
          <w:rStyle w:val="SectionNumber"/>
        </w:rPr>
        <w:t xml:space="preserve">1.3.1</w:t>
      </w:r>
      <w:r>
        <w:tab/>
      </w:r>
      <w:r>
        <w:t xml:space="preserve">3.1 Implemented and Safe to Present</w:t>
      </w:r>
    </w:p>
    <w:p>
      <w:pPr>
        <w:pStyle w:val="FirstParagraph"/>
      </w:pPr>
      <w:r>
        <w:t xml:space="preserve">The following parts are implemented and can be presented confidently:</w:t>
      </w:r>
    </w:p>
    <w:p>
      <w:pPr>
        <w:pStyle w:val="Compact"/>
        <w:numPr>
          <w:ilvl w:val="0"/>
          <w:numId w:val="1002"/>
        </w:numPr>
      </w:pPr>
      <w:r>
        <w:t xml:space="preserve">Yahoo Finance data acquisition.</w:t>
      </w:r>
    </w:p>
    <w:p>
      <w:pPr>
        <w:pStyle w:val="Compact"/>
        <w:numPr>
          <w:ilvl w:val="0"/>
          <w:numId w:val="1002"/>
        </w:numPr>
      </w:pPr>
      <w:r>
        <w:t xml:space="preserve">Data inspection and preprocessing.</w:t>
      </w:r>
    </w:p>
    <w:p>
      <w:pPr>
        <w:pStyle w:val="Compact"/>
        <w:numPr>
          <w:ilvl w:val="0"/>
          <w:numId w:val="1002"/>
        </w:numPr>
      </w:pPr>
      <w:r>
        <w:t xml:space="preserve">Simple and log returns.</w:t>
      </w:r>
    </w:p>
    <w:p>
      <w:pPr>
        <w:pStyle w:val="Compact"/>
        <w:numPr>
          <w:ilvl w:val="0"/>
          <w:numId w:val="1002"/>
        </w:numPr>
      </w:pPr>
      <w:r>
        <w:t xml:space="preserve">Volatility, covariance, correlation, and distance matrices.</w:t>
      </w:r>
    </w:p>
    <w:p>
      <w:pPr>
        <w:pStyle w:val="Compact"/>
        <w:numPr>
          <w:ilvl w:val="0"/>
          <w:numId w:val="1002"/>
        </w:numPr>
      </w:pPr>
      <w:r>
        <w:t xml:space="preserve">Hierarchical clustering and dendrogram support.</w:t>
      </w:r>
    </w:p>
    <w:p>
      <w:pPr>
        <w:pStyle w:val="Compact"/>
        <w:numPr>
          <w:ilvl w:val="0"/>
          <w:numId w:val="1002"/>
        </w:numPr>
      </w:pPr>
      <w:r>
        <w:t xml:space="preserve">Equal Weight allocation.</w:t>
      </w:r>
    </w:p>
    <w:p>
      <w:pPr>
        <w:pStyle w:val="Compact"/>
        <w:numPr>
          <w:ilvl w:val="0"/>
          <w:numId w:val="1002"/>
        </w:numPr>
      </w:pPr>
      <w:r>
        <w:t xml:space="preserve">Inverse Volatility allocation.</w:t>
      </w:r>
    </w:p>
    <w:p>
      <w:pPr>
        <w:pStyle w:val="Compact"/>
        <w:numPr>
          <w:ilvl w:val="0"/>
          <w:numId w:val="1002"/>
        </w:numPr>
      </w:pPr>
      <w:r>
        <w:t xml:space="preserve">Mean-Variance / Max-Sharpe allocation.</w:t>
      </w:r>
    </w:p>
    <w:p>
      <w:pPr>
        <w:pStyle w:val="Compact"/>
        <w:numPr>
          <w:ilvl w:val="0"/>
          <w:numId w:val="1002"/>
        </w:numPr>
      </w:pPr>
      <w:r>
        <w:t xml:space="preserve">HRP allocation.</w:t>
      </w:r>
    </w:p>
    <w:p>
      <w:pPr>
        <w:pStyle w:val="Compact"/>
        <w:numPr>
          <w:ilvl w:val="0"/>
          <w:numId w:val="1002"/>
        </w:numPr>
      </w:pPr>
      <w:r>
        <w:t xml:space="preserve">HERC allocation.</w:t>
      </w:r>
    </w:p>
    <w:p>
      <w:pPr>
        <w:pStyle w:val="Compact"/>
        <w:numPr>
          <w:ilvl w:val="0"/>
          <w:numId w:val="1002"/>
        </w:numPr>
      </w:pPr>
      <w:r>
        <w:t xml:space="preserve">Covariance estimator factory:</w:t>
      </w:r>
    </w:p>
    <w:p>
      <w:pPr>
        <w:pStyle w:val="Compact"/>
        <w:numPr>
          <w:ilvl w:val="1"/>
          <w:numId w:val="1003"/>
        </w:numPr>
      </w:pPr>
      <w:r>
        <w:t xml:space="preserve">sample covariance,</w:t>
      </w:r>
    </w:p>
    <w:p>
      <w:pPr>
        <w:pStyle w:val="Compact"/>
        <w:numPr>
          <w:ilvl w:val="1"/>
          <w:numId w:val="1003"/>
        </w:numPr>
      </w:pPr>
      <w:r>
        <w:t xml:space="preserve">Ledoit-Wolf,</w:t>
      </w:r>
    </w:p>
    <w:p>
      <w:pPr>
        <w:pStyle w:val="Compact"/>
        <w:numPr>
          <w:ilvl w:val="1"/>
          <w:numId w:val="1003"/>
        </w:numPr>
      </w:pPr>
      <w:r>
        <w:t xml:space="preserve">EWMA,</w:t>
      </w:r>
    </w:p>
    <w:p>
      <w:pPr>
        <w:pStyle w:val="Compact"/>
        <w:numPr>
          <w:ilvl w:val="1"/>
          <w:numId w:val="1003"/>
        </w:numPr>
      </w:pPr>
      <w:r>
        <w:t xml:space="preserve">EWMA + Ledoit-Wolf.</w:t>
      </w:r>
    </w:p>
    <w:p>
      <w:pPr>
        <w:pStyle w:val="Compact"/>
        <w:numPr>
          <w:ilvl w:val="0"/>
          <w:numId w:val="1002"/>
        </w:numPr>
      </w:pPr>
      <w:r>
        <w:t xml:space="preserve">Rolling walk-forward backtesting.</w:t>
      </w:r>
    </w:p>
    <w:p>
      <w:pPr>
        <w:pStyle w:val="Compact"/>
        <w:numPr>
          <w:ilvl w:val="0"/>
          <w:numId w:val="1002"/>
        </w:numPr>
      </w:pPr>
      <w:r>
        <w:t xml:space="preserve">Rebalance modes:</w:t>
      </w:r>
    </w:p>
    <w:p>
      <w:pPr>
        <w:pStyle w:val="Compact"/>
        <w:numPr>
          <w:ilvl w:val="1"/>
          <w:numId w:val="1004"/>
        </w:numPr>
      </w:pPr>
      <w:r>
        <w:rPr>
          <w:rStyle w:val="VerbatimChar"/>
        </w:rPr>
        <w:t xml:space="preserve">calendar</w:t>
      </w:r>
      <w:r>
        <w:t xml:space="preserve">,</w:t>
      </w:r>
    </w:p>
    <w:p>
      <w:pPr>
        <w:pStyle w:val="Compact"/>
        <w:numPr>
          <w:ilvl w:val="1"/>
          <w:numId w:val="1004"/>
        </w:numPr>
      </w:pPr>
      <w:r>
        <w:rPr>
          <w:rStyle w:val="VerbatimChar"/>
        </w:rPr>
        <w:t xml:space="preserve">threshold</w:t>
      </w:r>
      <w:r>
        <w:t xml:space="preserve">,</w:t>
      </w:r>
    </w:p>
    <w:p>
      <w:pPr>
        <w:pStyle w:val="Compact"/>
        <w:numPr>
          <w:ilvl w:val="1"/>
          <w:numId w:val="1004"/>
        </w:numPr>
      </w:pPr>
      <w:r>
        <w:rPr>
          <w:rStyle w:val="VerbatimChar"/>
        </w:rPr>
        <w:t xml:space="preserve">calendar_or_threshold</w:t>
      </w:r>
      <w:r>
        <w:t xml:space="preserve">.</w:t>
      </w:r>
    </w:p>
    <w:p>
      <w:pPr>
        <w:pStyle w:val="Compact"/>
        <w:numPr>
          <w:ilvl w:val="0"/>
          <w:numId w:val="1002"/>
        </w:numPr>
      </w:pPr>
      <w:r>
        <w:t xml:space="preserve">Turnover and transaction-cost diagnostics.</w:t>
      </w:r>
    </w:p>
    <w:p>
      <w:pPr>
        <w:pStyle w:val="Compact"/>
        <w:numPr>
          <w:ilvl w:val="0"/>
          <w:numId w:val="1002"/>
        </w:numPr>
      </w:pPr>
      <w:r>
        <w:t xml:space="preserve">Gross and net portfolio value tracking.</w:t>
      </w:r>
    </w:p>
    <w:p>
      <w:pPr>
        <w:pStyle w:val="Compact"/>
        <w:numPr>
          <w:ilvl w:val="0"/>
          <w:numId w:val="1002"/>
        </w:numPr>
      </w:pPr>
      <w:r>
        <w:t xml:space="preserve">Performance metrics and drawdown metrics.</w:t>
      </w:r>
    </w:p>
    <w:p>
      <w:pPr>
        <w:pStyle w:val="Compact"/>
        <w:numPr>
          <w:ilvl w:val="0"/>
          <w:numId w:val="1002"/>
        </w:numPr>
      </w:pPr>
      <w:r>
        <w:t xml:space="preserve">Risk-contribution analytics.</w:t>
      </w:r>
    </w:p>
    <w:p>
      <w:pPr>
        <w:pStyle w:val="Compact"/>
        <w:numPr>
          <w:ilvl w:val="0"/>
          <w:numId w:val="1002"/>
        </w:numPr>
      </w:pPr>
      <w:r>
        <w:t xml:space="preserve">Benchmark comparison.</w:t>
      </w:r>
    </w:p>
    <w:p>
      <w:pPr>
        <w:pStyle w:val="Compact"/>
        <w:numPr>
          <w:ilvl w:val="0"/>
          <w:numId w:val="1002"/>
        </w:numPr>
      </w:pPr>
      <w:r>
        <w:t xml:space="preserve">Volatility-targeting overlay with defensive sleeve.</w:t>
      </w:r>
    </w:p>
    <w:p>
      <w:pPr>
        <w:pStyle w:val="Compact"/>
        <w:numPr>
          <w:ilvl w:val="0"/>
          <w:numId w:val="1002"/>
        </w:numPr>
      </w:pPr>
      <w:r>
        <w:t xml:space="preserve">Experiment sensitivity analysis.</w:t>
      </w:r>
    </w:p>
    <w:p>
      <w:pPr>
        <w:pStyle w:val="Compact"/>
        <w:numPr>
          <w:ilvl w:val="0"/>
          <w:numId w:val="1002"/>
        </w:numPr>
      </w:pPr>
      <w:r>
        <w:t xml:space="preserve">Streamlit dashboard.</w:t>
      </w:r>
    </w:p>
    <w:bookmarkEnd w:id="22"/>
    <w:bookmarkStart w:id="23" w:name="future-work-only-do-not-overclaim"/>
    <w:p>
      <w:pPr>
        <w:pStyle w:val="Heading3"/>
      </w:pPr>
      <w:r>
        <w:rPr>
          <w:rStyle w:val="SectionNumber"/>
        </w:rPr>
        <w:t xml:space="preserve">1.3.2</w:t>
      </w:r>
      <w:r>
        <w:tab/>
      </w:r>
      <w:r>
        <w:t xml:space="preserve">3.2 Future Work Only — Do Not Overclaim</w:t>
      </w:r>
    </w:p>
    <w:p>
      <w:pPr>
        <w:pStyle w:val="FirstParagraph"/>
      </w:pPr>
      <w:r>
        <w:t xml:space="preserve">The following should be presented only as future work or partial scaffolding:</w:t>
      </w:r>
    </w:p>
    <w:p>
      <w:pPr>
        <w:pStyle w:val="Compact"/>
        <w:numPr>
          <w:ilvl w:val="0"/>
          <w:numId w:val="1005"/>
        </w:numPr>
      </w:pPr>
      <w:r>
        <w:t xml:space="preserve">Full Markov-switching regime detection.</w:t>
      </w:r>
    </w:p>
    <w:p>
      <w:pPr>
        <w:pStyle w:val="Compact"/>
        <w:numPr>
          <w:ilvl w:val="0"/>
          <w:numId w:val="1005"/>
        </w:numPr>
      </w:pPr>
      <w:r>
        <w:t xml:space="preserve">Real NLP sentiment pipeline for RBI policy text, earnings calls, and uncertainty scoring.</w:t>
      </w:r>
    </w:p>
    <w:p>
      <w:pPr>
        <w:pStyle w:val="Compact"/>
        <w:numPr>
          <w:ilvl w:val="0"/>
          <w:numId w:val="1005"/>
        </w:numPr>
      </w:pPr>
      <w:r>
        <w:t xml:space="preserve">Dynamic allocation driven by macro/sentiment/regime signals.</w:t>
      </w:r>
    </w:p>
    <w:p>
      <w:pPr>
        <w:pStyle w:val="Compact"/>
        <w:numPr>
          <w:ilvl w:val="0"/>
          <w:numId w:val="1005"/>
        </w:numPr>
      </w:pPr>
      <w:r>
        <w:t xml:space="preserve">Combinatorial Purged Cross-Validation (CPCV).</w:t>
      </w:r>
    </w:p>
    <w:p>
      <w:pPr>
        <w:pStyle w:val="Compact"/>
        <w:numPr>
          <w:ilvl w:val="0"/>
          <w:numId w:val="1005"/>
        </w:numPr>
      </w:pPr>
      <w:r>
        <w:t xml:space="preserve">Production-grade data governance and persistent data catalog.</w:t>
      </w:r>
    </w:p>
    <w:p>
      <w:pPr>
        <w:pStyle w:val="Compact"/>
        <w:numPr>
          <w:ilvl w:val="0"/>
          <w:numId w:val="1005"/>
        </w:numPr>
      </w:pPr>
      <w:r>
        <w:t xml:space="preserve">Liquidity-aware execution, market impact, taxes, and capacity modeling.</w:t>
      </w:r>
    </w:p>
    <w:p>
      <w:pPr>
        <w:pStyle w:val="Compact"/>
        <w:numPr>
          <w:ilvl w:val="0"/>
          <w:numId w:val="1005"/>
        </w:numPr>
      </w:pPr>
      <w:r>
        <w:t xml:space="preserve">Separate defensive-sleeve trading-cost accounting.</w:t>
      </w:r>
    </w:p>
    <w:p>
      <w:pPr>
        <w:pStyle w:val="Compact"/>
        <w:numPr>
          <w:ilvl w:val="0"/>
          <w:numId w:val="1005"/>
        </w:numPr>
      </w:pPr>
      <w:r>
        <w:t xml:space="preserve">Full deployment, monitoring, authentication, and scheduled refresh.</w:t>
      </w:r>
    </w:p>
    <w:p>
      <w:pPr>
        <w:pStyle w:val="Compact"/>
        <w:numPr>
          <w:ilvl w:val="0"/>
          <w:numId w:val="1005"/>
        </w:numPr>
      </w:pPr>
      <w:r>
        <w:t xml:space="preserve">Alpha Vantage as a working data source; it is only a placeholder.</w:t>
      </w:r>
    </w:p>
    <w:p>
      <w:pPr>
        <w:pStyle w:val="FirstParagraph"/>
      </w:pPr>
      <w:r>
        <w:rPr>
          <w:b/>
          <w:bCs/>
        </w:rPr>
        <w:t xml:space="preserve">Correct framing:</w:t>
      </w:r>
      <w:r>
        <w:br/>
      </w:r>
      <w:r>
        <w:t xml:space="preserve">“</w:t>
      </w:r>
      <w:r>
        <w:t xml:space="preserve">We have built the core portfolio construction, analytics, backtesting, and volatility-targeting platform. Regime detection and NLP sentiment are planned extensions.</w:t>
      </w:r>
      <w:r>
        <w:t xml:space="preserve">”</w:t>
      </w:r>
    </w:p>
    <w:p>
      <w:pPr>
        <w:pStyle w:val="BodyText"/>
      </w:pPr>
      <w:r>
        <w:rPr>
          <w:b/>
          <w:bCs/>
        </w:rPr>
        <w:t xml:space="preserve">Incorrect framing:</w:t>
      </w:r>
      <w:r>
        <w:br/>
      </w:r>
      <w:r>
        <w:t xml:space="preserve">“</w:t>
      </w:r>
      <w:r>
        <w:t xml:space="preserve">We have already built a fully AI-driven regime-aware sentiment allocation engine.</w:t>
      </w:r>
      <w:r>
        <w:t xml:space="preserve">”</w:t>
      </w:r>
    </w:p>
    <w:p>
      <w:r>
        <w:pict>
          <v:rect style="width:0;height:1.5pt" o:hralign="center" o:hrstd="t" o:hr="t"/>
        </w:pict>
      </w:r>
    </w:p>
    <w:bookmarkEnd w:id="23"/>
    <w:bookmarkEnd w:id="24"/>
    <w:bookmarkStart w:id="28" w:name="asset-universe-and-data-setup"/>
    <w:p>
      <w:pPr>
        <w:pStyle w:val="Heading2"/>
      </w:pPr>
      <w:r>
        <w:rPr>
          <w:rStyle w:val="SectionNumber"/>
        </w:rPr>
        <w:t xml:space="preserve">1.4</w:t>
      </w:r>
      <w:r>
        <w:tab/>
      </w:r>
      <w:r>
        <w:t xml:space="preserve">4. Asset Universe and Data Setup</w:t>
      </w:r>
    </w:p>
    <w:bookmarkStart w:id="25" w:name="default-dashboard-universe"/>
    <w:p>
      <w:pPr>
        <w:pStyle w:val="Heading3"/>
      </w:pPr>
      <w:r>
        <w:rPr>
          <w:rStyle w:val="SectionNumber"/>
        </w:rPr>
        <w:t xml:space="preserve">1.4.1</w:t>
      </w:r>
      <w:r>
        <w:tab/>
      </w:r>
      <w:r>
        <w:t xml:space="preserve">4.1 Default Dashboard Universe</w:t>
      </w:r>
    </w:p>
    <w:p>
      <w:pPr>
        <w:pStyle w:val="FirstParagraph"/>
      </w:pPr>
      <w:r>
        <w:t xml:space="preserve">The default dashboard universe is the</w:t>
      </w:r>
      <w:r>
        <w:t xml:space="preserve"> </w:t>
      </w:r>
      <w:r>
        <w:rPr>
          <w:rStyle w:val="VerbatimChar"/>
        </w:rPr>
        <w:t xml:space="preserve">Core Diversified</w:t>
      </w:r>
      <w:r>
        <w:t xml:space="preserve"> </w:t>
      </w:r>
      <w:r>
        <w:t xml:space="preserve">Indian asset universe:</w:t>
      </w:r>
    </w:p>
    <w:p>
      <w:pPr>
        <w:pStyle w:val="SourceCode"/>
      </w:pPr>
      <w:r>
        <w:rPr>
          <w:rStyle w:val="VerbatimChar"/>
        </w:rPr>
        <w:t xml:space="preserve">HDFCBANK.NS, ICICIBANK.NS, SBIN.NS, KOTAKBANK.NS, AXISBANK.NS,</w:t>
      </w:r>
      <w:r>
        <w:br/>
      </w:r>
      <w:r>
        <w:rPr>
          <w:rStyle w:val="VerbatimChar"/>
        </w:rPr>
        <w:t xml:space="preserve">TCS.NS, INFY.NS, WIPRO.NS, HCLTECH.NS, TECHM.NS,</w:t>
      </w:r>
      <w:r>
        <w:br/>
      </w:r>
      <w:r>
        <w:rPr>
          <w:rStyle w:val="VerbatimChar"/>
        </w:rPr>
        <w:t xml:space="preserve">RELIANCE.NS, ONGC.NS, NTPC.NS, POWERGRID.NS,</w:t>
      </w:r>
      <w:r>
        <w:br/>
      </w:r>
      <w:r>
        <w:rPr>
          <w:rStyle w:val="VerbatimChar"/>
        </w:rPr>
        <w:t xml:space="preserve">HINDUNILVR.NS, ITC.NS, NESTLEIND.NS, TATACONSUM.NS,</w:t>
      </w:r>
      <w:r>
        <w:br/>
      </w:r>
      <w:r>
        <w:rPr>
          <w:rStyle w:val="VerbatimChar"/>
        </w:rPr>
        <w:t xml:space="preserve">SUNPHARMA.NS, DRREDDY.NS, CIPLA.NS,</w:t>
      </w:r>
      <w:r>
        <w:br/>
      </w:r>
      <w:r>
        <w:rPr>
          <w:rStyle w:val="VerbatimChar"/>
        </w:rPr>
        <w:t xml:space="preserve">TATAMOTORS.NS, MARUTI.NS, M&amp;M.NS,</w:t>
      </w:r>
      <w:r>
        <w:br/>
      </w:r>
      <w:r>
        <w:rPr>
          <w:rStyle w:val="VerbatimChar"/>
        </w:rPr>
        <w:t xml:space="preserve">LT.NS, ULTRACEMCO.NS, ASIANPAINT.NS, BHARTIARTL.NS,</w:t>
      </w:r>
      <w:r>
        <w:br/>
      </w:r>
      <w:r>
        <w:rPr>
          <w:rStyle w:val="VerbatimChar"/>
        </w:rPr>
        <w:t xml:space="preserve">GOLDBEES.NS, SILVERBEES.NS</w:t>
      </w:r>
    </w:p>
    <w:p>
      <w:pPr>
        <w:pStyle w:val="FirstParagraph"/>
      </w:pPr>
      <w:r>
        <w:t xml:space="preserve">This universe combines:</w:t>
      </w:r>
    </w:p>
    <w:p>
      <w:pPr>
        <w:pStyle w:val="Compact"/>
        <w:numPr>
          <w:ilvl w:val="0"/>
          <w:numId w:val="1006"/>
        </w:numPr>
      </w:pPr>
      <w:r>
        <w:t xml:space="preserve">Indian banking stocks,</w:t>
      </w:r>
    </w:p>
    <w:p>
      <w:pPr>
        <w:pStyle w:val="Compact"/>
        <w:numPr>
          <w:ilvl w:val="0"/>
          <w:numId w:val="1006"/>
        </w:numPr>
      </w:pPr>
      <w:r>
        <w:t xml:space="preserve">Indian IT stocks,</w:t>
      </w:r>
    </w:p>
    <w:p>
      <w:pPr>
        <w:pStyle w:val="Compact"/>
        <w:numPr>
          <w:ilvl w:val="0"/>
          <w:numId w:val="1006"/>
        </w:numPr>
      </w:pPr>
      <w:r>
        <w:t xml:space="preserve">energy and utilities,</w:t>
      </w:r>
    </w:p>
    <w:p>
      <w:pPr>
        <w:pStyle w:val="Compact"/>
        <w:numPr>
          <w:ilvl w:val="0"/>
          <w:numId w:val="1006"/>
        </w:numPr>
      </w:pPr>
      <w:r>
        <w:t xml:space="preserve">FMCG/consumer names,</w:t>
      </w:r>
    </w:p>
    <w:p>
      <w:pPr>
        <w:pStyle w:val="Compact"/>
        <w:numPr>
          <w:ilvl w:val="0"/>
          <w:numId w:val="1006"/>
        </w:numPr>
      </w:pPr>
      <w:r>
        <w:t xml:space="preserve">pharma names,</w:t>
      </w:r>
    </w:p>
    <w:p>
      <w:pPr>
        <w:pStyle w:val="Compact"/>
        <w:numPr>
          <w:ilvl w:val="0"/>
          <w:numId w:val="1006"/>
        </w:numPr>
      </w:pPr>
      <w:r>
        <w:t xml:space="preserve">automobile names,</w:t>
      </w:r>
    </w:p>
    <w:p>
      <w:pPr>
        <w:pStyle w:val="Compact"/>
        <w:numPr>
          <w:ilvl w:val="0"/>
          <w:numId w:val="1006"/>
        </w:numPr>
      </w:pPr>
      <w:r>
        <w:t xml:space="preserve">infrastructure/materials/telecom names,</w:t>
      </w:r>
    </w:p>
    <w:p>
      <w:pPr>
        <w:pStyle w:val="Compact"/>
        <w:numPr>
          <w:ilvl w:val="0"/>
          <w:numId w:val="1006"/>
        </w:numPr>
      </w:pPr>
      <w:r>
        <w:t xml:space="preserve">gold ETF exposure, and</w:t>
      </w:r>
    </w:p>
    <w:p>
      <w:pPr>
        <w:pStyle w:val="Compact"/>
        <w:numPr>
          <w:ilvl w:val="0"/>
          <w:numId w:val="1006"/>
        </w:numPr>
      </w:pPr>
      <w:r>
        <w:t xml:space="preserve">silver ETF exposure.</w:t>
      </w:r>
    </w:p>
    <w:p>
      <w:pPr>
        <w:pStyle w:val="FirstParagraph"/>
      </w:pPr>
      <w:r>
        <w:t xml:space="preserve">The gold and silver ETFs are important because they may behave differently from equities and can improve diversification.</w:t>
      </w:r>
    </w:p>
    <w:bookmarkEnd w:id="25"/>
    <w:bookmarkStart w:id="26" w:name="data-source"/>
    <w:p>
      <w:pPr>
        <w:pStyle w:val="Heading3"/>
      </w:pPr>
      <w:r>
        <w:rPr>
          <w:rStyle w:val="SectionNumber"/>
        </w:rPr>
        <w:t xml:space="preserve">1.4.2</w:t>
      </w:r>
      <w:r>
        <w:tab/>
      </w:r>
      <w:r>
        <w:t xml:space="preserve">4.2 Data Source</w:t>
      </w:r>
    </w:p>
    <w:p>
      <w:pPr>
        <w:pStyle w:val="FirstParagraph"/>
      </w:pPr>
      <w:r>
        <w:t xml:space="preserve">The main data source is</w:t>
      </w:r>
      <w:r>
        <w:t xml:space="preserve"> </w:t>
      </w:r>
      <w:r>
        <w:rPr>
          <w:b/>
          <w:bCs/>
        </w:rPr>
        <w:t xml:space="preserve">Yahoo Finance</w:t>
      </w:r>
      <w:r>
        <w:t xml:space="preserve">.</w:t>
      </w:r>
    </w:p>
    <w:p>
      <w:pPr>
        <w:pStyle w:val="BodyText"/>
      </w:pPr>
      <w:r>
        <w:t xml:space="preserve">Alpha Vantage is only a placeholder and should not be presented as a completed integration.</w:t>
      </w:r>
    </w:p>
    <w:p>
      <w:pPr>
        <w:pStyle w:val="BodyText"/>
      </w:pPr>
      <w:r>
        <w:t xml:space="preserve">The project prefers</w:t>
      </w:r>
      <w:r>
        <w:t xml:space="preserve"> </w:t>
      </w:r>
      <w:r>
        <w:rPr>
          <w:b/>
          <w:bCs/>
        </w:rPr>
        <w:t xml:space="preserve">adjusted close prices</w:t>
      </w:r>
      <w:r>
        <w:t xml:space="preserve"> </w:t>
      </w:r>
      <w:r>
        <w:t xml:space="preserve">because adjusted close accounts for corporate actions such as dividends, splits, and bonuses. If we used raw close prices, return calculations may be distorted around corporate-action dates.</w:t>
      </w:r>
    </w:p>
    <w:bookmarkEnd w:id="26"/>
    <w:bookmarkStart w:id="27" w:name="default-dates"/>
    <w:p>
      <w:pPr>
        <w:pStyle w:val="Heading3"/>
      </w:pPr>
      <w:r>
        <w:rPr>
          <w:rStyle w:val="SectionNumber"/>
        </w:rPr>
        <w:t xml:space="preserve">1.4.3</w:t>
      </w:r>
      <w:r>
        <w:tab/>
      </w:r>
      <w:r>
        <w:t xml:space="preserve">4.3 Default Dates</w:t>
      </w:r>
    </w:p>
    <w:p>
      <w:pPr>
        <w:pStyle w:val="FirstParagraph"/>
      </w:pPr>
      <w:r>
        <w:t xml:space="preserve">Default experiment range:</w:t>
      </w:r>
    </w:p>
    <w:p>
      <w:pPr>
        <w:pStyle w:val="SourceCode"/>
      </w:pPr>
      <w:r>
        <w:rPr>
          <w:rStyle w:val="VerbatimChar"/>
        </w:rPr>
        <w:t xml:space="preserve">2020-01-01 to 2025-01-01</w:t>
      </w:r>
    </w:p>
    <w:p>
      <w:pPr>
        <w:pStyle w:val="FirstParagraph"/>
      </w:pPr>
      <w:r>
        <w:t xml:space="preserve">Dashboard default:</w:t>
      </w:r>
    </w:p>
    <w:p>
      <w:pPr>
        <w:pStyle w:val="SourceCode"/>
      </w:pPr>
      <w:r>
        <w:rPr>
          <w:rStyle w:val="VerbatimChar"/>
        </w:rPr>
        <w:t xml:space="preserve">Start date: 2020-01-01</w:t>
      </w:r>
      <w:r>
        <w:br/>
      </w:r>
      <w:r>
        <w:rPr>
          <w:rStyle w:val="VerbatimChar"/>
        </w:rPr>
        <w:t xml:space="preserve">End date: run date</w:t>
      </w:r>
    </w:p>
    <w:p>
      <w:pPr>
        <w:pStyle w:val="FirstParagraph"/>
      </w:pPr>
      <w:r>
        <w:t xml:space="preserve">The dashboard can be changed manually over a broad range, roughly from 2010 to 2026 depending on data availability and interface settings.</w:t>
      </w:r>
    </w:p>
    <w:p>
      <w:r>
        <w:pict>
          <v:rect style="width:0;height:1.5pt" o:hralign="center" o:hrstd="t" o:hr="t"/>
        </w:pict>
      </w:r>
    </w:p>
    <w:bookmarkEnd w:id="27"/>
    <w:bookmarkEnd w:id="28"/>
    <w:bookmarkStart w:id="29" w:name="full-sequential-project-pipeline"/>
    <w:p>
      <w:pPr>
        <w:pStyle w:val="Heading2"/>
      </w:pPr>
      <w:r>
        <w:rPr>
          <w:rStyle w:val="SectionNumber"/>
        </w:rPr>
        <w:t xml:space="preserve">1.5</w:t>
      </w:r>
      <w:r>
        <w:tab/>
      </w:r>
      <w:r>
        <w:t xml:space="preserve">5. Full Sequential Project Pipeline</w:t>
      </w:r>
    </w:p>
    <w:p>
      <w:pPr>
        <w:pStyle w:val="FirstParagraph"/>
      </w:pPr>
      <w:r>
        <w:t xml:space="preserve">The project pipeline is:</w:t>
      </w:r>
    </w:p>
    <w:p>
      <w:pPr>
        <w:pStyle w:val="SourceCode"/>
      </w:pPr>
      <w:r>
        <w:rPr>
          <w:rStyle w:val="VerbatimChar"/>
        </w:rPr>
        <w:t xml:space="preserve">Market prices</w:t>
      </w:r>
      <w:r>
        <w:br/>
      </w:r>
      <w:r>
        <w:rPr>
          <w:rStyle w:val="VerbatimChar"/>
        </w:rPr>
        <w:t xml:space="preserve">  -&gt; data validation and cleaning</w:t>
      </w:r>
      <w:r>
        <w:br/>
      </w:r>
      <w:r>
        <w:rPr>
          <w:rStyle w:val="VerbatimChar"/>
        </w:rPr>
        <w:t xml:space="preserve">  -&gt; simple/log returns</w:t>
      </w:r>
      <w:r>
        <w:br/>
      </w:r>
      <w:r>
        <w:rPr>
          <w:rStyle w:val="VerbatimChar"/>
        </w:rPr>
        <w:t xml:space="preserve">  -&gt; volatility, covariance, correlation, distance matrices</w:t>
      </w:r>
      <w:r>
        <w:br/>
      </w:r>
      <w:r>
        <w:rPr>
          <w:rStyle w:val="VerbatimChar"/>
        </w:rPr>
        <w:t xml:space="preserve">  -&gt; hierarchical clustering</w:t>
      </w:r>
      <w:r>
        <w:br/>
      </w:r>
      <w:r>
        <w:rPr>
          <w:rStyle w:val="VerbatimChar"/>
        </w:rPr>
        <w:t xml:space="preserve">  -&gt; allocation strategies: EW, IV, MV/Max-Sharpe, HRP, HERC</w:t>
      </w:r>
      <w:r>
        <w:br/>
      </w:r>
      <w:r>
        <w:rPr>
          <w:rStyle w:val="VerbatimChar"/>
        </w:rPr>
        <w:t xml:space="preserve">  -&gt; rolling walk-forward backtesting</w:t>
      </w:r>
      <w:r>
        <w:br/>
      </w:r>
      <w:r>
        <w:rPr>
          <w:rStyle w:val="VerbatimChar"/>
        </w:rPr>
        <w:t xml:space="preserve">  -&gt; rebalancing and transaction-cost handling</w:t>
      </w:r>
      <w:r>
        <w:br/>
      </w:r>
      <w:r>
        <w:rPr>
          <w:rStyle w:val="VerbatimChar"/>
        </w:rPr>
        <w:t xml:space="preserve">  -&gt; performance and risk metrics</w:t>
      </w:r>
      <w:r>
        <w:br/>
      </w:r>
      <w:r>
        <w:rPr>
          <w:rStyle w:val="VerbatimChar"/>
        </w:rPr>
        <w:t xml:space="preserve">  -&gt; risk contribution analytics</w:t>
      </w:r>
      <w:r>
        <w:br/>
      </w:r>
      <w:r>
        <w:rPr>
          <w:rStyle w:val="VerbatimChar"/>
        </w:rPr>
        <w:t xml:space="preserve">  -&gt; benchmark comparison</w:t>
      </w:r>
      <w:r>
        <w:br/>
      </w:r>
      <w:r>
        <w:rPr>
          <w:rStyle w:val="VerbatimChar"/>
        </w:rPr>
        <w:t xml:space="preserve">  -&gt; volatility targeting overlay</w:t>
      </w:r>
      <w:r>
        <w:br/>
      </w:r>
      <w:r>
        <w:rPr>
          <w:rStyle w:val="VerbatimChar"/>
        </w:rPr>
        <w:t xml:space="preserve">  -&gt; experiment sensitivity analysis</w:t>
      </w:r>
      <w:r>
        <w:br/>
      </w:r>
      <w:r>
        <w:rPr>
          <w:rStyle w:val="VerbatimChar"/>
        </w:rPr>
        <w:t xml:space="preserve">  -&gt; dashboard visualization</w:t>
      </w:r>
    </w:p>
    <w:p>
      <w:pPr>
        <w:pStyle w:val="FirstParagraph"/>
      </w:pPr>
      <w:r>
        <w:t xml:space="preserve">The logic is sequential. Each stage depends on the previous stage being correct.</w:t>
      </w:r>
    </w:p>
    <w:p>
      <w:pPr>
        <w:pStyle w:val="BodyText"/>
      </w:pPr>
      <w:r>
        <w:t xml:space="preserve">For example, if prices are wrong, returns are wrong. If returns are wrong, covariance is wrong. If covariance is wrong, HRP/HERC allocations are wrong. If allocations are wrong, backtest results are misleading.</w:t>
      </w:r>
    </w:p>
    <w:p>
      <w:r>
        <w:pict>
          <v:rect style="width:0;height:1.5pt" o:hralign="center" o:hrstd="t" o:hr="t"/>
        </w:pict>
      </w:r>
    </w:p>
    <w:bookmarkEnd w:id="29"/>
    <w:bookmarkStart w:id="33" w:name="Xcb2b7c82947a5881259bf10642e813f017dc060"/>
    <w:p>
      <w:pPr>
        <w:pStyle w:val="Heading2"/>
      </w:pPr>
      <w:r>
        <w:rPr>
          <w:rStyle w:val="SectionNumber"/>
        </w:rPr>
        <w:t xml:space="preserve">1.6</w:t>
      </w:r>
      <w:r>
        <w:tab/>
      </w:r>
      <w:r>
        <w:t xml:space="preserve">6. Stage 1 — Data Acquisition and Data Understanding</w:t>
      </w:r>
    </w:p>
    <w:bookmarkStart w:id="30" w:name="what-happens-in-this-stage"/>
    <w:p>
      <w:pPr>
        <w:pStyle w:val="Heading3"/>
      </w:pPr>
      <w:r>
        <w:rPr>
          <w:rStyle w:val="SectionNumber"/>
        </w:rPr>
        <w:t xml:space="preserve">1.6.1</w:t>
      </w:r>
      <w:r>
        <w:tab/>
      </w:r>
      <w:r>
        <w:t xml:space="preserve">6.1 What Happens in This Stage?</w:t>
      </w:r>
    </w:p>
    <w:p>
      <w:pPr>
        <w:pStyle w:val="FirstParagraph"/>
      </w:pPr>
      <w:r>
        <w:t xml:space="preserve">The system downloads historical market data for the selected tickers. The main input is a list of Yahoo Finance tickers and a date range. The output is a clean date-indexed price panel.</w:t>
      </w:r>
    </w:p>
    <w:p>
      <w:pPr>
        <w:pStyle w:val="BodyText"/>
      </w:pPr>
      <w:r>
        <w:t xml:space="preserve">A price panel is a table where:</w:t>
      </w:r>
    </w:p>
    <w:p>
      <w:pPr>
        <w:pStyle w:val="Compact"/>
        <w:numPr>
          <w:ilvl w:val="0"/>
          <w:numId w:val="1007"/>
        </w:numPr>
      </w:pPr>
      <w:r>
        <w:t xml:space="preserve">rows are dates,</w:t>
      </w:r>
    </w:p>
    <w:p>
      <w:pPr>
        <w:pStyle w:val="Compact"/>
        <w:numPr>
          <w:ilvl w:val="0"/>
          <w:numId w:val="1007"/>
        </w:numPr>
      </w:pPr>
      <w:r>
        <w:t xml:space="preserve">columns are assets,</w:t>
      </w:r>
    </w:p>
    <w:p>
      <w:pPr>
        <w:pStyle w:val="Compact"/>
        <w:numPr>
          <w:ilvl w:val="0"/>
          <w:numId w:val="1007"/>
        </w:numPr>
      </w:pPr>
      <w:r>
        <w:t xml:space="preserve">values are prices.</w:t>
      </w:r>
    </w:p>
    <w:p>
      <w:pPr>
        <w:pStyle w:val="FirstParagraph"/>
      </w:pPr>
      <w: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right"/>
            </w:pPr>
            <w:r>
              <w:t xml:space="preserve">HDFCBANK.NS</w:t>
            </w:r>
          </w:p>
        </w:tc>
        <w:tc>
          <w:tcPr/>
          <w:p>
            <w:pPr>
              <w:pStyle w:val="Compact"/>
              <w:jc w:val="right"/>
            </w:pPr>
            <w:r>
              <w:t xml:space="preserve">INFY.NS</w:t>
            </w:r>
          </w:p>
        </w:tc>
        <w:tc>
          <w:tcPr/>
          <w:p>
            <w:pPr>
              <w:pStyle w:val="Compact"/>
              <w:jc w:val="right"/>
            </w:pPr>
            <w:r>
              <w:t xml:space="preserve">GOLDBEES.NS</w:t>
            </w:r>
          </w:p>
        </w:tc>
      </w:tr>
      <w:tr>
        <w:tc>
          <w:tcPr/>
          <w:p>
            <w:pPr>
              <w:pStyle w:val="Compact"/>
              <w:jc w:val="left"/>
            </w:pPr>
            <w:r>
              <w:t xml:space="preserve">2020-01-01</w:t>
            </w:r>
          </w:p>
        </w:tc>
        <w:tc>
          <w:tcPr/>
          <w:p>
            <w:pPr>
              <w:pStyle w:val="Compact"/>
              <w:jc w:val="right"/>
            </w:pPr>
            <w:r>
              <w:t xml:space="preserve">1000</w:t>
            </w:r>
          </w:p>
        </w:tc>
        <w:tc>
          <w:tcPr/>
          <w:p>
            <w:pPr>
              <w:pStyle w:val="Compact"/>
              <w:jc w:val="right"/>
            </w:pPr>
            <w:r>
              <w:t xml:space="preserve">720</w:t>
            </w:r>
          </w:p>
        </w:tc>
        <w:tc>
          <w:tcPr/>
          <w:p>
            <w:pPr>
              <w:pStyle w:val="Compact"/>
              <w:jc w:val="right"/>
            </w:pPr>
            <w:r>
              <w:t xml:space="preserve">36</w:t>
            </w:r>
          </w:p>
        </w:tc>
      </w:tr>
      <w:tr>
        <w:tc>
          <w:tcPr/>
          <w:p>
            <w:pPr>
              <w:pStyle w:val="Compact"/>
              <w:jc w:val="left"/>
            </w:pPr>
            <w:r>
              <w:t xml:space="preserve">2020-01-02</w:t>
            </w:r>
          </w:p>
        </w:tc>
        <w:tc>
          <w:tcPr/>
          <w:p>
            <w:pPr>
              <w:pStyle w:val="Compact"/>
              <w:jc w:val="right"/>
            </w:pPr>
            <w:r>
              <w:t xml:space="preserve">1010</w:t>
            </w:r>
          </w:p>
        </w:tc>
        <w:tc>
          <w:tcPr/>
          <w:p>
            <w:pPr>
              <w:pStyle w:val="Compact"/>
              <w:jc w:val="right"/>
            </w:pPr>
            <w:r>
              <w:t xml:space="preserve">725</w:t>
            </w:r>
          </w:p>
        </w:tc>
        <w:tc>
          <w:tcPr/>
          <w:p>
            <w:pPr>
              <w:pStyle w:val="Compact"/>
              <w:jc w:val="right"/>
            </w:pPr>
            <w:r>
              <w:t xml:space="preserve">36.2</w:t>
            </w:r>
          </w:p>
        </w:tc>
      </w:tr>
      <w:tr>
        <w:tc>
          <w:tcPr/>
          <w:p>
            <w:pPr>
              <w:pStyle w:val="Compact"/>
              <w:jc w:val="left"/>
            </w:pPr>
            <w:r>
              <w:t xml:space="preserve">2020-01-03</w:t>
            </w:r>
          </w:p>
        </w:tc>
        <w:tc>
          <w:tcPr/>
          <w:p>
            <w:pPr>
              <w:pStyle w:val="Compact"/>
              <w:jc w:val="right"/>
            </w:pPr>
            <w:r>
              <w:t xml:space="preserve">1005</w:t>
            </w:r>
          </w:p>
        </w:tc>
        <w:tc>
          <w:tcPr/>
          <w:p>
            <w:pPr>
              <w:pStyle w:val="Compact"/>
              <w:jc w:val="right"/>
            </w:pPr>
            <w:r>
              <w:t xml:space="preserve">730</w:t>
            </w:r>
          </w:p>
        </w:tc>
        <w:tc>
          <w:tcPr/>
          <w:p>
            <w:pPr>
              <w:pStyle w:val="Compact"/>
              <w:jc w:val="right"/>
            </w:pPr>
            <w:r>
              <w:t xml:space="preserve">36.5</w:t>
            </w:r>
          </w:p>
        </w:tc>
      </w:tr>
    </w:tbl>
    <w:bookmarkEnd w:id="30"/>
    <w:bookmarkStart w:id="31" w:name="why-adjusted-close"/>
    <w:p>
      <w:pPr>
        <w:pStyle w:val="Heading3"/>
      </w:pPr>
      <w:r>
        <w:rPr>
          <w:rStyle w:val="SectionNumber"/>
        </w:rPr>
        <w:t xml:space="preserve">1.6.2</w:t>
      </w:r>
      <w:r>
        <w:tab/>
      </w:r>
      <w:r>
        <w:t xml:space="preserve">6.2 Why Adjusted Close?</w:t>
      </w:r>
    </w:p>
    <w:p>
      <w:pPr>
        <w:pStyle w:val="FirstParagraph"/>
      </w:pPr>
      <w:r>
        <w:t xml:space="preserve">Suppose a stock splits 1:2. The raw price may suddenly fall from ₹1000 to ₹500, but the investor did not lose 50%. The number of shares doubled. Adjusted close handles such corporate-action effects.</w:t>
      </w:r>
    </w:p>
    <w:p>
      <w:pPr>
        <w:pStyle w:val="BodyText"/>
      </w:pPr>
      <w:r>
        <w:t xml:space="preserve">So we prefer:</w:t>
      </w:r>
    </w:p>
    <w:p>
      <w:pPr>
        <w:pStyle w:val="SourceCode"/>
      </w:pPr>
      <w:r>
        <w:rPr>
          <w:rStyle w:val="VerbatimChar"/>
        </w:rPr>
        <w:t xml:space="preserve">adjusted_close_price</w:t>
      </w:r>
    </w:p>
    <w:p>
      <w:pPr>
        <w:pStyle w:val="FirstParagraph"/>
      </w:pPr>
      <w:r>
        <w:t xml:space="preserve">instead of raw close.</w:t>
      </w:r>
    </w:p>
    <w:bookmarkEnd w:id="31"/>
    <w:bookmarkStart w:id="32" w:name="code-reference"/>
    <w:p>
      <w:pPr>
        <w:pStyle w:val="Heading3"/>
      </w:pPr>
      <w:r>
        <w:rPr>
          <w:rStyle w:val="SectionNumber"/>
        </w:rPr>
        <w:t xml:space="preserve">1.6.3</w:t>
      </w:r>
      <w:r>
        <w:tab/>
      </w:r>
      <w:r>
        <w:t xml:space="preserve">6.3 Code Reference</w:t>
      </w:r>
    </w:p>
    <w:p>
      <w:pPr>
        <w:pStyle w:val="FirstParagraph"/>
      </w:pPr>
      <w:r>
        <w:t xml:space="preserve">Typical module responsibility:</w:t>
      </w:r>
    </w:p>
    <w:p>
      <w:pPr>
        <w:pStyle w:val="SourceCode"/>
      </w:pPr>
      <w:r>
        <w:rPr>
          <w:rStyle w:val="VerbatimChar"/>
        </w:rPr>
        <w:t xml:space="preserve">src/data/</w:t>
      </w:r>
    </w:p>
    <w:p>
      <w:pPr>
        <w:pStyle w:val="FirstParagraph"/>
      </w:pPr>
      <w:r>
        <w:t xml:space="preserve">Dashboard reference:</w:t>
      </w:r>
    </w:p>
    <w:p>
      <w:pPr>
        <w:pStyle w:val="SourceCode"/>
      </w:pPr>
      <w:r>
        <w:rPr>
          <w:rStyle w:val="VerbatimChar"/>
        </w:rPr>
        <w:t xml:space="preserve">src/dashboard/app.py</w:t>
      </w:r>
    </w:p>
    <w:p>
      <w:pPr>
        <w:pStyle w:val="FirstParagraph"/>
      </w:pPr>
      <w:r>
        <w:t xml:space="preserve">The dashboard allows asset selection, date selection, and ticker override.</w:t>
      </w:r>
    </w:p>
    <w:p>
      <w:r>
        <w:pict>
          <v:rect style="width:0;height:1.5pt" o:hralign="center" o:hrstd="t" o:hr="t"/>
        </w:pict>
      </w:r>
    </w:p>
    <w:bookmarkEnd w:id="32"/>
    <w:bookmarkEnd w:id="33"/>
    <w:bookmarkStart w:id="40" w:name="stage-2-returns-and-data-cleaning"/>
    <w:p>
      <w:pPr>
        <w:pStyle w:val="Heading2"/>
      </w:pPr>
      <w:r>
        <w:rPr>
          <w:rStyle w:val="SectionNumber"/>
        </w:rPr>
        <w:t xml:space="preserve">1.7</w:t>
      </w:r>
      <w:r>
        <w:tab/>
      </w:r>
      <w:r>
        <w:t xml:space="preserve">7. Stage 2 — Returns and Data Cleaning</w:t>
      </w:r>
    </w:p>
    <w:bookmarkStart w:id="34" w:name="why-convert-prices-to-returns"/>
    <w:p>
      <w:pPr>
        <w:pStyle w:val="Heading3"/>
      </w:pPr>
      <w:r>
        <w:rPr>
          <w:rStyle w:val="SectionNumber"/>
        </w:rPr>
        <w:t xml:space="preserve">1.7.1</w:t>
      </w:r>
      <w:r>
        <w:tab/>
      </w:r>
      <w:r>
        <w:t xml:space="preserve">7.1 Why Convert Prices to Returns?</w:t>
      </w:r>
    </w:p>
    <w:p>
      <w:pPr>
        <w:pStyle w:val="FirstParagraph"/>
      </w:pPr>
      <w:r>
        <w:t xml:space="preserve">Portfolio models do not work directly with prices. A ₹10 movement in a ₹1000 stock is very different from a ₹10 movement in a ₹50 stock. Returns standardize price changes.</w:t>
      </w:r>
    </w:p>
    <w:bookmarkEnd w:id="34"/>
    <w:bookmarkStart w:id="35" w:name="simple-return"/>
    <w:p>
      <w:pPr>
        <w:pStyle w:val="Heading3"/>
      </w:pPr>
      <w:r>
        <w:rPr>
          <w:rStyle w:val="SectionNumber"/>
        </w:rPr>
        <w:t xml:space="preserve">1.7.2</w:t>
      </w:r>
      <w:r>
        <w:tab/>
      </w:r>
      <w:r>
        <w:t xml:space="preserve">7.2 Simple Return</w:t>
      </w:r>
    </w:p>
    <w:p>
      <w:pPr>
        <w:pStyle w:val="FirstParagraph"/>
      </w:pPr>
      <w:r>
        <w:t xml:space="preserve">Formula:</w:t>
      </w:r>
    </w:p>
    <w:p>
      <w:pPr>
        <w:pStyle w:val="BodyText"/>
      </w:pPr>
      <m:oMathPara>
        <m:oMathParaPr>
          <m:jc m:val="center"/>
        </m:oMathParaPr>
        <m:oMath>
          <m:sSub>
            <m:e>
              <m:r>
                <m:rPr>
                  <m:nor/>
                  <m:sty m:val="p"/>
                </m:rPr>
                <m:t>simple return</m:t>
              </m:r>
            </m:e>
            <m:sub>
              <m:r>
                <m:t>t</m:t>
              </m:r>
            </m:sub>
          </m:sSub>
          <m:r>
            <m:rPr>
              <m:sty m:val="p"/>
            </m:rPr>
            <m:t>=</m:t>
          </m:r>
          <m:f>
            <m:fPr>
              <m:type m:val="bar"/>
            </m:fPr>
            <m:num>
              <m:sSub>
                <m:e>
                  <m:r>
                    <m:t>P</m:t>
                  </m:r>
                </m:e>
                <m:sub>
                  <m:r>
                    <m:t>t</m:t>
                  </m:r>
                </m:sub>
              </m:sSub>
            </m:num>
            <m:den>
              <m:sSub>
                <m:e>
                  <m:r>
                    <m:t>P</m:t>
                  </m:r>
                </m:e>
                <m:sub>
                  <m:r>
                    <m:t>t</m:t>
                  </m:r>
                  <m:r>
                    <m:rPr>
                      <m:sty m:val="p"/>
                    </m:rPr>
                    <m:t>−</m:t>
                  </m:r>
                  <m:r>
                    <m:t>1</m:t>
                  </m:r>
                </m:sub>
              </m:sSub>
            </m:den>
          </m:f>
          <m:r>
            <m:rPr>
              <m:sty m:val="p"/>
            </m:rPr>
            <m:t>−</m:t>
          </m:r>
          <m:r>
            <m:t>1</m:t>
          </m:r>
        </m:oMath>
      </m:oMathPara>
    </w:p>
    <w:p>
      <w:pPr>
        <w:pStyle w:val="FirstParagraph"/>
      </w:pPr>
      <w:r>
        <w:t xml:space="preserve">Mathematical notation:</w:t>
      </w:r>
    </w:p>
    <w:p>
      <w:pPr>
        <w:pStyle w:val="BodyText"/>
      </w:pPr>
      <m:oMathPara>
        <m:oMathParaPr>
          <m:jc m:val="center"/>
        </m:oMathParaPr>
        <m:oMath>
          <m:sSub>
            <m:e>
              <m:r>
                <m:t>r</m:t>
              </m:r>
            </m:e>
            <m:sub>
              <m:r>
                <m:t>t</m:t>
              </m:r>
            </m:sub>
          </m:sSub>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oMath>
      </m:oMathPara>
    </w:p>
    <w:p>
      <w:pPr>
        <w:pStyle w:val="FirstParagraph"/>
      </w:pPr>
      <w:r>
        <w:t xml:space="preserve">Example:</w:t>
      </w:r>
    </w:p>
    <w:p>
      <w:pPr>
        <w:pStyle w:val="SourceCode"/>
      </w:pPr>
      <w:r>
        <w:rPr>
          <w:rStyle w:val="VerbatimChar"/>
        </w:rPr>
        <w:t xml:space="preserve">Yesterday price = 100</w:t>
      </w:r>
      <w:r>
        <w:br/>
      </w:r>
      <w:r>
        <w:rPr>
          <w:rStyle w:val="VerbatimChar"/>
        </w:rPr>
        <w:t xml:space="preserve">Today price = 105</w:t>
      </w:r>
      <w:r>
        <w:br/>
      </w:r>
      <w:r>
        <w:rPr>
          <w:rStyle w:val="VerbatimChar"/>
        </w:rPr>
        <w:t xml:space="preserve">simple return = 105 / 100 - 1 = 0.05 = 5%</w:t>
      </w:r>
    </w:p>
    <w:bookmarkEnd w:id="35"/>
    <w:bookmarkStart w:id="36" w:name="log-return"/>
    <w:p>
      <w:pPr>
        <w:pStyle w:val="Heading3"/>
      </w:pPr>
      <w:r>
        <w:rPr>
          <w:rStyle w:val="SectionNumber"/>
        </w:rPr>
        <w:t xml:space="preserve">1.7.3</w:t>
      </w:r>
      <w:r>
        <w:tab/>
      </w:r>
      <w:r>
        <w:t xml:space="preserve">7.3 Log Return</w:t>
      </w:r>
    </w:p>
    <w:p>
      <w:pPr>
        <w:pStyle w:val="FirstParagraph"/>
      </w:pPr>
      <w:r>
        <w:t xml:space="preserve">Formula:</w:t>
      </w:r>
    </w:p>
    <w:p>
      <w:pPr>
        <w:pStyle w:val="BodyText"/>
      </w:pPr>
      <m:oMathPara>
        <m:oMathParaPr>
          <m:jc m:val="center"/>
        </m:oMathParaPr>
        <m:oMath>
          <m:sSub>
            <m:e>
              <m:r>
                <m:rPr>
                  <m:nor/>
                  <m:sty m:val="p"/>
                </m:rPr>
                <m:t>log return</m:t>
              </m:r>
            </m:e>
            <m:sub>
              <m:r>
                <m:t>t</m:t>
              </m:r>
            </m:sub>
          </m:sSub>
          <m:r>
            <m:rPr>
              <m:sty m:val="p"/>
            </m:rPr>
            <m:t>=</m:t>
          </m:r>
          <m:r>
            <m:rPr>
              <m:sty m:val="p"/>
            </m:rPr>
            <m:t>log</m:t>
          </m:r>
          <m:d>
            <m:dPr>
              <m:begChr m:val="("/>
              <m:endChr m:val=")"/>
              <m:sepChr m:val=""/>
              <m:grow/>
            </m:dPr>
            <m:e>
              <m:f>
                <m:fPr>
                  <m:type m:val="bar"/>
                </m:fPr>
                <m:num>
                  <m:sSub>
                    <m:e>
                      <m:r>
                        <m:t>P</m:t>
                      </m:r>
                    </m:e>
                    <m:sub>
                      <m:r>
                        <m:t>t</m:t>
                      </m:r>
                    </m:sub>
                  </m:sSub>
                </m:num>
                <m:den>
                  <m:sSub>
                    <m:e>
                      <m:r>
                        <m:t>P</m:t>
                      </m:r>
                    </m:e>
                    <m:sub>
                      <m:r>
                        <m:t>t</m:t>
                      </m:r>
                      <m:r>
                        <m:rPr>
                          <m:sty m:val="p"/>
                        </m:rPr>
                        <m:t>−</m:t>
                      </m:r>
                      <m:r>
                        <m:t>1</m:t>
                      </m:r>
                    </m:sub>
                  </m:sSub>
                </m:den>
              </m:f>
            </m:e>
          </m:d>
        </m:oMath>
      </m:oMathPara>
    </w:p>
    <w:p>
      <w:pPr>
        <w:pStyle w:val="FirstParagraph"/>
      </w:pPr>
      <w:r>
        <w:t xml:space="preserve">Example:</w:t>
      </w:r>
    </w:p>
    <w:p>
      <w:pPr>
        <w:pStyle w:val="SourceCode"/>
      </w:pPr>
      <w:r>
        <w:rPr>
          <w:rStyle w:val="VerbatimChar"/>
        </w:rPr>
        <w:t xml:space="preserve">Yesterday price = 100</w:t>
      </w:r>
      <w:r>
        <w:br/>
      </w:r>
      <w:r>
        <w:rPr>
          <w:rStyle w:val="VerbatimChar"/>
        </w:rPr>
        <w:t xml:space="preserve">Today price = 105</w:t>
      </w:r>
      <w:r>
        <w:br/>
      </w:r>
      <w:r>
        <w:rPr>
          <w:rStyle w:val="VerbatimChar"/>
        </w:rPr>
        <w:t xml:space="preserve">log return = log(105 / 100) = log(1.05) ≈ 0.04879 = 4.879%</w:t>
      </w:r>
    </w:p>
    <w:p>
      <w:pPr>
        <w:pStyle w:val="FirstParagraph"/>
      </w:pPr>
      <w:r>
        <w:t xml:space="preserve">Simple returns are intuitive. Log returns are useful mathematically because they add over time.</w:t>
      </w:r>
    </w:p>
    <w:bookmarkEnd w:id="36"/>
    <w:bookmarkStart w:id="37" w:name="annualized-volatility"/>
    <w:p>
      <w:pPr>
        <w:pStyle w:val="Heading3"/>
      </w:pPr>
      <w:r>
        <w:rPr>
          <w:rStyle w:val="SectionNumber"/>
        </w:rPr>
        <w:t xml:space="preserve">1.7.4</w:t>
      </w:r>
      <w:r>
        <w:tab/>
      </w:r>
      <w:r>
        <w:t xml:space="preserve">7.4 Annualized Volatility</w:t>
      </w:r>
    </w:p>
    <w:p>
      <w:pPr>
        <w:pStyle w:val="FirstParagraph"/>
      </w:pPr>
      <w:r>
        <w:t xml:space="preserve">Daily volatility is scaled to annual volatility using 252 trading days:</w:t>
      </w:r>
    </w:p>
    <w:p>
      <w:pPr>
        <w:pStyle w:val="BodyText"/>
      </w:pPr>
      <m:oMathPara>
        <m:oMathParaPr>
          <m:jc m:val="center"/>
        </m:oMathParaPr>
        <m:oMath>
          <m:r>
            <m:rPr>
              <m:nor/>
              <m:sty m:val="p"/>
            </m:rPr>
            <m:t>annualized volatility</m:t>
          </m:r>
          <m:r>
            <m:rPr>
              <m:sty m:val="p"/>
            </m:rPr>
            <m:t>=</m:t>
          </m:r>
          <m:r>
            <m:rPr>
              <m:sty m:val="p"/>
            </m:rPr>
            <m:t>std</m:t>
          </m:r>
          <m:d>
            <m:dPr>
              <m:begChr m:val="("/>
              <m:endChr m:val=")"/>
              <m:sepChr m:val=""/>
              <m:grow/>
            </m:dPr>
            <m:e>
              <m:r>
                <m:rPr>
                  <m:nor/>
                  <m:sty m:val="p"/>
                </m:rPr>
                <m:t>daily returns</m:t>
              </m:r>
            </m:e>
          </m:d>
          <m:r>
            <m:rPr>
              <m:sty m:val="p"/>
            </m:rPr>
            <m:t>×</m:t>
          </m:r>
          <m:rad>
            <m:radPr>
              <m:degHide m:val="on"/>
            </m:radPr>
            <m:deg/>
            <m:e>
              <m:r>
                <m:t>252</m:t>
              </m:r>
            </m:e>
          </m:rad>
        </m:oMath>
      </m:oMathPara>
    </w:p>
    <w:p>
      <w:pPr>
        <w:pStyle w:val="FirstParagraph"/>
      </w:pPr>
      <w:r>
        <w:t xml:space="preserve">Example:</w:t>
      </w:r>
    </w:p>
    <w:p>
      <w:pPr>
        <w:pStyle w:val="SourceCode"/>
      </w:pPr>
      <w:r>
        <w:rPr>
          <w:rStyle w:val="VerbatimChar"/>
        </w:rPr>
        <w:t xml:space="preserve">daily volatility = 1%</w:t>
      </w:r>
      <w:r>
        <w:br/>
      </w:r>
      <w:r>
        <w:rPr>
          <w:rStyle w:val="VerbatimChar"/>
        </w:rPr>
        <w:t xml:space="preserve">annualized volatility = 1% * sqrt(252) ≈ 15.87%</w:t>
      </w:r>
    </w:p>
    <w:bookmarkEnd w:id="37"/>
    <w:bookmarkStart w:id="38" w:name="data-quality-rules"/>
    <w:p>
      <w:pPr>
        <w:pStyle w:val="Heading3"/>
      </w:pPr>
      <w:r>
        <w:rPr>
          <w:rStyle w:val="SectionNumber"/>
        </w:rPr>
        <w:t xml:space="preserve">1.7.5</w:t>
      </w:r>
      <w:r>
        <w:tab/>
      </w:r>
      <w:r>
        <w:t xml:space="preserve">7.5 Data Quality Rules</w:t>
      </w:r>
    </w:p>
    <w:p>
      <w:pPr>
        <w:pStyle w:val="FirstParagraph"/>
      </w:pPr>
      <w:r>
        <w:t xml:space="preserve">The project applies rules such as:</w:t>
      </w:r>
    </w:p>
    <w:p>
      <w:pPr>
        <w:pStyle w:val="Compact"/>
        <w:numPr>
          <w:ilvl w:val="0"/>
          <w:numId w:val="1008"/>
        </w:numPr>
      </w:pPr>
      <w:r>
        <w:t xml:space="preserve">Drop assets with too many missing observations.</w:t>
      </w:r>
    </w:p>
    <w:p>
      <w:pPr>
        <w:pStyle w:val="Compact"/>
        <w:numPr>
          <w:ilvl w:val="0"/>
          <w:numId w:val="1008"/>
        </w:numPr>
      </w:pPr>
      <w:r>
        <w:t xml:space="preserve">Forward-fill/back-fill retained assets where appropriate.</w:t>
      </w:r>
    </w:p>
    <w:p>
      <w:pPr>
        <w:pStyle w:val="Compact"/>
        <w:numPr>
          <w:ilvl w:val="0"/>
          <w:numId w:val="1008"/>
        </w:numPr>
      </w:pPr>
      <w:r>
        <w:t xml:space="preserve">Detect suspicious price moves using log-return thresholds.</w:t>
      </w:r>
    </w:p>
    <w:p>
      <w:pPr>
        <w:pStyle w:val="Compact"/>
        <w:numPr>
          <w:ilvl w:val="0"/>
          <w:numId w:val="1008"/>
        </w:numPr>
      </w:pPr>
      <w:r>
        <w:t xml:space="preserve">Repair price anomalies through interpolation.</w:t>
      </w:r>
    </w:p>
    <w:p>
      <w:pPr>
        <w:pStyle w:val="Compact"/>
        <w:numPr>
          <w:ilvl w:val="0"/>
          <w:numId w:val="1008"/>
        </w:numPr>
      </w:pPr>
      <w:r>
        <w:t xml:space="preserve">Detect return outliers using z-score or MAD-based methods.</w:t>
      </w:r>
    </w:p>
    <w:p>
      <w:pPr>
        <w:pStyle w:val="Compact"/>
        <w:numPr>
          <w:ilvl w:val="0"/>
          <w:numId w:val="1008"/>
        </w:numPr>
      </w:pPr>
      <w:r>
        <w:t xml:space="preserve">Winsorize returns to reduce extreme outlier influence.</w:t>
      </w:r>
    </w:p>
    <w:p>
      <w:pPr>
        <w:pStyle w:val="FirstParagraph"/>
      </w:pPr>
      <w:r>
        <w:t xml:space="preserve">Default examples:</w:t>
      </w:r>
    </w:p>
    <w:p>
      <w:pPr>
        <w:pStyle w:val="SourceCode"/>
      </w:pPr>
      <w:r>
        <w:rPr>
          <w:rStyle w:val="VerbatimChar"/>
        </w:rPr>
        <w:t xml:space="preserve">missing observation tolerance: 5%</w:t>
      </w:r>
      <w:r>
        <w:br/>
      </w:r>
      <w:r>
        <w:rPr>
          <w:rStyle w:val="VerbatimChar"/>
        </w:rPr>
        <w:t xml:space="preserve">price anomaly threshold: absolute log return &gt; 0.50</w:t>
      </w:r>
      <w:r>
        <w:br/>
      </w:r>
      <w:r>
        <w:rPr>
          <w:rStyle w:val="VerbatimChar"/>
        </w:rPr>
        <w:t xml:space="preserve">winsorization range: [-20%, +20%]</w:t>
      </w:r>
    </w:p>
    <w:bookmarkEnd w:id="38"/>
    <w:bookmarkStart w:id="39" w:name="why-cleaning-matters"/>
    <w:p>
      <w:pPr>
        <w:pStyle w:val="Heading3"/>
      </w:pPr>
      <w:r>
        <w:rPr>
          <w:rStyle w:val="SectionNumber"/>
        </w:rPr>
        <w:t xml:space="preserve">1.7.6</w:t>
      </w:r>
      <w:r>
        <w:tab/>
      </w:r>
      <w:r>
        <w:t xml:space="preserve">7.6 Why Cleaning Matters</w:t>
      </w:r>
    </w:p>
    <w:p>
      <w:pPr>
        <w:pStyle w:val="FirstParagraph"/>
      </w:pPr>
      <w:r>
        <w:t xml:space="preserve">Covariance and optimization are very sensitive to outliers.</w:t>
      </w:r>
    </w:p>
    <w:p>
      <w:pPr>
        <w:pStyle w:val="BodyText"/>
      </w:pPr>
      <w:r>
        <w:t xml:space="preserve">Example:</w:t>
      </w:r>
    </w:p>
    <w:p>
      <w:pPr>
        <w:pStyle w:val="BodyText"/>
      </w:pPr>
      <w:r>
        <w:t xml:space="preserve">If one data error shows a stock moving +500% in one day, then the model may think that stock is extremely volatile. This can distort allocation weights and clustering structure.</w:t>
      </w:r>
    </w:p>
    <w:p>
      <w:r>
        <w:pict>
          <v:rect style="width:0;height:1.5pt" o:hralign="center" o:hrstd="t" o:hr="t"/>
        </w:pict>
      </w:r>
    </w:p>
    <w:bookmarkEnd w:id="39"/>
    <w:bookmarkEnd w:id="40"/>
    <w:bookmarkStart w:id="46" w:name="Xcba5d7d49b5a5bd26275d3eae06b357fe312c2b"/>
    <w:p>
      <w:pPr>
        <w:pStyle w:val="Heading2"/>
      </w:pPr>
      <w:r>
        <w:rPr>
          <w:rStyle w:val="SectionNumber"/>
        </w:rPr>
        <w:t xml:space="preserve">1.8</w:t>
      </w:r>
      <w:r>
        <w:tab/>
      </w:r>
      <w:r>
        <w:t xml:space="preserve">8. Stage 3 — Risk, Volatility, Covariance, Correlation, and Distance</w:t>
      </w:r>
    </w:p>
    <w:p>
      <w:pPr>
        <w:pStyle w:val="FirstParagraph"/>
      </w:pPr>
      <w:r>
        <w:t xml:space="preserve">This is one of the most important parts of the project.</w:t>
      </w:r>
    </w:p>
    <w:bookmarkStart w:id="41" w:name="volatility"/>
    <w:p>
      <w:pPr>
        <w:pStyle w:val="Heading3"/>
      </w:pPr>
      <w:r>
        <w:rPr>
          <w:rStyle w:val="SectionNumber"/>
        </w:rPr>
        <w:t xml:space="preserve">1.8.1</w:t>
      </w:r>
      <w:r>
        <w:tab/>
      </w:r>
      <w:r>
        <w:t xml:space="preserve">8.1 Volatility</w:t>
      </w:r>
    </w:p>
    <w:p>
      <w:pPr>
        <w:pStyle w:val="FirstParagraph"/>
      </w:pPr>
      <w:r>
        <w:t xml:space="preserve">Volatility measures how much an asset’s returns fluctuate.</w:t>
      </w:r>
    </w:p>
    <w:p>
      <w:pPr>
        <w:pStyle w:val="BodyText"/>
      </w:pPr>
      <w:r>
        <w:t xml:space="preserve">Formula:</w:t>
      </w:r>
    </w:p>
    <w:p>
      <w:pPr>
        <w:pStyle w:val="BodyText"/>
      </w:pPr>
      <m:oMathPara>
        <m:oMathParaPr>
          <m:jc m:val="center"/>
        </m:oMathParaPr>
        <m:oMath>
          <m:sSub>
            <m:e>
              <m:r>
                <m:t>σ</m:t>
              </m:r>
            </m:e>
            <m:sub>
              <m:r>
                <m:t>i</m:t>
              </m:r>
            </m:sub>
          </m:sSub>
          <m:r>
            <m:rPr>
              <m:sty m:val="p"/>
            </m:rPr>
            <m:t>=</m:t>
          </m:r>
          <m:r>
            <m:rPr>
              <m:sty m:val="p"/>
            </m:rPr>
            <m:t>std</m:t>
          </m:r>
          <m:d>
            <m:dPr>
              <m:begChr m:val="("/>
              <m:endChr m:val=")"/>
              <m:sepChr m:val=""/>
              <m:grow/>
            </m:dPr>
            <m:e>
              <m:sSub>
                <m:e>
                  <m:r>
                    <m:t>r</m:t>
                  </m:r>
                </m:e>
                <m:sub>
                  <m:r>
                    <m:t>i</m:t>
                  </m:r>
                </m:sub>
              </m:sSub>
            </m:e>
          </m:d>
        </m:oMath>
      </m:oMathPara>
    </w:p>
    <w:p>
      <w:pPr>
        <w:pStyle w:val="FirstParagraph"/>
      </w:pPr>
      <w:r>
        <w:t xml:space="preserve">Annualized:</w:t>
      </w:r>
    </w:p>
    <w:p>
      <w:pPr>
        <w:pStyle w:val="BodyText"/>
      </w:pPr>
      <m:oMathPara>
        <m:oMathParaPr>
          <m:jc m:val="center"/>
        </m:oMathParaPr>
        <m:oMath>
          <m:sSub>
            <m:e>
              <m:r>
                <m:t>σ</m:t>
              </m:r>
            </m:e>
            <m:sub>
              <m:r>
                <m:t>i</m:t>
              </m:r>
              <m:r>
                <m:rPr>
                  <m:sty m:val="p"/>
                </m:rPr>
                <m:t>,</m:t>
              </m:r>
              <m:r>
                <m:rPr>
                  <m:nor/>
                  <m:sty m:val="p"/>
                </m:rPr>
                <m:t>annual</m:t>
              </m:r>
            </m:sub>
          </m:sSub>
          <m:r>
            <m:rPr>
              <m:sty m:val="p"/>
            </m:rPr>
            <m:t>=</m:t>
          </m:r>
          <m:r>
            <m:rPr>
              <m:sty m:val="p"/>
            </m:rPr>
            <m:t>std</m:t>
          </m:r>
          <m:d>
            <m:dPr>
              <m:begChr m:val="("/>
              <m:endChr m:val=")"/>
              <m:sepChr m:val=""/>
              <m:grow/>
            </m:dPr>
            <m:e>
              <m:sSub>
                <m:e>
                  <m:r>
                    <m:t>r</m:t>
                  </m:r>
                </m:e>
                <m:sub>
                  <m:r>
                    <m:t>i</m:t>
                  </m:r>
                </m:sub>
              </m:sSub>
            </m:e>
          </m:d>
          <m:r>
            <m:rPr>
              <m:sty m:val="p"/>
            </m:rPr>
            <m:t>×</m:t>
          </m:r>
          <m:rad>
            <m:radPr>
              <m:degHide m:val="on"/>
            </m:radPr>
            <m:deg/>
            <m:e>
              <m:r>
                <m:t>252</m:t>
              </m:r>
            </m:e>
          </m:rad>
        </m:oMath>
      </m:oMathPara>
    </w:p>
    <w:p>
      <w:pPr>
        <w:pStyle w:val="FirstParagraph"/>
      </w:pPr>
      <w:r>
        <w:t xml:space="preserve">Interpretation:</w:t>
      </w:r>
    </w:p>
    <w:p>
      <w:pPr>
        <w:pStyle w:val="Compact"/>
        <w:numPr>
          <w:ilvl w:val="0"/>
          <w:numId w:val="1009"/>
        </w:numPr>
      </w:pPr>
      <w:r>
        <w:t xml:space="preserve">Higher volatility means returns fluctuate more.</w:t>
      </w:r>
    </w:p>
    <w:p>
      <w:pPr>
        <w:pStyle w:val="Compact"/>
        <w:numPr>
          <w:ilvl w:val="0"/>
          <w:numId w:val="1009"/>
        </w:numPr>
      </w:pPr>
      <w:r>
        <w:t xml:space="preserve">Lower volatility means returns are more stable.</w:t>
      </w:r>
    </w:p>
    <w:p>
      <w:pPr>
        <w:pStyle w:val="FirstParagraph"/>
      </w:pPr>
      <w:r>
        <w:t xml:space="preserve">But volatility alone is not enough. Two volatile assets can still diversify each other if they do not move together.</w:t>
      </w:r>
    </w:p>
    <w:bookmarkEnd w:id="41"/>
    <w:bookmarkStart w:id="42" w:name="covariance"/>
    <w:p>
      <w:pPr>
        <w:pStyle w:val="Heading3"/>
      </w:pPr>
      <w:r>
        <w:rPr>
          <w:rStyle w:val="SectionNumber"/>
        </w:rPr>
        <w:t xml:space="preserve">1.8.2</w:t>
      </w:r>
      <w:r>
        <w:tab/>
      </w:r>
      <w:r>
        <w:t xml:space="preserve">8.2 Covariance</w:t>
      </w:r>
    </w:p>
    <w:p>
      <w:pPr>
        <w:pStyle w:val="FirstParagraph"/>
      </w:pPr>
      <w:r>
        <w:t xml:space="preserve">Covariance measures whether two assets move together in return units.</w:t>
      </w:r>
    </w:p>
    <w:p>
      <w:pPr>
        <w:pStyle w:val="BodyText"/>
      </w:pPr>
      <w:r>
        <w:t xml:space="preserve">Formula:</w:t>
      </w:r>
    </w:p>
    <w:p>
      <w:pPr>
        <w:pStyle w:val="BodyText"/>
      </w:pPr>
      <m:oMathPara>
        <m:oMathParaPr>
          <m:jc m:val="center"/>
        </m:oMathParaPr>
        <m:oMath>
          <m:sSub>
            <m:e>
              <m:r>
                <m:t>Σ</m:t>
              </m:r>
            </m:e>
            <m:sub>
              <m:r>
                <m:t>i</m:t>
              </m:r>
              <m:r>
                <m:t>j</m:t>
              </m:r>
            </m:sub>
          </m:sSub>
          <m:r>
            <m:rPr>
              <m:sty m:val="p"/>
            </m:rPr>
            <m:t>=</m:t>
          </m:r>
          <m:r>
            <m:rPr>
              <m:sty m:val="p"/>
            </m:rPr>
            <m:t>cov</m:t>
          </m:r>
          <m:d>
            <m:dPr>
              <m:begChr m:val="("/>
              <m:endChr m:val=")"/>
              <m:sepChr m:val=""/>
              <m:grow/>
            </m:dPr>
            <m:e>
              <m:sSub>
                <m:e>
                  <m:r>
                    <m:t>r</m:t>
                  </m:r>
                </m:e>
                <m:sub>
                  <m:r>
                    <m:t>i</m:t>
                  </m:r>
                </m:sub>
              </m:sSub>
              <m:r>
                <m:rPr>
                  <m:sty m:val="p"/>
                </m:rPr>
                <m:t>,</m:t>
              </m:r>
              <m:sSub>
                <m:e>
                  <m:r>
                    <m:t>r</m:t>
                  </m:r>
                </m:e>
                <m:sub>
                  <m:r>
                    <m:t>j</m:t>
                  </m:r>
                </m:sub>
              </m:sSub>
            </m:e>
          </m:d>
        </m:oMath>
      </m:oMathPara>
    </w:p>
    <w:p>
      <w:pPr>
        <w:pStyle w:val="FirstParagraph"/>
      </w:pPr>
      <w:r>
        <w:t xml:space="preserve">Interpretation:</w:t>
      </w:r>
    </w:p>
    <w:p>
      <w:pPr>
        <w:pStyle w:val="Compact"/>
        <w:numPr>
          <w:ilvl w:val="0"/>
          <w:numId w:val="1010"/>
        </w:numPr>
      </w:pPr>
      <w:r>
        <w:t xml:space="preserve">Positive covariance: assets tend to move in the same direction.</w:t>
      </w:r>
    </w:p>
    <w:p>
      <w:pPr>
        <w:pStyle w:val="Compact"/>
        <w:numPr>
          <w:ilvl w:val="0"/>
          <w:numId w:val="1010"/>
        </w:numPr>
      </w:pPr>
      <w:r>
        <w:t xml:space="preserve">Negative covariance: assets tend to move in opposite directions.</w:t>
      </w:r>
    </w:p>
    <w:p>
      <w:pPr>
        <w:pStyle w:val="Compact"/>
        <w:numPr>
          <w:ilvl w:val="0"/>
          <w:numId w:val="1010"/>
        </w:numPr>
      </w:pPr>
      <w:r>
        <w:t xml:space="preserve">Near-zero covariance: weak linear co-movement.</w:t>
      </w:r>
    </w:p>
    <w:p>
      <w:pPr>
        <w:pStyle w:val="FirstParagraph"/>
      </w:pPr>
      <w:r>
        <w:t xml:space="preserve">Example:</w:t>
      </w:r>
    </w:p>
    <w:p>
      <w:pPr>
        <w:pStyle w:val="BodyText"/>
      </w:pPr>
      <w:r>
        <w:t xml:space="preserve">If HDFCBANK and ICICIBANK usually rise and fall together, their covariance is likely positive.</w:t>
      </w:r>
    </w:p>
    <w:bookmarkEnd w:id="42"/>
    <w:bookmarkStart w:id="43" w:name="correlation"/>
    <w:p>
      <w:pPr>
        <w:pStyle w:val="Heading3"/>
      </w:pPr>
      <w:r>
        <w:rPr>
          <w:rStyle w:val="SectionNumber"/>
        </w:rPr>
        <w:t xml:space="preserve">1.8.3</w:t>
      </w:r>
      <w:r>
        <w:tab/>
      </w:r>
      <w:r>
        <w:t xml:space="preserve">8.3 Correlation</w:t>
      </w:r>
    </w:p>
    <w:p>
      <w:pPr>
        <w:pStyle w:val="FirstParagraph"/>
      </w:pPr>
      <w:r>
        <w:t xml:space="preserve">Correlation standardizes covariance so it lies between -1 and +1.</w:t>
      </w:r>
    </w:p>
    <w:p>
      <w:pPr>
        <w:pStyle w:val="BodyText"/>
      </w:pPr>
      <w:r>
        <w:t xml:space="preserve">Formula:</w:t>
      </w:r>
    </w:p>
    <w:p>
      <w:pPr>
        <w:pStyle w:val="BodyText"/>
      </w:pPr>
      <m:oMathPara>
        <m:oMathParaPr>
          <m:jc m:val="center"/>
        </m:oMathParaPr>
        <m:oMath>
          <m:sSub>
            <m:e>
              <m:r>
                <m:t>ρ</m:t>
              </m:r>
            </m:e>
            <m:sub>
              <m:r>
                <m:t>i</m:t>
              </m:r>
              <m:r>
                <m:t>j</m:t>
              </m:r>
            </m:sub>
          </m:sSub>
          <m:r>
            <m:rPr>
              <m:sty m:val="p"/>
            </m:rPr>
            <m:t>=</m:t>
          </m:r>
          <m:f>
            <m:fPr>
              <m:type m:val="bar"/>
            </m:fPr>
            <m:num>
              <m:sSub>
                <m:e>
                  <m:r>
                    <m:t>Σ</m:t>
                  </m:r>
                </m:e>
                <m:sub>
                  <m:r>
                    <m:t>i</m:t>
                  </m:r>
                  <m:r>
                    <m:t>j</m:t>
                  </m:r>
                </m:sub>
              </m:sSub>
            </m:num>
            <m:den>
              <m:sSub>
                <m:e>
                  <m:r>
                    <m:t>σ</m:t>
                  </m:r>
                </m:e>
                <m:sub>
                  <m:r>
                    <m:t>i</m:t>
                  </m:r>
                </m:sub>
              </m:sSub>
              <m:sSub>
                <m:e>
                  <m:r>
                    <m:t>σ</m:t>
                  </m:r>
                </m:e>
                <m:sub>
                  <m:r>
                    <m:t>j</m:t>
                  </m:r>
                </m:sub>
              </m:sSub>
            </m:den>
          </m:f>
        </m:oMath>
      </m:oMathPara>
    </w:p>
    <w:p>
      <w:pPr>
        <w:pStyle w:val="FirstParagraph"/>
      </w:pPr>
      <w:r>
        <w:t xml:space="preserve">Interpretation:</w:t>
      </w:r>
    </w:p>
    <w:p>
      <w:pPr>
        <w:pStyle w:val="SourceCode"/>
      </w:pPr>
      <w:r>
        <w:rPr>
          <w:rStyle w:val="VerbatimChar"/>
        </w:rPr>
        <w:t xml:space="preserve">rho = +1  -&gt; perfectly same direction</w:t>
      </w:r>
      <w:r>
        <w:br/>
      </w:r>
      <w:r>
        <w:rPr>
          <w:rStyle w:val="VerbatimChar"/>
        </w:rPr>
        <w:t xml:space="preserve">rho = 0   -&gt; no linear relationship</w:t>
      </w:r>
      <w:r>
        <w:br/>
      </w:r>
      <w:r>
        <w:rPr>
          <w:rStyle w:val="VerbatimChar"/>
        </w:rPr>
        <w:t xml:space="preserve">rho = -1  -&gt; perfectly opposite direction</w:t>
      </w:r>
    </w:p>
    <w:p>
      <w:pPr>
        <w:pStyle w:val="FirstParagraph"/>
      </w:pPr>
      <w:r>
        <w:t xml:space="preserve">Example:</w:t>
      </w:r>
    </w:p>
    <w:p>
      <w:pPr>
        <w:pStyle w:val="BodyText"/>
      </w:pPr>
      <w:r>
        <w:t xml:space="preserve">If two banking stocks have correlation 0.80, they are very similar from a diversification viewpoint.</w:t>
      </w:r>
    </w:p>
    <w:p>
      <w:pPr>
        <w:pStyle w:val="BodyText"/>
      </w:pPr>
      <w:r>
        <w:t xml:space="preserve">If equity and gold have correlation 0.10 or negative, gold may improve diversification.</w:t>
      </w:r>
    </w:p>
    <w:bookmarkEnd w:id="43"/>
    <w:bookmarkStart w:id="44" w:name="distance-matrix"/>
    <w:p>
      <w:pPr>
        <w:pStyle w:val="Heading3"/>
      </w:pPr>
      <w:r>
        <w:rPr>
          <w:rStyle w:val="SectionNumber"/>
        </w:rPr>
        <w:t xml:space="preserve">1.8.4</w:t>
      </w:r>
      <w:r>
        <w:tab/>
      </w:r>
      <w:r>
        <w:t xml:space="preserve">8.4 Distance Matrix</w:t>
      </w:r>
    </w:p>
    <w:p>
      <w:pPr>
        <w:pStyle w:val="FirstParagraph"/>
      </w:pPr>
      <w:r>
        <w:t xml:space="preserve">Hierarchical clustering needs a distance measure. The project converts correlation into distance:</w:t>
      </w:r>
    </w:p>
    <w:p>
      <w:pPr>
        <w:pStyle w:val="BodyText"/>
      </w:pPr>
      <m:oMathPara>
        <m:oMathParaPr>
          <m:jc m:val="center"/>
        </m:oMathParaPr>
        <m:oMath>
          <m:sSub>
            <m:e>
              <m:r>
                <m:t>d</m:t>
              </m:r>
            </m:e>
            <m:sub>
              <m:r>
                <m:t>i</m:t>
              </m:r>
              <m:r>
                <m:t>j</m:t>
              </m:r>
            </m:sub>
          </m:sSub>
          <m:r>
            <m:rPr>
              <m:sty m:val="p"/>
            </m:rPr>
            <m:t>=</m:t>
          </m:r>
          <m:rad>
            <m:radPr>
              <m:degHide m:val="on"/>
            </m:radPr>
            <m:deg/>
            <m:e>
              <m:f>
                <m:fPr>
                  <m:type m:val="bar"/>
                </m:fPr>
                <m:num>
                  <m:r>
                    <m:t>1</m:t>
                  </m:r>
                  <m:r>
                    <m:rPr>
                      <m:sty m:val="p"/>
                    </m:rPr>
                    <m:t>−</m:t>
                  </m:r>
                  <m:sSub>
                    <m:e>
                      <m:r>
                        <m:t>ρ</m:t>
                      </m:r>
                    </m:e>
                    <m:sub>
                      <m:r>
                        <m:t>i</m:t>
                      </m:r>
                      <m:r>
                        <m:t>j</m:t>
                      </m:r>
                    </m:sub>
                  </m:sSub>
                </m:num>
                <m:den>
                  <m:r>
                    <m:t>2</m:t>
                  </m:r>
                </m:den>
              </m:f>
            </m:e>
          </m:rad>
        </m:oMath>
      </m:oMathPara>
    </w:p>
    <w:p>
      <w:pPr>
        <w:pStyle w:val="FirstParagraph"/>
      </w:pPr>
      <w:r>
        <w:t xml:space="preserve">Interpretation:</w:t>
      </w:r>
    </w:p>
    <w:p>
      <w:pPr>
        <w:pStyle w:val="Compact"/>
        <w:numPr>
          <w:ilvl w:val="0"/>
          <w:numId w:val="1011"/>
        </w:numPr>
      </w:pPr>
      <w:r>
        <w:t xml:space="preserve">If correlation is high, distance is low.</w:t>
      </w:r>
    </w:p>
    <w:p>
      <w:pPr>
        <w:pStyle w:val="Compact"/>
        <w:numPr>
          <w:ilvl w:val="0"/>
          <w:numId w:val="1011"/>
        </w:numPr>
      </w:pPr>
      <w:r>
        <w:t xml:space="preserve">If correlation is low or negative, distance is high.</w:t>
      </w:r>
    </w:p>
    <w:p>
      <w:pPr>
        <w:pStyle w:val="FirstParagraph"/>
      </w:pPr>
      <w:r>
        <w:t xml:space="preserve">Example:</w:t>
      </w:r>
    </w:p>
    <w:p>
      <w:pPr>
        <w:pStyle w:val="SourceCode"/>
      </w:pPr>
      <w:r>
        <w:rPr>
          <w:rStyle w:val="VerbatimChar"/>
        </w:rPr>
        <w:t xml:space="preserve">rho = 1</w:t>
      </w:r>
      <w:r>
        <w:br/>
      </w:r>
      <w:r>
        <w:rPr>
          <w:rStyle w:val="VerbatimChar"/>
        </w:rPr>
        <w:t xml:space="preserve">Distance = sqrt((1 - 1) / 2) = 0</w:t>
      </w:r>
    </w:p>
    <w:p>
      <w:pPr>
        <w:pStyle w:val="FirstParagraph"/>
      </w:pPr>
      <w:r>
        <w:t xml:space="preserve">Perfectly correlated assets have zero distance.</w:t>
      </w:r>
    </w:p>
    <w:p>
      <w:pPr>
        <w:pStyle w:val="SourceCode"/>
      </w:pPr>
      <w:r>
        <w:rPr>
          <w:rStyle w:val="VerbatimChar"/>
        </w:rPr>
        <w:t xml:space="preserve">rho = -1</w:t>
      </w:r>
      <w:r>
        <w:br/>
      </w:r>
      <w:r>
        <w:rPr>
          <w:rStyle w:val="VerbatimChar"/>
        </w:rPr>
        <w:t xml:space="preserve">Distance = sqrt((1 - (-1)) / 2) = sqrt(1) = 1</w:t>
      </w:r>
    </w:p>
    <w:p>
      <w:pPr>
        <w:pStyle w:val="FirstParagraph"/>
      </w:pPr>
      <w:r>
        <w:t xml:space="preserve">Perfectly opposite assets have maximum distance.</w:t>
      </w:r>
    </w:p>
    <w:bookmarkEnd w:id="44"/>
    <w:bookmarkStart w:id="45" w:name="code-reference-1"/>
    <w:p>
      <w:pPr>
        <w:pStyle w:val="Heading3"/>
      </w:pPr>
      <w:r>
        <w:rPr>
          <w:rStyle w:val="SectionNumber"/>
        </w:rPr>
        <w:t xml:space="preserve">1.8.5</w:t>
      </w:r>
      <w:r>
        <w:tab/>
      </w:r>
      <w:r>
        <w:t xml:space="preserve">8.5 Code Reference</w:t>
      </w:r>
    </w:p>
    <w:p>
      <w:pPr>
        <w:pStyle w:val="FirstParagraph"/>
      </w:pPr>
      <w:r>
        <w:t xml:space="preserve">Typical module responsibility:</w:t>
      </w:r>
    </w:p>
    <w:p>
      <w:pPr>
        <w:pStyle w:val="SourceCode"/>
      </w:pPr>
      <w:r>
        <w:rPr>
          <w:rStyle w:val="VerbatimChar"/>
        </w:rPr>
        <w:t xml:space="preserve">src/risk/</w:t>
      </w:r>
      <w:r>
        <w:br/>
      </w:r>
      <w:r>
        <w:rPr>
          <w:rStyle w:val="VerbatimChar"/>
        </w:rPr>
        <w:t xml:space="preserve">src/portfolio/</w:t>
      </w:r>
      <w:r>
        <w:br/>
      </w:r>
      <w:r>
        <w:rPr>
          <w:rStyle w:val="VerbatimChar"/>
        </w:rPr>
        <w:t xml:space="preserve">src/analytics/</w:t>
      </w:r>
    </w:p>
    <w:p>
      <w:r>
        <w:pict>
          <v:rect style="width:0;height:1.5pt" o:hralign="center" o:hrstd="t" o:hr="t"/>
        </w:pict>
      </w:r>
    </w:p>
    <w:bookmarkEnd w:id="45"/>
    <w:bookmarkEnd w:id="46"/>
    <w:bookmarkStart w:id="53" w:name="stage-4-covariance-estimation-engine"/>
    <w:p>
      <w:pPr>
        <w:pStyle w:val="Heading2"/>
      </w:pPr>
      <w:r>
        <w:rPr>
          <w:rStyle w:val="SectionNumber"/>
        </w:rPr>
        <w:t xml:space="preserve">1.9</w:t>
      </w:r>
      <w:r>
        <w:tab/>
      </w:r>
      <w:r>
        <w:t xml:space="preserve">9. Stage 4 — Covariance Estimation Engine</w:t>
      </w:r>
    </w:p>
    <w:p>
      <w:pPr>
        <w:pStyle w:val="FirstParagraph"/>
      </w:pPr>
      <w:r>
        <w:t xml:space="preserve">The project does not use only one covariance estimator. It supports multiple estimators so we can test how strategy performance changes under different risk assumptions.</w:t>
      </w:r>
    </w:p>
    <w:bookmarkStart w:id="47" w:name="why-covariance-estimation-matters"/>
    <w:p>
      <w:pPr>
        <w:pStyle w:val="Heading3"/>
      </w:pPr>
      <w:r>
        <w:rPr>
          <w:rStyle w:val="SectionNumber"/>
        </w:rPr>
        <w:t xml:space="preserve">1.9.1</w:t>
      </w:r>
      <w:r>
        <w:tab/>
      </w:r>
      <w:r>
        <w:t xml:space="preserve">9.1 Why Covariance Estimation Matters</w:t>
      </w:r>
    </w:p>
    <w:p>
      <w:pPr>
        <w:pStyle w:val="FirstParagraph"/>
      </w:pPr>
      <w:r>
        <w:t xml:space="preserve">Portfolio risk is:</w:t>
      </w:r>
    </w:p>
    <w:p>
      <w:pPr>
        <w:pStyle w:val="BodyText"/>
      </w:pPr>
      <m:oMathPara>
        <m:oMathParaPr>
          <m:jc m:val="center"/>
        </m:oMathParaPr>
        <m:oMath>
          <m:sSubSup>
            <m:e>
              <m:r>
                <m:t>σ</m:t>
              </m:r>
            </m:e>
            <m:sub>
              <m:r>
                <m:t>p</m:t>
              </m:r>
            </m:sub>
            <m:sup>
              <m:r>
                <m:t>2</m:t>
              </m:r>
            </m:sup>
          </m:sSubSup>
          <m:r>
            <m:rPr>
              <m:sty m:val="p"/>
            </m:rPr>
            <m:t>=</m:t>
          </m:r>
          <m:sSup>
            <m:e>
              <m:r>
                <m:t>w</m:t>
              </m:r>
            </m:e>
            <m:sup>
              <m:r>
                <m:rPr>
                  <m:sty m:val="p"/>
                </m:rPr>
                <m:t>⊤</m:t>
              </m:r>
            </m:sup>
          </m:sSup>
          <m:r>
            <m:t>Σ</m:t>
          </m:r>
          <m:r>
            <m:t>w</m:t>
          </m:r>
        </m:oMath>
      </m:oMathPara>
    </w:p>
    <w:p>
      <w:pPr>
        <w:pStyle w:val="FirstParagraph"/>
      </w:pPr>
      <w:r>
        <w:t xml:space="preserve">where:</w:t>
      </w:r>
    </w:p>
    <w:p>
      <w:pPr>
        <w:pStyle w:val="SourceCode"/>
      </w:pPr>
      <w:r>
        <w:rPr>
          <w:rStyle w:val="VerbatimChar"/>
        </w:rPr>
        <w:t xml:space="preserve">w      = vector of portfolio weights</w:t>
      </w:r>
      <w:r>
        <w:br/>
      </w:r>
      <w:r>
        <w:rPr>
          <w:rStyle w:val="VerbatimChar"/>
        </w:rPr>
        <w:t xml:space="preserve">Sigma  = covariance matrix</w:t>
      </w:r>
    </w:p>
    <w:p>
      <w:pPr>
        <w:pStyle w:val="FirstParagraph"/>
      </w:pPr>
      <w:r>
        <w:t xml:space="preserve">If the covariance matrix is unstable, optimized portfolios become unstable.</w:t>
      </w:r>
    </w:p>
    <w:bookmarkEnd w:id="47"/>
    <w:bookmarkStart w:id="48" w:name="sample-covariance"/>
    <w:p>
      <w:pPr>
        <w:pStyle w:val="Heading3"/>
      </w:pPr>
      <w:r>
        <w:rPr>
          <w:rStyle w:val="SectionNumber"/>
        </w:rPr>
        <w:t xml:space="preserve">1.9.2</w:t>
      </w:r>
      <w:r>
        <w:tab/>
      </w:r>
      <w:r>
        <w:t xml:space="preserve">9.2 Sample Covariance</w:t>
      </w:r>
    </w:p>
    <w:p>
      <w:pPr>
        <w:pStyle w:val="FirstParagraph"/>
      </w:pPr>
      <w:r>
        <w:t xml:space="preserve">Formula:</w:t>
      </w:r>
    </w:p>
    <w:p>
      <w:pPr>
        <w:pStyle w:val="BodyText"/>
      </w:pPr>
      <m:oMathPara>
        <m:oMathParaPr>
          <m:jc m:val="center"/>
        </m:oMathParaPr>
        <m:oMath>
          <m:sSub>
            <m:e>
              <m:r>
                <m:t>Σ</m:t>
              </m:r>
            </m:e>
            <m:sub>
              <m:r>
                <m:rPr>
                  <m:nor/>
                  <m:sty m:val="p"/>
                </m:rPr>
                <m:t>sample</m:t>
              </m:r>
            </m:sub>
          </m:sSub>
          <m:r>
            <m:rPr>
              <m:sty m:val="p"/>
            </m:rPr>
            <m:t>=</m:t>
          </m:r>
          <m:r>
            <m:rPr>
              <m:sty m:val="p"/>
            </m:rPr>
            <m:t>cov</m:t>
          </m:r>
          <m:d>
            <m:dPr>
              <m:begChr m:val="("/>
              <m:endChr m:val=")"/>
              <m:sepChr m:val=""/>
              <m:grow/>
            </m:dPr>
            <m:e>
              <m:r>
                <m:t>R</m:t>
              </m:r>
            </m:e>
          </m:d>
        </m:oMath>
      </m:oMathPara>
    </w:p>
    <w:p>
      <w:pPr>
        <w:pStyle w:val="FirstParagraph"/>
      </w:pPr>
      <w:r>
        <w:t xml:space="preserve">where</w:t>
      </w:r>
      <w:r>
        <w:t xml:space="preserve"> </w:t>
      </w:r>
      <w:r>
        <w:rPr>
          <w:rStyle w:val="VerbatimChar"/>
        </w:rPr>
        <w:t xml:space="preserve">R</w:t>
      </w:r>
      <w:r>
        <w:t xml:space="preserve"> </w:t>
      </w:r>
      <w:r>
        <w:t xml:space="preserve">is the returns matrix.</w:t>
      </w:r>
    </w:p>
    <w:p>
      <w:pPr>
        <w:pStyle w:val="BodyText"/>
      </w:pPr>
      <w:r>
        <w:t xml:space="preserve">Assumption:</w:t>
      </w:r>
    </w:p>
    <w:p>
      <w:pPr>
        <w:pStyle w:val="SourceCode"/>
      </w:pPr>
      <w:r>
        <w:rPr>
          <w:rStyle w:val="VerbatimChar"/>
        </w:rPr>
        <w:t xml:space="preserve">All historical observations are equally important.</w:t>
      </w:r>
    </w:p>
    <w:p>
      <w:pPr>
        <w:pStyle w:val="FirstParagraph"/>
      </w:pPr>
      <w:r>
        <w:t xml:space="preserve">Pros:</w:t>
      </w:r>
    </w:p>
    <w:p>
      <w:pPr>
        <w:pStyle w:val="Compact"/>
        <w:numPr>
          <w:ilvl w:val="0"/>
          <w:numId w:val="1012"/>
        </w:numPr>
      </w:pPr>
      <w:r>
        <w:t xml:space="preserve">Simple.</w:t>
      </w:r>
    </w:p>
    <w:p>
      <w:pPr>
        <w:pStyle w:val="Compact"/>
        <w:numPr>
          <w:ilvl w:val="0"/>
          <w:numId w:val="1012"/>
        </w:numPr>
      </w:pPr>
      <w:r>
        <w:t xml:space="preserve">Easy to understand.</w:t>
      </w:r>
    </w:p>
    <w:p>
      <w:pPr>
        <w:pStyle w:val="FirstParagraph"/>
      </w:pPr>
      <w:r>
        <w:t xml:space="preserve">Cons:</w:t>
      </w:r>
    </w:p>
    <w:p>
      <w:pPr>
        <w:pStyle w:val="Compact"/>
        <w:numPr>
          <w:ilvl w:val="0"/>
          <w:numId w:val="1013"/>
        </w:numPr>
      </w:pPr>
      <w:r>
        <w:t xml:space="preserve">Noisy in small samples.</w:t>
      </w:r>
    </w:p>
    <w:p>
      <w:pPr>
        <w:pStyle w:val="Compact"/>
        <w:numPr>
          <w:ilvl w:val="0"/>
          <w:numId w:val="1013"/>
        </w:numPr>
      </w:pPr>
      <w:r>
        <w:t xml:space="preserve">Sensitive to extreme periods.</w:t>
      </w:r>
    </w:p>
    <w:bookmarkEnd w:id="48"/>
    <w:bookmarkStart w:id="49" w:name="ledoit-wolf-shrinkage"/>
    <w:p>
      <w:pPr>
        <w:pStyle w:val="Heading3"/>
      </w:pPr>
      <w:r>
        <w:rPr>
          <w:rStyle w:val="SectionNumber"/>
        </w:rPr>
        <w:t xml:space="preserve">1.9.3</w:t>
      </w:r>
      <w:r>
        <w:tab/>
      </w:r>
      <w:r>
        <w:t xml:space="preserve">9.3 Ledoit-Wolf Shrinkage</w:t>
      </w:r>
    </w:p>
    <w:p>
      <w:pPr>
        <w:pStyle w:val="FirstParagraph"/>
      </w:pPr>
      <w:r>
        <w:t xml:space="preserve">Formula:</w:t>
      </w:r>
    </w:p>
    <w:p>
      <w:pPr>
        <w:pStyle w:val="BodyText"/>
      </w:pPr>
      <m:oMathPara>
        <m:oMathParaPr>
          <m:jc m:val="center"/>
        </m:oMathParaPr>
        <m:oMath>
          <m:sSub>
            <m:e>
              <m:r>
                <m:t>Σ</m:t>
              </m:r>
            </m:e>
            <m:sub>
              <m:r>
                <m:t>L</m:t>
              </m:r>
              <m:r>
                <m:t>W</m:t>
              </m:r>
            </m:sub>
          </m:sSub>
          <m:r>
            <m:rPr>
              <m:sty m:val="p"/>
            </m:rPr>
            <m:t>=</m:t>
          </m:r>
          <m:d>
            <m:dPr>
              <m:begChr m:val="("/>
              <m:endChr m:val=")"/>
              <m:sepChr m:val=""/>
              <m:grow/>
            </m:dPr>
            <m:e>
              <m:r>
                <m:t>1</m:t>
              </m:r>
              <m:r>
                <m:rPr>
                  <m:sty m:val="p"/>
                </m:rPr>
                <m:t>−</m:t>
              </m:r>
              <m:r>
                <m:t>δ</m:t>
              </m:r>
            </m:e>
          </m:d>
          <m:r>
            <m:t>S</m:t>
          </m:r>
          <m:r>
            <m:rPr>
              <m:sty m:val="p"/>
            </m:rPr>
            <m:t>+</m:t>
          </m:r>
          <m:r>
            <m:t>δ</m:t>
          </m:r>
          <m:r>
            <m:t>F</m:t>
          </m:r>
        </m:oMath>
      </m:oMathPara>
    </w:p>
    <w:p>
      <w:pPr>
        <w:pStyle w:val="FirstParagraph"/>
      </w:pPr>
      <w:r>
        <w:t xml:space="preserve">where:</w:t>
      </w:r>
    </w:p>
    <w:p>
      <w:pPr>
        <w:pStyle w:val="SourceCode"/>
      </w:pPr>
      <w:r>
        <w:rPr>
          <w:rStyle w:val="VerbatimChar"/>
        </w:rPr>
        <w:t xml:space="preserve">S      = sample covariance matrix</w:t>
      </w:r>
      <w:r>
        <w:br/>
      </w:r>
      <w:r>
        <w:rPr>
          <w:rStyle w:val="VerbatimChar"/>
        </w:rPr>
        <w:t xml:space="preserve">F      = structured shrinkage target</w:t>
      </w:r>
      <w:r>
        <w:br/>
      </w:r>
      <w:r>
        <w:rPr>
          <w:rStyle w:val="VerbatimChar"/>
        </w:rPr>
        <w:t xml:space="preserve">delta  = shrinkage intensity</w:t>
      </w:r>
    </w:p>
    <w:p>
      <w:pPr>
        <w:pStyle w:val="FirstParagraph"/>
      </w:pPr>
      <w:r>
        <w:t xml:space="preserve">Meaning:</w:t>
      </w:r>
    </w:p>
    <w:p>
      <w:pPr>
        <w:pStyle w:val="BodyText"/>
      </w:pPr>
      <w:r>
        <w:t xml:space="preserve">Ledoit-Wolf pulls the noisy sample covariance matrix toward a more stable target. This often improves numerical stability.</w:t>
      </w:r>
    </w:p>
    <w:p>
      <w:pPr>
        <w:pStyle w:val="BodyText"/>
      </w:pPr>
      <w:r>
        <w:t xml:space="preserve">Simple example:</w:t>
      </w:r>
    </w:p>
    <w:p>
      <w:pPr>
        <w:pStyle w:val="BodyText"/>
      </w:pPr>
      <w:r>
        <w:t xml:space="preserve">Imagine one correlation estimate is unusually high only because of a short crisis window. Shrinkage reduces the chance that this unstable estimate dominates the portfolio allocation.</w:t>
      </w:r>
    </w:p>
    <w:bookmarkEnd w:id="49"/>
    <w:bookmarkStart w:id="50" w:name="ewma-covariance"/>
    <w:p>
      <w:pPr>
        <w:pStyle w:val="Heading3"/>
      </w:pPr>
      <w:r>
        <w:rPr>
          <w:rStyle w:val="SectionNumber"/>
        </w:rPr>
        <w:t xml:space="preserve">1.9.4</w:t>
      </w:r>
      <w:r>
        <w:tab/>
      </w:r>
      <w:r>
        <w:t xml:space="preserve">9.4 EWMA Covariance</w:t>
      </w:r>
    </w:p>
    <w:p>
      <w:pPr>
        <w:pStyle w:val="FirstParagraph"/>
      </w:pPr>
      <w:r>
        <w:t xml:space="preserve">EWMA means Exponentially Weighted Moving Average.</w:t>
      </w:r>
    </w:p>
    <w:p>
      <w:pPr>
        <w:pStyle w:val="BodyText"/>
      </w:pPr>
      <w:r>
        <w:t xml:space="preserve">The idea:</w:t>
      </w:r>
    </w:p>
    <w:p>
      <w:pPr>
        <w:pStyle w:val="SourceCode"/>
      </w:pPr>
      <w:r>
        <w:rPr>
          <w:rStyle w:val="VerbatimChar"/>
        </w:rPr>
        <w:t xml:space="preserve">Recent observations should matter more than older observations.</w:t>
      </w:r>
    </w:p>
    <w:p>
      <w:pPr>
        <w:pStyle w:val="FirstParagraph"/>
      </w:pPr>
      <w:r>
        <w:t xml:space="preserve">Default span:</w:t>
      </w:r>
    </w:p>
    <w:p>
      <w:pPr>
        <w:pStyle w:val="SourceCode"/>
      </w:pPr>
      <w:r>
        <w:rPr>
          <w:rStyle w:val="VerbatimChar"/>
        </w:rPr>
        <w:t xml:space="preserve">span = 252</w:t>
      </w:r>
    </w:p>
    <w:p>
      <w:pPr>
        <w:pStyle w:val="FirstParagraph"/>
      </w:pPr>
      <w:r>
        <w:t xml:space="preserve">Equivalent alpha:</w:t>
      </w:r>
    </w:p>
    <w:p>
      <w:pPr>
        <w:pStyle w:val="BodyText"/>
      </w:pPr>
      <m:oMathPara>
        <m:oMathParaPr>
          <m:jc m:val="center"/>
        </m:oMathParaPr>
        <m:oMath>
          <m:r>
            <m:t>α</m:t>
          </m:r>
          <m:r>
            <m:rPr>
              <m:sty m:val="p"/>
            </m:rPr>
            <m:t>=</m:t>
          </m:r>
          <m:f>
            <m:fPr>
              <m:type m:val="bar"/>
            </m:fPr>
            <m:num>
              <m:r>
                <m:t>2</m:t>
              </m:r>
            </m:num>
            <m:den>
              <m:r>
                <m:rPr>
                  <m:nor/>
                  <m:sty m:val="p"/>
                </m:rPr>
                <m:t>span</m:t>
              </m:r>
              <m:r>
                <m:rPr>
                  <m:sty m:val="p"/>
                </m:rPr>
                <m:t>+</m:t>
              </m:r>
              <m:r>
                <m:t>1</m:t>
              </m:r>
            </m:den>
          </m:f>
          <m:r>
            <m:rPr>
              <m:sty m:val="p"/>
            </m:rPr>
            <m:t>=</m:t>
          </m:r>
          <m:f>
            <m:fPr>
              <m:type m:val="bar"/>
            </m:fPr>
            <m:num>
              <m:r>
                <m:t>2</m:t>
              </m:r>
            </m:num>
            <m:den>
              <m:r>
                <m:t>253</m:t>
              </m:r>
            </m:den>
          </m:f>
          <m:r>
            <m:rPr>
              <m:sty m:val="p"/>
            </m:rPr>
            <m:t>≈</m:t>
          </m:r>
          <m:r>
            <m:t>0.0079</m:t>
          </m:r>
        </m:oMath>
      </m:oMathPara>
    </w:p>
    <w:p>
      <w:pPr>
        <w:pStyle w:val="FirstParagraph"/>
      </w:pPr>
      <w:r>
        <w:t xml:space="preserve">Interpretation:</w:t>
      </w:r>
    </w:p>
    <w:p>
      <w:pPr>
        <w:pStyle w:val="BodyText"/>
      </w:pPr>
      <w:r>
        <w:t xml:space="preserve">The model reacts more to recent market behavior than a simple covariance estimator.</w:t>
      </w:r>
    </w:p>
    <w:bookmarkEnd w:id="50"/>
    <w:bookmarkStart w:id="51" w:name="ewma-ledoit-wolf"/>
    <w:p>
      <w:pPr>
        <w:pStyle w:val="Heading3"/>
      </w:pPr>
      <w:r>
        <w:rPr>
          <w:rStyle w:val="SectionNumber"/>
        </w:rPr>
        <w:t xml:space="preserve">1.9.5</w:t>
      </w:r>
      <w:r>
        <w:tab/>
      </w:r>
      <w:r>
        <w:t xml:space="preserve">9.5 EWMA + Ledoit-Wolf</w:t>
      </w:r>
    </w:p>
    <w:p>
      <w:pPr>
        <w:pStyle w:val="FirstParagraph"/>
      </w:pPr>
      <w:r>
        <w:t xml:space="preserve">This combines:</w:t>
      </w:r>
    </w:p>
    <w:p>
      <w:pPr>
        <w:pStyle w:val="Compact"/>
        <w:numPr>
          <w:ilvl w:val="0"/>
          <w:numId w:val="1014"/>
        </w:numPr>
      </w:pPr>
      <w:r>
        <w:t xml:space="preserve">EWMA recency sensitivity, and</w:t>
      </w:r>
    </w:p>
    <w:p>
      <w:pPr>
        <w:pStyle w:val="Compact"/>
        <w:numPr>
          <w:ilvl w:val="0"/>
          <w:numId w:val="1014"/>
        </w:numPr>
      </w:pPr>
      <w:r>
        <w:t xml:space="preserve">Ledoit-Wolf regularization.</w:t>
      </w:r>
    </w:p>
    <w:p>
      <w:pPr>
        <w:pStyle w:val="FirstParagraph"/>
      </w:pPr>
      <w:r>
        <w:t xml:space="preserve">Purpose:</w:t>
      </w:r>
    </w:p>
    <w:p>
      <w:pPr>
        <w:pStyle w:val="SourceCode"/>
      </w:pPr>
      <w:r>
        <w:rPr>
          <w:rStyle w:val="VerbatimChar"/>
        </w:rPr>
        <w:t xml:space="preserve">Capture recent structure while reducing covariance noise.</w:t>
      </w:r>
    </w:p>
    <w:bookmarkEnd w:id="51"/>
    <w:bookmarkStart w:id="52" w:name="code-reference-2"/>
    <w:p>
      <w:pPr>
        <w:pStyle w:val="Heading3"/>
      </w:pPr>
      <w:r>
        <w:rPr>
          <w:rStyle w:val="SectionNumber"/>
        </w:rPr>
        <w:t xml:space="preserve">1.9.6</w:t>
      </w:r>
      <w:r>
        <w:tab/>
      </w:r>
      <w:r>
        <w:t xml:space="preserve">9.6 Code Reference</w:t>
      </w:r>
    </w:p>
    <w:p>
      <w:pPr>
        <w:pStyle w:val="SourceCode"/>
      </w:pPr>
      <w:r>
        <w:rPr>
          <w:rStyle w:val="VerbatimChar"/>
        </w:rPr>
        <w:t xml:space="preserve">src/risk/covariance.py</w:t>
      </w:r>
      <w:r>
        <w:br/>
      </w:r>
      <w:r>
        <w:rPr>
          <w:rStyle w:val="VerbatimChar"/>
        </w:rPr>
        <w:t xml:space="preserve">CovarianceFactory</w:t>
      </w:r>
    </w:p>
    <w:p>
      <w:pPr>
        <w:pStyle w:val="FirstParagraph"/>
      </w:pPr>
      <w:r>
        <w:t xml:space="preserve">The covariance factory supports:</w:t>
      </w:r>
    </w:p>
    <w:p>
      <w:pPr>
        <w:pStyle w:val="SourceCode"/>
      </w:pPr>
      <w:r>
        <w:rPr>
          <w:rStyle w:val="VerbatimChar"/>
        </w:rPr>
        <w:t xml:space="preserve">sample</w:t>
      </w:r>
      <w:r>
        <w:br/>
      </w:r>
      <w:r>
        <w:rPr>
          <w:rStyle w:val="VerbatimChar"/>
        </w:rPr>
        <w:t xml:space="preserve">ledoit_wolf</w:t>
      </w:r>
      <w:r>
        <w:br/>
      </w:r>
      <w:r>
        <w:rPr>
          <w:rStyle w:val="VerbatimChar"/>
        </w:rPr>
        <w:t xml:space="preserve">ewma</w:t>
      </w:r>
      <w:r>
        <w:br/>
      </w:r>
      <w:r>
        <w:rPr>
          <w:rStyle w:val="VerbatimChar"/>
        </w:rPr>
        <w:t xml:space="preserve">ewma_ledoit_wolf</w:t>
      </w:r>
    </w:p>
    <w:p>
      <w:r>
        <w:pict>
          <v:rect style="width:0;height:1.5pt" o:hralign="center" o:hrstd="t" o:hr="t"/>
        </w:pict>
      </w:r>
    </w:p>
    <w:bookmarkEnd w:id="52"/>
    <w:bookmarkEnd w:id="53"/>
    <w:bookmarkStart w:id="59" w:name="stage-5-hierarchical-clustering"/>
    <w:p>
      <w:pPr>
        <w:pStyle w:val="Heading2"/>
      </w:pPr>
      <w:r>
        <w:rPr>
          <w:rStyle w:val="SectionNumber"/>
        </w:rPr>
        <w:t xml:space="preserve">1.10</w:t>
      </w:r>
      <w:r>
        <w:tab/>
      </w:r>
      <w:r>
        <w:t xml:space="preserve">10. Stage 5 — Hierarchical Clustering</w:t>
      </w:r>
    </w:p>
    <w:bookmarkStart w:id="54" w:name="what-is-clustering"/>
    <w:p>
      <w:pPr>
        <w:pStyle w:val="Heading3"/>
      </w:pPr>
      <w:r>
        <w:rPr>
          <w:rStyle w:val="SectionNumber"/>
        </w:rPr>
        <w:t xml:space="preserve">1.10.1</w:t>
      </w:r>
      <w:r>
        <w:tab/>
      </w:r>
      <w:r>
        <w:t xml:space="preserve">10.1 What Is Clustering?</w:t>
      </w:r>
    </w:p>
    <w:p>
      <w:pPr>
        <w:pStyle w:val="FirstParagraph"/>
      </w:pPr>
      <w:r>
        <w:t xml:space="preserve">Clustering groups similar assets together.</w:t>
      </w:r>
    </w:p>
    <w:p>
      <w:pPr>
        <w:pStyle w:val="BodyText"/>
      </w:pPr>
      <w:r>
        <w:t xml:space="preserve">In this project, similarity is based on correlation distance. Highly correlated assets are close. Less correlated assets are far apart.</w:t>
      </w:r>
    </w:p>
    <w:p>
      <w:pPr>
        <w:pStyle w:val="BodyText"/>
      </w:pPr>
      <w:r>
        <w:t xml:space="preserve">Example:</w:t>
      </w:r>
    </w:p>
    <w:p>
      <w:pPr>
        <w:pStyle w:val="BodyText"/>
      </w:pPr>
      <w:r>
        <w:t xml:space="preserve">Banking stocks may cluster together:</w:t>
      </w:r>
    </w:p>
    <w:p>
      <w:pPr>
        <w:pStyle w:val="SourceCode"/>
      </w:pPr>
      <w:r>
        <w:rPr>
          <w:rStyle w:val="VerbatimChar"/>
        </w:rPr>
        <w:t xml:space="preserve">HDFCBANK.NS, ICICIBANK.NS, SBIN.NS, AXISBANK.NS</w:t>
      </w:r>
    </w:p>
    <w:p>
      <w:pPr>
        <w:pStyle w:val="FirstParagraph"/>
      </w:pPr>
      <w:r>
        <w:t xml:space="preserve">IT stocks may form another cluster:</w:t>
      </w:r>
    </w:p>
    <w:p>
      <w:pPr>
        <w:pStyle w:val="SourceCode"/>
      </w:pPr>
      <w:r>
        <w:rPr>
          <w:rStyle w:val="VerbatimChar"/>
        </w:rPr>
        <w:t xml:space="preserve">TCS.NS, INFY.NS, WIPRO.NS, HCLTECH.NS</w:t>
      </w:r>
    </w:p>
    <w:p>
      <w:pPr>
        <w:pStyle w:val="FirstParagraph"/>
      </w:pPr>
      <w:r>
        <w:t xml:space="preserve">Gold and silver ETFs may sit away from equity clusters.</w:t>
      </w:r>
    </w:p>
    <w:bookmarkEnd w:id="54"/>
    <w:bookmarkStart w:id="55" w:name="linkage-matrix"/>
    <w:p>
      <w:pPr>
        <w:pStyle w:val="Heading3"/>
      </w:pPr>
      <w:r>
        <w:rPr>
          <w:rStyle w:val="SectionNumber"/>
        </w:rPr>
        <w:t xml:space="preserve">1.10.2</w:t>
      </w:r>
      <w:r>
        <w:tab/>
      </w:r>
      <w:r>
        <w:t xml:space="preserve">10.2 Linkage Matrix</w:t>
      </w:r>
    </w:p>
    <w:p>
      <w:pPr>
        <w:pStyle w:val="FirstParagraph"/>
      </w:pPr>
      <w:r>
        <w:t xml:space="preserve">A linkage matrix records the order in which assets or clusters are merged.</w:t>
      </w:r>
    </w:p>
    <w:p>
      <w:pPr>
        <w:pStyle w:val="BodyText"/>
      </w:pPr>
      <w:r>
        <w:t xml:space="preserve">It answers:</w:t>
      </w:r>
    </w:p>
    <w:p>
      <w:pPr>
        <w:pStyle w:val="SourceCode"/>
      </w:pPr>
      <w:r>
        <w:rPr>
          <w:rStyle w:val="VerbatimChar"/>
        </w:rPr>
        <w:t xml:space="preserve">Which two assets/clusters are closest?</w:t>
      </w:r>
      <w:r>
        <w:br/>
      </w:r>
      <w:r>
        <w:rPr>
          <w:rStyle w:val="VerbatimChar"/>
        </w:rPr>
        <w:t xml:space="preserve">Which clusters merge next?</w:t>
      </w:r>
      <w:r>
        <w:br/>
      </w:r>
      <w:r>
        <w:rPr>
          <w:rStyle w:val="VerbatimChar"/>
        </w:rPr>
        <w:t xml:space="preserve">At what distance do they merge?</w:t>
      </w:r>
    </w:p>
    <w:bookmarkEnd w:id="55"/>
    <w:bookmarkStart w:id="56" w:name="dendrogram"/>
    <w:p>
      <w:pPr>
        <w:pStyle w:val="Heading3"/>
      </w:pPr>
      <w:r>
        <w:rPr>
          <w:rStyle w:val="SectionNumber"/>
        </w:rPr>
        <w:t xml:space="preserve">1.10.3</w:t>
      </w:r>
      <w:r>
        <w:tab/>
      </w:r>
      <w:r>
        <w:t xml:space="preserve">10.3 Dendrogram</w:t>
      </w:r>
    </w:p>
    <w:p>
      <w:pPr>
        <w:pStyle w:val="FirstParagraph"/>
      </w:pPr>
      <w:r>
        <w:t xml:space="preserve">A dendrogram is a tree diagram showing how assets are grouped.</w:t>
      </w:r>
    </w:p>
    <w:p>
      <w:pPr>
        <w:pStyle w:val="BodyText"/>
      </w:pPr>
      <w:r>
        <w:t xml:space="preserve">Interpretation:</w:t>
      </w:r>
    </w:p>
    <w:p>
      <w:pPr>
        <w:pStyle w:val="Compact"/>
        <w:numPr>
          <w:ilvl w:val="0"/>
          <w:numId w:val="1015"/>
        </w:numPr>
      </w:pPr>
      <w:r>
        <w:t xml:space="preserve">Assets connected at a low height are very similar.</w:t>
      </w:r>
    </w:p>
    <w:p>
      <w:pPr>
        <w:pStyle w:val="Compact"/>
        <w:numPr>
          <w:ilvl w:val="0"/>
          <w:numId w:val="1015"/>
        </w:numPr>
      </w:pPr>
      <w:r>
        <w:t xml:space="preserve">Assets connected at a high height are less similar.</w:t>
      </w:r>
    </w:p>
    <w:bookmarkEnd w:id="56"/>
    <w:bookmarkStart w:id="57" w:name="linkage-method"/>
    <w:p>
      <w:pPr>
        <w:pStyle w:val="Heading3"/>
      </w:pPr>
      <w:r>
        <w:rPr>
          <w:rStyle w:val="SectionNumber"/>
        </w:rPr>
        <w:t xml:space="preserve">1.10.4</w:t>
      </w:r>
      <w:r>
        <w:tab/>
      </w:r>
      <w:r>
        <w:t xml:space="preserve">10.4 Linkage Method</w:t>
      </w:r>
    </w:p>
    <w:p>
      <w:pPr>
        <w:pStyle w:val="FirstParagraph"/>
      </w:pPr>
      <w:r>
        <w:t xml:space="preserve">In this repo:</w:t>
      </w:r>
    </w:p>
    <w:p>
      <w:pPr>
        <w:pStyle w:val="SourceCode"/>
      </w:pPr>
      <w:r>
        <w:rPr>
          <w:rStyle w:val="VerbatimChar"/>
        </w:rPr>
        <w:t xml:space="preserve">Allocator default linkage: single</w:t>
      </w:r>
      <w:r>
        <w:br/>
      </w:r>
      <w:r>
        <w:rPr>
          <w:rStyle w:val="VerbatimChar"/>
        </w:rPr>
        <w:t xml:space="preserve">Clustering helper/YAML may mention: ward</w:t>
      </w:r>
    </w:p>
    <w:p>
      <w:pPr>
        <w:pStyle w:val="FirstParagraph"/>
      </w:pPr>
      <w:r>
        <w:t xml:space="preserve">So the safe statement is:</w:t>
      </w:r>
    </w:p>
    <w:p>
      <w:pPr>
        <w:pStyle w:val="BlockText"/>
      </w:pPr>
      <w:r>
        <w:t xml:space="preserve">Linkage is configurable, but HRP/HERC allocator default is</w:t>
      </w:r>
      <w:r>
        <w:t xml:space="preserve"> </w:t>
      </w:r>
      <w:r>
        <w:rPr>
          <w:rStyle w:val="VerbatimChar"/>
        </w:rPr>
        <w:t xml:space="preserve">single</w:t>
      </w:r>
      <w:r>
        <w:t xml:space="preserve">.</w:t>
      </w:r>
    </w:p>
    <w:p>
      <w:pPr>
        <w:pStyle w:val="FirstParagraph"/>
      </w:pPr>
      <w:r>
        <w:t xml:space="preserve">Avoid saying the whole project uses only Ward linkage.</w:t>
      </w:r>
    </w:p>
    <w:bookmarkEnd w:id="57"/>
    <w:bookmarkStart w:id="58" w:name="why-clustering-matters"/>
    <w:p>
      <w:pPr>
        <w:pStyle w:val="Heading3"/>
      </w:pPr>
      <w:r>
        <w:rPr>
          <w:rStyle w:val="SectionNumber"/>
        </w:rPr>
        <w:t xml:space="preserve">1.10.5</w:t>
      </w:r>
      <w:r>
        <w:tab/>
      </w:r>
      <w:r>
        <w:t xml:space="preserve">10.5 Why Clustering Matters</w:t>
      </w:r>
    </w:p>
    <w:p>
      <w:pPr>
        <w:pStyle w:val="FirstParagraph"/>
      </w:pPr>
      <w:r>
        <w:t xml:space="preserve">Traditional portfolio methods may allocate too much to many similar assets. HRP and HERC try to avoid this by using the asset hierarchy.</w:t>
      </w:r>
    </w:p>
    <w:p>
      <w:pPr>
        <w:pStyle w:val="BodyText"/>
      </w:pPr>
      <w:r>
        <w:t xml:space="preserve">Example:</w:t>
      </w:r>
    </w:p>
    <w:p>
      <w:pPr>
        <w:pStyle w:val="BodyText"/>
      </w:pPr>
      <w:r>
        <w:t xml:space="preserve">If five banking stocks are highly correlated, holding all five is not the same as holding five independent assets. HRP/HERC use clustering to recognize this concentration.</w:t>
      </w:r>
    </w:p>
    <w:p>
      <w:r>
        <w:pict>
          <v:rect style="width:0;height:1.5pt" o:hralign="center" o:hrstd="t" o:hr="t"/>
        </w:pict>
      </w:r>
    </w:p>
    <w:bookmarkEnd w:id="58"/>
    <w:bookmarkEnd w:id="59"/>
    <w:bookmarkStart w:id="60" w:name="stage-6-portfolio-construction-methods"/>
    <w:p>
      <w:pPr>
        <w:pStyle w:val="Heading2"/>
      </w:pPr>
      <w:r>
        <w:rPr>
          <w:rStyle w:val="SectionNumber"/>
        </w:rPr>
        <w:t xml:space="preserve">1.11</w:t>
      </w:r>
      <w:r>
        <w:tab/>
      </w:r>
      <w:r>
        <w:t xml:space="preserve">11. Stage 6 — Portfolio Construction Methods</w:t>
      </w:r>
    </w:p>
    <w:p>
      <w:pPr>
        <w:pStyle w:val="FirstParagraph"/>
      </w:pPr>
      <w:r>
        <w:t xml:space="preserve">The project implements six strategy concepts:</w:t>
      </w:r>
    </w:p>
    <w:p>
      <w:pPr>
        <w:pStyle w:val="Compact"/>
        <w:numPr>
          <w:ilvl w:val="0"/>
          <w:numId w:val="1016"/>
        </w:numPr>
      </w:pPr>
      <w:r>
        <w:t xml:space="preserve">Equal Weight.</w:t>
      </w:r>
    </w:p>
    <w:p>
      <w:pPr>
        <w:pStyle w:val="Compact"/>
        <w:numPr>
          <w:ilvl w:val="0"/>
          <w:numId w:val="1016"/>
        </w:numPr>
      </w:pPr>
      <w:r>
        <w:t xml:space="preserve">Inverse Volatility.</w:t>
      </w:r>
    </w:p>
    <w:p>
      <w:pPr>
        <w:pStyle w:val="Compact"/>
        <w:numPr>
          <w:ilvl w:val="0"/>
          <w:numId w:val="1016"/>
        </w:numPr>
      </w:pPr>
      <w:r>
        <w:t xml:space="preserve">Mean-Variance / Max-Sharpe.</w:t>
      </w:r>
    </w:p>
    <w:p>
      <w:pPr>
        <w:pStyle w:val="Compact"/>
        <w:numPr>
          <w:ilvl w:val="0"/>
          <w:numId w:val="1016"/>
        </w:numPr>
      </w:pPr>
      <w:r>
        <w:t xml:space="preserve">HRP.</w:t>
      </w:r>
    </w:p>
    <w:p>
      <w:pPr>
        <w:pStyle w:val="Compact"/>
        <w:numPr>
          <w:ilvl w:val="0"/>
          <w:numId w:val="1016"/>
        </w:numPr>
      </w:pPr>
      <w:r>
        <w:t xml:space="preserve">HERC.</w:t>
      </w:r>
    </w:p>
    <w:p>
      <w:pPr>
        <w:pStyle w:val="Compact"/>
        <w:numPr>
          <w:ilvl w:val="0"/>
          <w:numId w:val="1016"/>
        </w:numPr>
      </w:pPr>
      <w:r>
        <w:t xml:space="preserve">Volatility Targeting overlay.</w:t>
      </w:r>
    </w:p>
    <w:p>
      <w:pPr>
        <w:pStyle w:val="FirstParagraph"/>
      </w:pPr>
      <w:r>
        <w:t xml:space="preserve">The first five decide composition inside the risky asset universe. Volatility targeting controls how much exposure is allocated to the risky portfolio versus defensive sleeve.</w:t>
      </w:r>
    </w:p>
    <w:p>
      <w:r>
        <w:pict>
          <v:rect style="width:0;height:1.5pt" o:hralign="center" o:hrstd="t" o:hr="t"/>
        </w:pict>
      </w:r>
    </w:p>
    <w:bookmarkEnd w:id="60"/>
    <w:bookmarkStart w:id="66" w:name="strategy-1-equal-weight"/>
    <w:p>
      <w:pPr>
        <w:pStyle w:val="Heading2"/>
      </w:pPr>
      <w:r>
        <w:rPr>
          <w:rStyle w:val="SectionNumber"/>
        </w:rPr>
        <w:t xml:space="preserve">1.12</w:t>
      </w:r>
      <w:r>
        <w:tab/>
      </w:r>
      <w:r>
        <w:t xml:space="preserve">12. Strategy 1 — Equal Weight</w:t>
      </w:r>
    </w:p>
    <w:bookmarkStart w:id="61" w:name="formula"/>
    <w:p>
      <w:pPr>
        <w:pStyle w:val="Heading3"/>
      </w:pPr>
      <w:r>
        <w:rPr>
          <w:rStyle w:val="SectionNumber"/>
        </w:rPr>
        <w:t xml:space="preserve">1.12.1</w:t>
      </w:r>
      <w:r>
        <w:tab/>
      </w:r>
      <w:r>
        <w:t xml:space="preserve">12.1 Formula</w:t>
      </w:r>
    </w:p>
    <w:p>
      <w:pPr>
        <w:pStyle w:val="FirstParagraph"/>
      </w:pPr>
      <m:oMathPara>
        <m:oMathParaPr>
          <m:jc m:val="center"/>
        </m:oMathParaPr>
        <m:oMath>
          <m:sSub>
            <m:e>
              <m:r>
                <m:t>w</m:t>
              </m:r>
            </m:e>
            <m:sub>
              <m:r>
                <m:t>i</m:t>
              </m:r>
            </m:sub>
          </m:sSub>
          <m:r>
            <m:rPr>
              <m:sty m:val="p"/>
            </m:rPr>
            <m:t>=</m:t>
          </m:r>
          <m:f>
            <m:fPr>
              <m:type m:val="bar"/>
            </m:fPr>
            <m:num>
              <m:r>
                <m:t>1</m:t>
              </m:r>
            </m:num>
            <m:den>
              <m:r>
                <m:t>N</m:t>
              </m:r>
            </m:den>
          </m:f>
        </m:oMath>
      </m:oMathPara>
    </w:p>
    <w:p>
      <w:pPr>
        <w:pStyle w:val="FirstParagraph"/>
      </w:pPr>
      <w:r>
        <w:t xml:space="preserve">where:</w:t>
      </w:r>
    </w:p>
    <w:p>
      <w:pPr>
        <w:pStyle w:val="SourceCode"/>
      </w:pPr>
      <w:r>
        <w:rPr>
          <w:rStyle w:val="VerbatimChar"/>
        </w:rPr>
        <w:t xml:space="preserve">w_i = weight of asset i</w:t>
      </w:r>
      <w:r>
        <w:br/>
      </w:r>
      <w:r>
        <w:rPr>
          <w:rStyle w:val="VerbatimChar"/>
        </w:rPr>
        <w:t xml:space="preserve">N   = number of assets</w:t>
      </w:r>
    </w:p>
    <w:p>
      <w:pPr>
        <w:pStyle w:val="FirstParagraph"/>
      </w:pPr>
      <w:r>
        <w:t xml:space="preserve">Example:</w:t>
      </w:r>
    </w:p>
    <w:p>
      <w:pPr>
        <w:pStyle w:val="BodyText"/>
      </w:pPr>
      <w:r>
        <w:t xml:space="preserve">If there are 5 assets:</w:t>
      </w:r>
    </w:p>
    <w:p>
      <w:pPr>
        <w:pStyle w:val="SourceCode"/>
      </w:pPr>
      <w:r>
        <w:rPr>
          <w:rStyle w:val="VerbatimChar"/>
        </w:rPr>
        <w:t xml:space="preserve">weight of each asset = 1 / 5 = 20%</w:t>
      </w:r>
    </w:p>
    <w:bookmarkEnd w:id="61"/>
    <w:bookmarkStart w:id="62" w:name="intuition"/>
    <w:p>
      <w:pPr>
        <w:pStyle w:val="Heading3"/>
      </w:pPr>
      <w:r>
        <w:rPr>
          <w:rStyle w:val="SectionNumber"/>
        </w:rPr>
        <w:t xml:space="preserve">1.12.2</w:t>
      </w:r>
      <w:r>
        <w:tab/>
      </w:r>
      <w:r>
        <w:t xml:space="preserve">12.2 Intuition</w:t>
      </w:r>
    </w:p>
    <w:p>
      <w:pPr>
        <w:pStyle w:val="FirstParagraph"/>
      </w:pPr>
      <w:r>
        <w:t xml:space="preserve">Equal Weight says:</w:t>
      </w:r>
    </w:p>
    <w:p>
      <w:pPr>
        <w:pStyle w:val="SourceCode"/>
      </w:pPr>
      <w:r>
        <w:rPr>
          <w:rStyle w:val="VerbatimChar"/>
        </w:rPr>
        <w:t xml:space="preserve">Do not estimate returns, do not estimate risk, just divide capital equally.</w:t>
      </w:r>
    </w:p>
    <w:bookmarkEnd w:id="62"/>
    <w:bookmarkStart w:id="63" w:name="pros"/>
    <w:p>
      <w:pPr>
        <w:pStyle w:val="Heading3"/>
      </w:pPr>
      <w:r>
        <w:rPr>
          <w:rStyle w:val="SectionNumber"/>
        </w:rPr>
        <w:t xml:space="preserve">1.12.3</w:t>
      </w:r>
      <w:r>
        <w:tab/>
      </w:r>
      <w:r>
        <w:t xml:space="preserve">12.3 Pros</w:t>
      </w:r>
    </w:p>
    <w:p>
      <w:pPr>
        <w:pStyle w:val="Compact"/>
        <w:numPr>
          <w:ilvl w:val="0"/>
          <w:numId w:val="1017"/>
        </w:numPr>
      </w:pPr>
      <w:r>
        <w:t xml:space="preserve">Very simple.</w:t>
      </w:r>
    </w:p>
    <w:p>
      <w:pPr>
        <w:pStyle w:val="Compact"/>
        <w:numPr>
          <w:ilvl w:val="0"/>
          <w:numId w:val="1017"/>
        </w:numPr>
      </w:pPr>
      <w:r>
        <w:t xml:space="preserve">Hard to overfit.</w:t>
      </w:r>
    </w:p>
    <w:p>
      <w:pPr>
        <w:pStyle w:val="Compact"/>
        <w:numPr>
          <w:ilvl w:val="0"/>
          <w:numId w:val="1017"/>
        </w:numPr>
      </w:pPr>
      <w:r>
        <w:t xml:space="preserve">Strong benchmark.</w:t>
      </w:r>
    </w:p>
    <w:bookmarkEnd w:id="63"/>
    <w:bookmarkStart w:id="64" w:name="cons"/>
    <w:p>
      <w:pPr>
        <w:pStyle w:val="Heading3"/>
      </w:pPr>
      <w:r>
        <w:rPr>
          <w:rStyle w:val="SectionNumber"/>
        </w:rPr>
        <w:t xml:space="preserve">1.12.4</w:t>
      </w:r>
      <w:r>
        <w:tab/>
      </w:r>
      <w:r>
        <w:t xml:space="preserve">12.4 Cons</w:t>
      </w:r>
    </w:p>
    <w:p>
      <w:pPr>
        <w:pStyle w:val="Compact"/>
        <w:numPr>
          <w:ilvl w:val="0"/>
          <w:numId w:val="1018"/>
        </w:numPr>
      </w:pPr>
      <w:r>
        <w:t xml:space="preserve">Ignores volatility.</w:t>
      </w:r>
    </w:p>
    <w:p>
      <w:pPr>
        <w:pStyle w:val="Compact"/>
        <w:numPr>
          <w:ilvl w:val="0"/>
          <w:numId w:val="1018"/>
        </w:numPr>
      </w:pPr>
      <w:r>
        <w:t xml:space="preserve">Ignores correlation.</w:t>
      </w:r>
    </w:p>
    <w:p>
      <w:pPr>
        <w:pStyle w:val="Compact"/>
        <w:numPr>
          <w:ilvl w:val="0"/>
          <w:numId w:val="1018"/>
        </w:numPr>
      </w:pPr>
      <w:r>
        <w:t xml:space="preserve">Can allocate too much to risky assets.</w:t>
      </w:r>
    </w:p>
    <w:bookmarkEnd w:id="64"/>
    <w:bookmarkStart w:id="65" w:name="role-in-project"/>
    <w:p>
      <w:pPr>
        <w:pStyle w:val="Heading3"/>
      </w:pPr>
      <w:r>
        <w:rPr>
          <w:rStyle w:val="SectionNumber"/>
        </w:rPr>
        <w:t xml:space="preserve">1.12.5</w:t>
      </w:r>
      <w:r>
        <w:tab/>
      </w:r>
      <w:r>
        <w:t xml:space="preserve">12.5 Role in Project</w:t>
      </w:r>
    </w:p>
    <w:p>
      <w:pPr>
        <w:pStyle w:val="FirstParagraph"/>
      </w:pPr>
      <w:r>
        <w:t xml:space="preserve">Equal Weight is the default benchmark. Other strategies are compared against it.</w:t>
      </w:r>
    </w:p>
    <w:p>
      <w:r>
        <w:pict>
          <v:rect style="width:0;height:1.5pt" o:hralign="center" o:hrstd="t" o:hr="t"/>
        </w:pict>
      </w:r>
    </w:p>
    <w:bookmarkEnd w:id="65"/>
    <w:bookmarkEnd w:id="66"/>
    <w:bookmarkStart w:id="72" w:name="strategy-2-inverse-volatility"/>
    <w:p>
      <w:pPr>
        <w:pStyle w:val="Heading2"/>
      </w:pPr>
      <w:r>
        <w:rPr>
          <w:rStyle w:val="SectionNumber"/>
        </w:rPr>
        <w:t xml:space="preserve">1.13</w:t>
      </w:r>
      <w:r>
        <w:tab/>
      </w:r>
      <w:r>
        <w:t xml:space="preserve">13. Strategy 2 — Inverse Volatility</w:t>
      </w:r>
    </w:p>
    <w:bookmarkStart w:id="67" w:name="formula-1"/>
    <w:p>
      <w:pPr>
        <w:pStyle w:val="Heading3"/>
      </w:pPr>
      <w:r>
        <w:rPr>
          <w:rStyle w:val="SectionNumber"/>
        </w:rPr>
        <w:t xml:space="preserve">1.13.1</w:t>
      </w:r>
      <w:r>
        <w:tab/>
      </w:r>
      <w:r>
        <w:t xml:space="preserve">13.1 Formula</w:t>
      </w:r>
    </w:p>
    <w:p>
      <w:pPr>
        <w:pStyle w:val="FirstParagraph"/>
      </w:pPr>
      <m:oMathPara>
        <m:oMathParaPr>
          <m:jc m:val="center"/>
        </m:oMathParaPr>
        <m:oMath>
          <m:sSub>
            <m:e>
              <m:r>
                <m:t>w</m:t>
              </m:r>
            </m:e>
            <m:sub>
              <m:r>
                <m:t>i</m:t>
              </m:r>
            </m:sub>
          </m:sSub>
          <m:r>
            <m:rPr>
              <m:sty m:val="p"/>
            </m:rPr>
            <m:t>=</m:t>
          </m:r>
          <m:f>
            <m:fPr>
              <m:type m:val="bar"/>
            </m:fPr>
            <m:num>
              <m:r>
                <m:t>1</m:t>
              </m:r>
              <m:r>
                <m:rPr>
                  <m:sty m:val="p"/>
                </m:rPr>
                <m:t>/</m:t>
              </m:r>
              <m:sSub>
                <m:e>
                  <m:r>
                    <m:t>σ</m:t>
                  </m:r>
                </m:e>
                <m:sub>
                  <m:r>
                    <m:t>i</m:t>
                  </m:r>
                </m:sub>
              </m:sSub>
            </m:num>
            <m:den>
              <m:nary>
                <m:naryPr>
                  <m:chr m:val="∑"/>
                  <m:limLoc m:val="undOvr"/>
                  <m:subHide m:val="off"/>
                  <m:supHide m:val="on"/>
                </m:naryPr>
                <m:sub>
                  <m:r>
                    <m:t>j</m:t>
                  </m:r>
                </m:sub>
                <m:sup>
                  <m:r>
                    <m:t>​</m:t>
                  </m:r>
                </m:sup>
                <m:e>
                  <m:r>
                    <m:t>1</m:t>
                  </m:r>
                </m:e>
              </m:nary>
              <m:r>
                <m:rPr>
                  <m:sty m:val="p"/>
                </m:rPr>
                <m:t>/</m:t>
              </m:r>
              <m:sSub>
                <m:e>
                  <m:r>
                    <m:t>σ</m:t>
                  </m:r>
                </m:e>
                <m:sub>
                  <m:r>
                    <m:t>j</m:t>
                  </m:r>
                </m:sub>
              </m:sSub>
            </m:den>
          </m:f>
        </m:oMath>
      </m:oMathPara>
    </w:p>
    <w:p>
      <w:pPr>
        <w:pStyle w:val="FirstParagraph"/>
      </w:pPr>
      <w:r>
        <w:t xml:space="preserve">where:</w:t>
      </w:r>
    </w:p>
    <w:p>
      <w:pPr>
        <w:pStyle w:val="SourceCode"/>
      </w:pPr>
      <w:r>
        <w:rPr>
          <w:rStyle w:val="VerbatimChar"/>
        </w:rPr>
        <w:t xml:space="preserve">sigma_i = volatility of asset i</w:t>
      </w:r>
    </w:p>
    <w:bookmarkEnd w:id="67"/>
    <w:bookmarkStart w:id="68" w:name="example"/>
    <w:p>
      <w:pPr>
        <w:pStyle w:val="Heading3"/>
      </w:pPr>
      <w:r>
        <w:rPr>
          <w:rStyle w:val="SectionNumber"/>
        </w:rPr>
        <w:t xml:space="preserve">1.13.2</w:t>
      </w:r>
      <w:r>
        <w:tab/>
      </w:r>
      <w:r>
        <w:t xml:space="preserve">13.2 Example</w:t>
      </w:r>
    </w:p>
    <w:p>
      <w:pPr>
        <w:pStyle w:val="FirstParagraph"/>
      </w:pPr>
      <w:r>
        <w:t xml:space="preserve">Assume two assets:</w:t>
      </w:r>
    </w:p>
    <w:p>
      <w:pPr>
        <w:pStyle w:val="SourceCode"/>
      </w:pPr>
      <w:r>
        <w:rPr>
          <w:rStyle w:val="VerbatimChar"/>
        </w:rPr>
        <w:t xml:space="preserve">Asset A volatility = 10%</w:t>
      </w:r>
      <w:r>
        <w:br/>
      </w:r>
      <w:r>
        <w:rPr>
          <w:rStyle w:val="VerbatimChar"/>
        </w:rPr>
        <w:t xml:space="preserve">Asset B volatility = 20%</w:t>
      </w:r>
    </w:p>
    <w:p>
      <w:pPr>
        <w:pStyle w:val="FirstParagraph"/>
      </w:pPr>
      <w:r>
        <w:t xml:space="preserve">Inverse vol scores:</w:t>
      </w:r>
    </w:p>
    <w:p>
      <w:pPr>
        <w:pStyle w:val="SourceCode"/>
      </w:pPr>
      <w:r>
        <w:rPr>
          <w:rStyle w:val="VerbatimChar"/>
        </w:rPr>
        <w:t xml:space="preserve">A score = 1 / 0.10 = 10</w:t>
      </w:r>
      <w:r>
        <w:br/>
      </w:r>
      <w:r>
        <w:rPr>
          <w:rStyle w:val="VerbatimChar"/>
        </w:rPr>
        <w:t xml:space="preserve">B score = 1 / 0.20 = 5</w:t>
      </w:r>
      <w:r>
        <w:br/>
      </w:r>
      <w:r>
        <w:rPr>
          <w:rStyle w:val="VerbatimChar"/>
        </w:rPr>
        <w:t xml:space="preserve">Total score = 15</w:t>
      </w:r>
    </w:p>
    <w:p>
      <w:pPr>
        <w:pStyle w:val="FirstParagraph"/>
      </w:pPr>
      <w:r>
        <w:t xml:space="preserve">Weights:</w:t>
      </w:r>
    </w:p>
    <w:p>
      <w:pPr>
        <w:pStyle w:val="SourceCode"/>
      </w:pPr>
      <w:r>
        <w:rPr>
          <w:rStyle w:val="VerbatimChar"/>
        </w:rPr>
        <w:t xml:space="preserve">A weight = 10 / 15 = 66.67%</w:t>
      </w:r>
      <w:r>
        <w:br/>
      </w:r>
      <w:r>
        <w:rPr>
          <w:rStyle w:val="VerbatimChar"/>
        </w:rPr>
        <w:t xml:space="preserve">B weight = 5 / 15 = 33.33%</w:t>
      </w:r>
    </w:p>
    <w:bookmarkEnd w:id="68"/>
    <w:bookmarkStart w:id="69" w:name="intuition-1"/>
    <w:p>
      <w:pPr>
        <w:pStyle w:val="Heading3"/>
      </w:pPr>
      <w:r>
        <w:rPr>
          <w:rStyle w:val="SectionNumber"/>
        </w:rPr>
        <w:t xml:space="preserve">1.13.3</w:t>
      </w:r>
      <w:r>
        <w:tab/>
      </w:r>
      <w:r>
        <w:t xml:space="preserve">13.3 Intuition</w:t>
      </w:r>
    </w:p>
    <w:p>
      <w:pPr>
        <w:pStyle w:val="FirstParagraph"/>
      </w:pPr>
      <w:r>
        <w:t xml:space="preserve">Lower-volatility assets get more weight. Higher-volatility assets get less weight.</w:t>
      </w:r>
    </w:p>
    <w:bookmarkEnd w:id="69"/>
    <w:bookmarkStart w:id="70" w:name="pros-1"/>
    <w:p>
      <w:pPr>
        <w:pStyle w:val="Heading3"/>
      </w:pPr>
      <w:r>
        <w:rPr>
          <w:rStyle w:val="SectionNumber"/>
        </w:rPr>
        <w:t xml:space="preserve">1.13.4</w:t>
      </w:r>
      <w:r>
        <w:tab/>
      </w:r>
      <w:r>
        <w:t xml:space="preserve">13.4 Pros</w:t>
      </w:r>
    </w:p>
    <w:p>
      <w:pPr>
        <w:pStyle w:val="Compact"/>
        <w:numPr>
          <w:ilvl w:val="0"/>
          <w:numId w:val="1019"/>
        </w:numPr>
      </w:pPr>
      <w:r>
        <w:t xml:space="preserve">Simple risk-aware allocation.</w:t>
      </w:r>
    </w:p>
    <w:p>
      <w:pPr>
        <w:pStyle w:val="Compact"/>
        <w:numPr>
          <w:ilvl w:val="0"/>
          <w:numId w:val="1019"/>
        </w:numPr>
      </w:pPr>
      <w:r>
        <w:t xml:space="preserve">Does not need expected returns.</w:t>
      </w:r>
    </w:p>
    <w:p>
      <w:pPr>
        <w:pStyle w:val="Compact"/>
        <w:numPr>
          <w:ilvl w:val="0"/>
          <w:numId w:val="1019"/>
        </w:numPr>
      </w:pPr>
      <w:r>
        <w:t xml:space="preserve">Usually more defensive than Equal Weight.</w:t>
      </w:r>
    </w:p>
    <w:bookmarkEnd w:id="70"/>
    <w:bookmarkStart w:id="71" w:name="cons-1"/>
    <w:p>
      <w:pPr>
        <w:pStyle w:val="Heading3"/>
      </w:pPr>
      <w:r>
        <w:rPr>
          <w:rStyle w:val="SectionNumber"/>
        </w:rPr>
        <w:t xml:space="preserve">1.13.5</w:t>
      </w:r>
      <w:r>
        <w:tab/>
      </w:r>
      <w:r>
        <w:t xml:space="preserve">13.5 Cons</w:t>
      </w:r>
    </w:p>
    <w:p>
      <w:pPr>
        <w:pStyle w:val="Compact"/>
        <w:numPr>
          <w:ilvl w:val="0"/>
          <w:numId w:val="1020"/>
        </w:numPr>
      </w:pPr>
      <w:r>
        <w:t xml:space="preserve">Does not directly use correlation.</w:t>
      </w:r>
    </w:p>
    <w:p>
      <w:pPr>
        <w:pStyle w:val="Compact"/>
        <w:numPr>
          <w:ilvl w:val="0"/>
          <w:numId w:val="1020"/>
        </w:numPr>
      </w:pPr>
      <w:r>
        <w:t xml:space="preserve">Can over-allocate to low-volatility assets even if they are highly correlated.</w:t>
      </w:r>
    </w:p>
    <w:p>
      <w:r>
        <w:pict>
          <v:rect style="width:0;height:1.5pt" o:hralign="center" o:hrstd="t" o:hr="t"/>
        </w:pict>
      </w:r>
    </w:p>
    <w:bookmarkEnd w:id="71"/>
    <w:bookmarkEnd w:id="72"/>
    <w:bookmarkStart w:id="82" w:name="strategy-3-mean-variance-max-sharpe"/>
    <w:p>
      <w:pPr>
        <w:pStyle w:val="Heading2"/>
      </w:pPr>
      <w:r>
        <w:rPr>
          <w:rStyle w:val="SectionNumber"/>
        </w:rPr>
        <w:t xml:space="preserve">1.14</w:t>
      </w:r>
      <w:r>
        <w:tab/>
      </w:r>
      <w:r>
        <w:t xml:space="preserve">14. Strategy 3 — Mean-Variance / Max-Sharpe</w:t>
      </w:r>
    </w:p>
    <w:bookmarkStart w:id="73" w:name="background"/>
    <w:p>
      <w:pPr>
        <w:pStyle w:val="Heading3"/>
      </w:pPr>
      <w:r>
        <w:rPr>
          <w:rStyle w:val="SectionNumber"/>
        </w:rPr>
        <w:t xml:space="preserve">1.14.1</w:t>
      </w:r>
      <w:r>
        <w:tab/>
      </w:r>
      <w:r>
        <w:t xml:space="preserve">14.1 Background</w:t>
      </w:r>
    </w:p>
    <w:p>
      <w:pPr>
        <w:pStyle w:val="FirstParagraph"/>
      </w:pPr>
      <w:r>
        <w:t xml:space="preserve">Mean-Variance Optimization comes from Markowitz portfolio theory. It uses expected returns and covariance to construct an efficient portfolio.</w:t>
      </w:r>
    </w:p>
    <w:p>
      <w:pPr>
        <w:pStyle w:val="BodyText"/>
      </w:pPr>
      <w:r>
        <w:t xml:space="preserve">The Max-Sharpe version tries to maximize return per unit of risk.</w:t>
      </w:r>
    </w:p>
    <w:bookmarkEnd w:id="73"/>
    <w:bookmarkStart w:id="74" w:name="portfolio-return"/>
    <w:p>
      <w:pPr>
        <w:pStyle w:val="Heading3"/>
      </w:pPr>
      <w:r>
        <w:rPr>
          <w:rStyle w:val="SectionNumber"/>
        </w:rPr>
        <w:t xml:space="preserve">1.14.2</w:t>
      </w:r>
      <w:r>
        <w:tab/>
      </w:r>
      <w:r>
        <w:t xml:space="preserve">14.2 Portfolio Return</w:t>
      </w:r>
    </w:p>
    <w:p>
      <w:pPr>
        <w:pStyle w:val="FirstParagraph"/>
      </w:pPr>
      <m:oMathPara>
        <m:oMathParaPr>
          <m:jc m:val="center"/>
        </m:oMathParaPr>
        <m:oMath>
          <m:sSub>
            <m:e>
              <m:r>
                <m:t>R</m:t>
              </m:r>
            </m:e>
            <m:sub>
              <m:r>
                <m:t>p</m:t>
              </m:r>
            </m:sub>
          </m:sSub>
          <m:r>
            <m:rPr>
              <m:sty m:val="p"/>
            </m:rPr>
            <m:t>=</m:t>
          </m:r>
          <m:sSup>
            <m:e>
              <m:r>
                <m:t>w</m:t>
              </m:r>
            </m:e>
            <m:sup>
              <m:r>
                <m:rPr>
                  <m:sty m:val="p"/>
                </m:rPr>
                <m:t>⊤</m:t>
              </m:r>
            </m:sup>
          </m:sSup>
          <m:r>
            <m:t>μ</m:t>
          </m:r>
        </m:oMath>
      </m:oMathPara>
    </w:p>
    <w:p>
      <w:pPr>
        <w:pStyle w:val="FirstParagraph"/>
      </w:pPr>
      <w:r>
        <w:t xml:space="preserve">where:</w:t>
      </w:r>
    </w:p>
    <w:p>
      <w:pPr>
        <w:pStyle w:val="SourceCode"/>
      </w:pPr>
      <w:r>
        <w:rPr>
          <w:rStyle w:val="VerbatimChar"/>
        </w:rPr>
        <w:t xml:space="preserve">w  = portfolio weights</w:t>
      </w:r>
      <w:r>
        <w:br/>
      </w:r>
      <w:r>
        <w:rPr>
          <w:rStyle w:val="VerbatimChar"/>
        </w:rPr>
        <w:t xml:space="preserve">mu = expected returns</w:t>
      </w:r>
    </w:p>
    <w:bookmarkEnd w:id="74"/>
    <w:bookmarkStart w:id="75" w:name="portfolio-risk"/>
    <w:p>
      <w:pPr>
        <w:pStyle w:val="Heading3"/>
      </w:pPr>
      <w:r>
        <w:rPr>
          <w:rStyle w:val="SectionNumber"/>
        </w:rPr>
        <w:t xml:space="preserve">1.14.3</w:t>
      </w:r>
      <w:r>
        <w:tab/>
      </w:r>
      <w:r>
        <w:t xml:space="preserve">14.3 Portfolio Risk</w:t>
      </w:r>
    </w:p>
    <w:p>
      <w:pPr>
        <w:pStyle w:val="FirstParagraph"/>
      </w:pPr>
      <m:oMathPara>
        <m:oMathParaPr>
          <m:jc m:val="center"/>
        </m:oMathParaPr>
        <m:oMath>
          <m:sSub>
            <m:e>
              <m:r>
                <m:t>σ</m:t>
              </m:r>
            </m:e>
            <m:sub>
              <m:r>
                <m:t>p</m:t>
              </m:r>
            </m:sub>
          </m:sSub>
          <m:r>
            <m:rPr>
              <m:sty m:val="p"/>
            </m:rPr>
            <m:t>=</m:t>
          </m:r>
          <m:rad>
            <m:radPr>
              <m:degHide m:val="on"/>
            </m:radPr>
            <m:deg/>
            <m:e>
              <m:sSup>
                <m:e>
                  <m:r>
                    <m:t>w</m:t>
                  </m:r>
                </m:e>
                <m:sup>
                  <m:r>
                    <m:rPr>
                      <m:sty m:val="p"/>
                    </m:rPr>
                    <m:t>⊤</m:t>
                  </m:r>
                </m:sup>
              </m:sSup>
              <m:r>
                <m:t>Σ</m:t>
              </m:r>
              <m:r>
                <m:t>w</m:t>
              </m:r>
            </m:e>
          </m:rad>
        </m:oMath>
      </m:oMathPara>
    </w:p>
    <w:bookmarkEnd w:id="75"/>
    <w:bookmarkStart w:id="76" w:name="sharpe-ratio"/>
    <w:p>
      <w:pPr>
        <w:pStyle w:val="Heading3"/>
      </w:pPr>
      <w:r>
        <w:rPr>
          <w:rStyle w:val="SectionNumber"/>
        </w:rPr>
        <w:t xml:space="preserve">1.14.4</w:t>
      </w:r>
      <w:r>
        <w:tab/>
      </w:r>
      <w:r>
        <w:t xml:space="preserve">14.4 Sharpe Ratio</w:t>
      </w:r>
    </w:p>
    <w:p>
      <w:pPr>
        <w:pStyle w:val="FirstParagraph"/>
      </w:pPr>
      <m:oMathPara>
        <m:oMathParaPr>
          <m:jc m:val="center"/>
        </m:oMathParaPr>
        <m:oMath>
          <m:r>
            <m:rPr>
              <m:nor/>
              <m:sty m:val="p"/>
            </m:rPr>
            <m:t>Sharpe</m:t>
          </m:r>
          <m:r>
            <m:rPr>
              <m:sty m:val="p"/>
            </m:rPr>
            <m:t>=</m:t>
          </m:r>
          <m:f>
            <m:fPr>
              <m:type m:val="bar"/>
            </m:fPr>
            <m:num>
              <m:sSub>
                <m:e>
                  <m:r>
                    <m:t>R</m:t>
                  </m:r>
                </m:e>
                <m:sub>
                  <m:r>
                    <m:t>p</m:t>
                  </m:r>
                </m:sub>
              </m:sSub>
              <m:r>
                <m:rPr>
                  <m:sty m:val="p"/>
                </m:rPr>
                <m:t>−</m:t>
              </m:r>
              <m:sSub>
                <m:e>
                  <m:r>
                    <m:t>R</m:t>
                  </m:r>
                </m:e>
                <m:sub>
                  <m:r>
                    <m:t>f</m:t>
                  </m:r>
                </m:sub>
              </m:sSub>
            </m:num>
            <m:den>
              <m:sSub>
                <m:e>
                  <m:r>
                    <m:t>σ</m:t>
                  </m:r>
                </m:e>
                <m:sub>
                  <m:r>
                    <m:t>p</m:t>
                  </m:r>
                </m:sub>
              </m:sSub>
            </m:den>
          </m:f>
        </m:oMath>
      </m:oMathPara>
    </w:p>
    <w:bookmarkEnd w:id="76"/>
    <w:bookmarkStart w:id="77" w:name="max-sharpe-objective"/>
    <w:p>
      <w:pPr>
        <w:pStyle w:val="Heading3"/>
      </w:pPr>
      <w:r>
        <w:rPr>
          <w:rStyle w:val="SectionNumber"/>
        </w:rPr>
        <w:t xml:space="preserve">1.14.5</w:t>
      </w:r>
      <w:r>
        <w:tab/>
      </w:r>
      <w:r>
        <w:t xml:space="preserve">14.5 Max-Sharpe Objective</w:t>
      </w:r>
    </w:p>
    <w:p>
      <w:pPr>
        <w:pStyle w:val="FirstParagraph"/>
      </w:pPr>
      <m:oMathPara>
        <m:oMathParaPr>
          <m:jc m:val="center"/>
        </m:oMathParaPr>
        <m:oMath>
          <m:limLow>
            <m:e>
              <m:r>
                <m:rPr>
                  <m:sty m:val="p"/>
                </m:rPr>
                <m:t>max</m:t>
              </m:r>
            </m:e>
            <m:lim>
              <m:r>
                <m:t>w</m:t>
              </m:r>
            </m:lim>
          </m:limLow>
          <m:r>
            <m:t> </m:t>
          </m:r>
          <m:f>
            <m:fPr>
              <m:type m:val="bar"/>
            </m:fPr>
            <m:num>
              <m:sSup>
                <m:e>
                  <m:r>
                    <m:t>w</m:t>
                  </m:r>
                </m:e>
                <m:sup>
                  <m:r>
                    <m:rPr>
                      <m:sty m:val="p"/>
                    </m:rPr>
                    <m:t>⊤</m:t>
                  </m:r>
                </m:sup>
              </m:sSup>
              <m:r>
                <m:t>μ</m:t>
              </m:r>
              <m:r>
                <m:rPr>
                  <m:sty m:val="p"/>
                </m:rPr>
                <m:t>−</m:t>
              </m:r>
              <m:sSub>
                <m:e>
                  <m:r>
                    <m:t>r</m:t>
                  </m:r>
                </m:e>
                <m:sub>
                  <m:r>
                    <m:t>f</m:t>
                  </m:r>
                </m:sub>
              </m:sSub>
            </m:num>
            <m:den>
              <m:rad>
                <m:radPr>
                  <m:degHide m:val="on"/>
                </m:radPr>
                <m:deg/>
                <m:e>
                  <m:sSup>
                    <m:e>
                      <m:r>
                        <m:t>w</m:t>
                      </m:r>
                    </m:e>
                    <m:sup>
                      <m:r>
                        <m:rPr>
                          <m:sty m:val="p"/>
                        </m:rPr>
                        <m:t>⊤</m:t>
                      </m:r>
                    </m:sup>
                  </m:sSup>
                  <m:r>
                    <m:t>Σ</m:t>
                  </m:r>
                  <m:r>
                    <m:t>w</m:t>
                  </m:r>
                </m:e>
              </m:rad>
            </m:den>
          </m:f>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w</m:t>
                  </m:r>
                </m:e>
                <m:sub>
                  <m:r>
                    <m:t>i</m:t>
                  </m:r>
                </m:sub>
              </m:sSub>
            </m:e>
          </m:nary>
          <m:r>
            <m:rPr>
              <m:sty m:val="p"/>
            </m:rPr>
            <m:t>=</m:t>
          </m:r>
          <m:r>
            <m:t>1</m:t>
          </m:r>
          <m:r>
            <m:rPr>
              <m:sty m:val="p"/>
            </m:rPr>
            <m:t>,</m:t>
          </m:r>
          <m:r>
            <m:t>  </m:t>
          </m:r>
          <m:sSub>
            <m:e>
              <m:r>
                <m:t>w</m:t>
              </m:r>
            </m:e>
            <m:sub>
              <m:r>
                <m:rPr>
                  <m:sty m:val="p"/>
                </m:rPr>
                <m:t>min</m:t>
              </m:r>
            </m:sub>
          </m:sSub>
          <m:r>
            <m:rPr>
              <m:sty m:val="p"/>
            </m:rPr>
            <m:t>≤</m:t>
          </m:r>
          <m:sSub>
            <m:e>
              <m:r>
                <m:t>w</m:t>
              </m:r>
            </m:e>
            <m:sub>
              <m:r>
                <m:t>i</m:t>
              </m:r>
            </m:sub>
          </m:sSub>
          <m:r>
            <m:rPr>
              <m:sty m:val="p"/>
            </m:rPr>
            <m:t>≤</m:t>
          </m:r>
          <m:sSub>
            <m:e>
              <m:r>
                <m:t>w</m:t>
              </m:r>
            </m:e>
            <m:sub>
              <m:r>
                <m:rPr>
                  <m:sty m:val="p"/>
                </m:rPr>
                <m:t>max</m:t>
              </m:r>
            </m:sub>
          </m:sSub>
        </m:oMath>
      </m:oMathPara>
    </w:p>
    <w:bookmarkEnd w:id="77"/>
    <w:bookmarkStart w:id="78" w:name="intuition-2"/>
    <w:p>
      <w:pPr>
        <w:pStyle w:val="Heading3"/>
      </w:pPr>
      <w:r>
        <w:rPr>
          <w:rStyle w:val="SectionNumber"/>
        </w:rPr>
        <w:t xml:space="preserve">1.14.6</w:t>
      </w:r>
      <w:r>
        <w:tab/>
      </w:r>
      <w:r>
        <w:t xml:space="preserve">14.6 Intuition</w:t>
      </w:r>
    </w:p>
    <w:p>
      <w:pPr>
        <w:pStyle w:val="FirstParagraph"/>
      </w:pPr>
      <w:r>
        <w:t xml:space="preserve">Mean-Variance asks:</w:t>
      </w:r>
    </w:p>
    <w:p>
      <w:pPr>
        <w:pStyle w:val="SourceCode"/>
      </w:pPr>
      <w:r>
        <w:rPr>
          <w:rStyle w:val="VerbatimChar"/>
        </w:rPr>
        <w:t xml:space="preserve">Which combination gives the best expected return for the risk taken?</w:t>
      </w:r>
    </w:p>
    <w:bookmarkEnd w:id="78"/>
    <w:bookmarkStart w:id="79" w:name="pros-2"/>
    <w:p>
      <w:pPr>
        <w:pStyle w:val="Heading3"/>
      </w:pPr>
      <w:r>
        <w:rPr>
          <w:rStyle w:val="SectionNumber"/>
        </w:rPr>
        <w:t xml:space="preserve">1.14.7</w:t>
      </w:r>
      <w:r>
        <w:tab/>
      </w:r>
      <w:r>
        <w:t xml:space="preserve">14.7 Pros</w:t>
      </w:r>
    </w:p>
    <w:p>
      <w:pPr>
        <w:pStyle w:val="Compact"/>
        <w:numPr>
          <w:ilvl w:val="0"/>
          <w:numId w:val="1021"/>
        </w:numPr>
      </w:pPr>
      <w:r>
        <w:t xml:space="preserve">Theoretically powerful.</w:t>
      </w:r>
    </w:p>
    <w:p>
      <w:pPr>
        <w:pStyle w:val="Compact"/>
        <w:numPr>
          <w:ilvl w:val="0"/>
          <w:numId w:val="1021"/>
        </w:numPr>
      </w:pPr>
      <w:r>
        <w:t xml:space="preserve">Directly uses expected return and covariance.</w:t>
      </w:r>
    </w:p>
    <w:p>
      <w:pPr>
        <w:pStyle w:val="Compact"/>
        <w:numPr>
          <w:ilvl w:val="0"/>
          <w:numId w:val="1021"/>
        </w:numPr>
      </w:pPr>
      <w:r>
        <w:t xml:space="preserve">Can create efficient frontier portfolios.</w:t>
      </w:r>
    </w:p>
    <w:bookmarkEnd w:id="79"/>
    <w:bookmarkStart w:id="80" w:name="cons-2"/>
    <w:p>
      <w:pPr>
        <w:pStyle w:val="Heading3"/>
      </w:pPr>
      <w:r>
        <w:rPr>
          <w:rStyle w:val="SectionNumber"/>
        </w:rPr>
        <w:t xml:space="preserve">1.14.8</w:t>
      </w:r>
      <w:r>
        <w:tab/>
      </w:r>
      <w:r>
        <w:t xml:space="preserve">14.8 Cons</w:t>
      </w:r>
    </w:p>
    <w:p>
      <w:pPr>
        <w:pStyle w:val="Compact"/>
        <w:numPr>
          <w:ilvl w:val="0"/>
          <w:numId w:val="1022"/>
        </w:numPr>
      </w:pPr>
      <w:r>
        <w:t xml:space="preserve">Highly sensitive to expected-return estimation.</w:t>
      </w:r>
    </w:p>
    <w:p>
      <w:pPr>
        <w:pStyle w:val="Compact"/>
        <w:numPr>
          <w:ilvl w:val="0"/>
          <w:numId w:val="1022"/>
        </w:numPr>
      </w:pPr>
      <w:r>
        <w:t xml:space="preserve">Can produce unstable or concentrated weights.</w:t>
      </w:r>
    </w:p>
    <w:p>
      <w:pPr>
        <w:pStyle w:val="Compact"/>
        <w:numPr>
          <w:ilvl w:val="0"/>
          <w:numId w:val="1022"/>
        </w:numPr>
      </w:pPr>
      <w:r>
        <w:t xml:space="preserve">Small changes in input assumptions can lead to large allocation changes.</w:t>
      </w:r>
    </w:p>
    <w:bookmarkEnd w:id="80"/>
    <w:bookmarkStart w:id="81" w:name="role-in-this-project"/>
    <w:p>
      <w:pPr>
        <w:pStyle w:val="Heading3"/>
      </w:pPr>
      <w:r>
        <w:rPr>
          <w:rStyle w:val="SectionNumber"/>
        </w:rPr>
        <w:t xml:space="preserve">1.14.9</w:t>
      </w:r>
      <w:r>
        <w:tab/>
      </w:r>
      <w:r>
        <w:t xml:space="preserve">14.9 Role in This Project</w:t>
      </w:r>
    </w:p>
    <w:p>
      <w:pPr>
        <w:pStyle w:val="FirstParagraph"/>
      </w:pPr>
      <w:r>
        <w:t xml:space="preserve">Mean-Variance / Max-Sharpe is implemented, but it is not central to the dashboard/sensitivity experiments. The main comparative emphasis is on Equal Weight, Inverse Volatility, HRP, HERC, covariance methods, rebalancing rules, transaction costs, and volatility targeting.</w:t>
      </w:r>
    </w:p>
    <w:p>
      <w:r>
        <w:pict>
          <v:rect style="width:0;height:1.5pt" o:hralign="center" o:hrstd="t" o:hr="t"/>
        </w:pict>
      </w:r>
    </w:p>
    <w:bookmarkEnd w:id="81"/>
    <w:bookmarkEnd w:id="82"/>
    <w:bookmarkStart w:id="89" w:name="strategy-4-hierarchical-risk-parity-hrp"/>
    <w:p>
      <w:pPr>
        <w:pStyle w:val="Heading2"/>
      </w:pPr>
      <w:r>
        <w:rPr>
          <w:rStyle w:val="SectionNumber"/>
        </w:rPr>
        <w:t xml:space="preserve">1.15</w:t>
      </w:r>
      <w:r>
        <w:tab/>
      </w:r>
      <w:r>
        <w:t xml:space="preserve">15. Strategy 4 — Hierarchical Risk Parity (HRP)</w:t>
      </w:r>
    </w:p>
    <w:bookmarkStart w:id="83" w:name="what-hrp-tries-to-solve"/>
    <w:p>
      <w:pPr>
        <w:pStyle w:val="Heading3"/>
      </w:pPr>
      <w:r>
        <w:rPr>
          <w:rStyle w:val="SectionNumber"/>
        </w:rPr>
        <w:t xml:space="preserve">1.15.1</w:t>
      </w:r>
      <w:r>
        <w:tab/>
      </w:r>
      <w:r>
        <w:t xml:space="preserve">15.1 What HRP Tries to Solve</w:t>
      </w:r>
    </w:p>
    <w:p>
      <w:pPr>
        <w:pStyle w:val="FirstParagraph"/>
      </w:pPr>
      <w:r>
        <w:t xml:space="preserve">Traditional optimization can become unstable when expected returns are noisy or covariance matrices are ill-conditioned.</w:t>
      </w:r>
    </w:p>
    <w:p>
      <w:pPr>
        <w:pStyle w:val="BodyText"/>
      </w:pPr>
      <w:r>
        <w:t xml:space="preserve">HRP avoids direct expected-return forecasting. It uses the covariance/correlation structure to group assets and allocate risk more robustly.</w:t>
      </w:r>
    </w:p>
    <w:bookmarkEnd w:id="83"/>
    <w:bookmarkStart w:id="84" w:name="hrp-steps"/>
    <w:p>
      <w:pPr>
        <w:pStyle w:val="Heading3"/>
      </w:pPr>
      <w:r>
        <w:rPr>
          <w:rStyle w:val="SectionNumber"/>
        </w:rPr>
        <w:t xml:space="preserve">1.15.2</w:t>
      </w:r>
      <w:r>
        <w:tab/>
      </w:r>
      <w:r>
        <w:t xml:space="preserve">15.2 HRP Steps</w:t>
      </w:r>
    </w:p>
    <w:p>
      <w:pPr>
        <w:pStyle w:val="SourceCode"/>
      </w:pPr>
      <w:r>
        <w:rPr>
          <w:rStyle w:val="VerbatimChar"/>
        </w:rPr>
        <w:t xml:space="preserve">1. Estimate covariance matrix.</w:t>
      </w:r>
      <w:r>
        <w:br/>
      </w:r>
      <w:r>
        <w:rPr>
          <w:rStyle w:val="VerbatimChar"/>
        </w:rPr>
        <w:t xml:space="preserve">2. Convert covariance to correlation.</w:t>
      </w:r>
      <w:r>
        <w:br/>
      </w:r>
      <w:r>
        <w:rPr>
          <w:rStyle w:val="VerbatimChar"/>
        </w:rPr>
        <w:t xml:space="preserve">3. Convert correlation to distance.</w:t>
      </w:r>
      <w:r>
        <w:br/>
      </w:r>
      <w:r>
        <w:rPr>
          <w:rStyle w:val="VerbatimChar"/>
        </w:rPr>
        <w:t xml:space="preserve">4. Build hierarchical clustering tree.</w:t>
      </w:r>
      <w:r>
        <w:br/>
      </w:r>
      <w:r>
        <w:rPr>
          <w:rStyle w:val="VerbatimChar"/>
        </w:rPr>
        <w:t xml:space="preserve">5. Reorder assets using quasi-diagonalization.</w:t>
      </w:r>
      <w:r>
        <w:br/>
      </w:r>
      <w:r>
        <w:rPr>
          <w:rStyle w:val="VerbatimChar"/>
        </w:rPr>
        <w:t xml:space="preserve">6. Recursively split assets into clusters.</w:t>
      </w:r>
      <w:r>
        <w:br/>
      </w:r>
      <w:r>
        <w:rPr>
          <w:rStyle w:val="VerbatimChar"/>
        </w:rPr>
        <w:t xml:space="preserve">7. Allocate capital inversely to cluster variance.</w:t>
      </w:r>
    </w:p>
    <w:bookmarkEnd w:id="84"/>
    <w:bookmarkStart w:id="85" w:name="cluster-variance"/>
    <w:p>
      <w:pPr>
        <w:pStyle w:val="Heading3"/>
      </w:pPr>
      <w:r>
        <w:rPr>
          <w:rStyle w:val="SectionNumber"/>
        </w:rPr>
        <w:t xml:space="preserve">1.15.3</w:t>
      </w:r>
      <w:r>
        <w:tab/>
      </w:r>
      <w:r>
        <w:t xml:space="preserve">15.3 Cluster Variance</w:t>
      </w:r>
    </w:p>
    <w:p>
      <w:pPr>
        <w:pStyle w:val="FirstParagraph"/>
      </w:pPr>
      <w:r>
        <w:t xml:space="preserve">Formula:</w:t>
      </w:r>
    </w:p>
    <w:p>
      <w:pPr>
        <w:pStyle w:val="BodyText"/>
      </w:pPr>
      <m:oMathPara>
        <m:oMathParaPr>
          <m:jc m:val="center"/>
        </m:oMathParaPr>
        <m:oMath>
          <m:sSubSup>
            <m:e>
              <m:r>
                <m:t>σ</m:t>
              </m:r>
            </m:e>
            <m:sub>
              <m:r>
                <m:t>C</m:t>
              </m:r>
            </m:sub>
            <m:sup>
              <m:r>
                <m:t>2</m:t>
              </m:r>
            </m:sup>
          </m:sSubSup>
          <m:r>
            <m:rPr>
              <m:sty m:val="p"/>
            </m:rPr>
            <m:t>=</m:t>
          </m:r>
          <m:sSubSup>
            <m:e>
              <m:r>
                <m:t>w</m:t>
              </m:r>
            </m:e>
            <m:sub>
              <m:r>
                <m:rPr>
                  <m:nor/>
                  <m:sty m:val="p"/>
                </m:rPr>
                <m:t>IVP</m:t>
              </m:r>
              <m:r>
                <m:rPr>
                  <m:sty m:val="p"/>
                </m:rPr>
                <m:t>,</m:t>
              </m:r>
              <m:r>
                <m:t>C</m:t>
              </m:r>
            </m:sub>
            <m:sup>
              <m:r>
                <m:rPr>
                  <m:sty m:val="p"/>
                </m:rPr>
                <m:t>⊤</m:t>
              </m:r>
            </m:sup>
          </m:sSubSup>
          <m:sSub>
            <m:e>
              <m:r>
                <m:t>Σ</m:t>
              </m:r>
            </m:e>
            <m:sub>
              <m:r>
                <m:t>C</m:t>
              </m:r>
            </m:sub>
          </m:sSub>
          <m:sSub>
            <m:e>
              <m:r>
                <m:t>w</m:t>
              </m:r>
            </m:e>
            <m:sub>
              <m:r>
                <m:rPr>
                  <m:nor/>
                  <m:sty m:val="p"/>
                </m:rPr>
                <m:t>IVP</m:t>
              </m:r>
              <m:r>
                <m:rPr>
                  <m:sty m:val="p"/>
                </m:rPr>
                <m:t>,</m:t>
              </m:r>
              <m:r>
                <m:t>C</m:t>
              </m:r>
            </m:sub>
          </m:sSub>
        </m:oMath>
      </m:oMathPara>
    </w:p>
    <w:p>
      <w:pPr>
        <w:pStyle w:val="FirstParagraph"/>
      </w:pPr>
      <w:r>
        <w:t xml:space="preserve">where:</w:t>
      </w:r>
    </w:p>
    <w:p>
      <w:pPr>
        <w:pStyle w:val="SourceCode"/>
      </w:pPr>
      <w:r>
        <w:rPr>
          <w:rStyle w:val="VerbatimChar"/>
        </w:rPr>
        <w:t xml:space="preserve">C          = cluster</w:t>
      </w:r>
      <w:r>
        <w:br/>
      </w:r>
      <w:r>
        <w:rPr>
          <w:rStyle w:val="VerbatimChar"/>
        </w:rPr>
        <w:t xml:space="preserve">Sigma_C    = covariance matrix inside cluster</w:t>
      </w:r>
      <w:r>
        <w:br/>
      </w:r>
      <w:r>
        <w:rPr>
          <w:rStyle w:val="VerbatimChar"/>
        </w:rPr>
        <w:t xml:space="preserve">w_ivp,C    = inverse-variance portfolio weights inside cluster</w:t>
      </w:r>
    </w:p>
    <w:bookmarkEnd w:id="85"/>
    <w:bookmarkStart w:id="86" w:name="recursive-allocation-formula"/>
    <w:p>
      <w:pPr>
        <w:pStyle w:val="Heading3"/>
      </w:pPr>
      <w:r>
        <w:rPr>
          <w:rStyle w:val="SectionNumber"/>
        </w:rPr>
        <w:t xml:space="preserve">1.15.4</w:t>
      </w:r>
      <w:r>
        <w:tab/>
      </w:r>
      <w:r>
        <w:t xml:space="preserve">15.4 Recursive Allocation Formula</w:t>
      </w:r>
    </w:p>
    <w:p>
      <w:pPr>
        <w:pStyle w:val="FirstParagraph"/>
      </w:pPr>
      <w:r>
        <w:t xml:space="preserve">When HRP splits a cluster into left and right sub-clusters:</w:t>
      </w:r>
    </w:p>
    <w:p>
      <w:pPr>
        <w:pStyle w:val="BodyText"/>
      </w:pPr>
      <m:oMathPara>
        <m:oMathParaPr>
          <m:jc m:val="center"/>
        </m:oMathParaPr>
        <m:oMath>
          <m:sSub>
            <m:e>
              <m:r>
                <m:rPr>
                  <m:nor/>
                  <m:sty m:val="p"/>
                </m:rPr>
                <m:t>allocation</m:t>
              </m:r>
            </m:e>
            <m:sub>
              <m:r>
                <m:t>L</m:t>
              </m:r>
            </m:sub>
          </m:sSub>
          <m:r>
            <m:rPr>
              <m:sty m:val="p"/>
            </m:rPr>
            <m:t>=</m:t>
          </m:r>
          <m:f>
            <m:fPr>
              <m:type m:val="bar"/>
            </m:fPr>
            <m:num>
              <m:sSubSup>
                <m:e>
                  <m:r>
                    <m:t>σ</m:t>
                  </m:r>
                </m:e>
                <m:sub>
                  <m:r>
                    <m:t>R</m:t>
                  </m:r>
                </m:sub>
                <m:sup>
                  <m:r>
                    <m:t>2</m:t>
                  </m:r>
                </m:sup>
              </m:sSubSup>
            </m:num>
            <m:den>
              <m:sSubSup>
                <m:e>
                  <m:r>
                    <m:t>σ</m:t>
                  </m:r>
                </m:e>
                <m:sub>
                  <m:r>
                    <m:t>L</m:t>
                  </m:r>
                </m:sub>
                <m:sup>
                  <m:r>
                    <m:t>2</m:t>
                  </m:r>
                </m:sup>
              </m:sSubSup>
              <m:r>
                <m:rPr>
                  <m:sty m:val="p"/>
                </m:rPr>
                <m:t>+</m:t>
              </m:r>
              <m:sSubSup>
                <m:e>
                  <m:r>
                    <m:t>σ</m:t>
                  </m:r>
                </m:e>
                <m:sub>
                  <m:r>
                    <m:t>R</m:t>
                  </m:r>
                </m:sub>
                <m:sup>
                  <m:r>
                    <m:t>2</m:t>
                  </m:r>
                </m:sup>
              </m:sSubSup>
            </m:den>
          </m:f>
        </m:oMath>
      </m:oMathPara>
    </w:p>
    <w:p>
      <w:pPr>
        <w:pStyle w:val="FirstParagraph"/>
      </w:pPr>
      <m:oMathPara>
        <m:oMathParaPr>
          <m:jc m:val="center"/>
        </m:oMathParaPr>
        <m:oMath>
          <m:sSub>
            <m:e>
              <m:r>
                <m:rPr>
                  <m:nor/>
                  <m:sty m:val="p"/>
                </m:rPr>
                <m:t>allocation</m:t>
              </m:r>
            </m:e>
            <m:sub>
              <m:r>
                <m:t>R</m:t>
              </m:r>
            </m:sub>
          </m:sSub>
          <m:r>
            <m:rPr>
              <m:sty m:val="p"/>
            </m:rPr>
            <m:t>=</m:t>
          </m:r>
          <m:f>
            <m:fPr>
              <m:type m:val="bar"/>
            </m:fPr>
            <m:num>
              <m:sSubSup>
                <m:e>
                  <m:r>
                    <m:t>σ</m:t>
                  </m:r>
                </m:e>
                <m:sub>
                  <m:r>
                    <m:t>L</m:t>
                  </m:r>
                </m:sub>
                <m:sup>
                  <m:r>
                    <m:t>2</m:t>
                  </m:r>
                </m:sup>
              </m:sSubSup>
            </m:num>
            <m:den>
              <m:sSubSup>
                <m:e>
                  <m:r>
                    <m:t>σ</m:t>
                  </m:r>
                </m:e>
                <m:sub>
                  <m:r>
                    <m:t>L</m:t>
                  </m:r>
                </m:sub>
                <m:sup>
                  <m:r>
                    <m:t>2</m:t>
                  </m:r>
                </m:sup>
              </m:sSubSup>
              <m:r>
                <m:rPr>
                  <m:sty m:val="p"/>
                </m:rPr>
                <m:t>+</m:t>
              </m:r>
              <m:sSubSup>
                <m:e>
                  <m:r>
                    <m:t>σ</m:t>
                  </m:r>
                </m:e>
                <m:sub>
                  <m:r>
                    <m:t>R</m:t>
                  </m:r>
                </m:sub>
                <m:sup>
                  <m:r>
                    <m:t>2</m:t>
                  </m:r>
                </m:sup>
              </m:sSubSup>
            </m:den>
          </m:f>
        </m:oMath>
      </m:oMathPara>
    </w:p>
    <w:bookmarkEnd w:id="86"/>
    <w:bookmarkStart w:id="87" w:name="intuition-3"/>
    <w:p>
      <w:pPr>
        <w:pStyle w:val="Heading3"/>
      </w:pPr>
      <w:r>
        <w:rPr>
          <w:rStyle w:val="SectionNumber"/>
        </w:rPr>
        <w:t xml:space="preserve">1.15.5</w:t>
      </w:r>
      <w:r>
        <w:tab/>
      </w:r>
      <w:r>
        <w:t xml:space="preserve">15.5 Intuition</w:t>
      </w:r>
    </w:p>
    <w:p>
      <w:pPr>
        <w:pStyle w:val="FirstParagraph"/>
      </w:pPr>
      <w:r>
        <w:t xml:space="preserve">If the left cluster is riskier, it gets less capital. If the right cluster is less risky, it gets more capital.</w:t>
      </w:r>
    </w:p>
    <w:p>
      <w:pPr>
        <w:pStyle w:val="BodyText"/>
      </w:pPr>
      <w:r>
        <w:t xml:space="preserve">Example:</w:t>
      </w:r>
    </w:p>
    <w:p>
      <w:pPr>
        <w:pStyle w:val="SourceCode"/>
      </w:pPr>
      <w:r>
        <w:rPr>
          <w:rStyle w:val="VerbatimChar"/>
        </w:rPr>
        <w:t xml:space="preserve">variance_left = 0.04</w:t>
      </w:r>
      <w:r>
        <w:br/>
      </w:r>
      <w:r>
        <w:rPr>
          <w:rStyle w:val="VerbatimChar"/>
        </w:rPr>
        <w:t xml:space="preserve">variance_right = 0.01</w:t>
      </w:r>
    </w:p>
    <w:p>
      <w:pPr>
        <w:pStyle w:val="FirstParagraph"/>
      </w:pPr>
      <w:r>
        <w:t xml:space="preserve">Then:</w:t>
      </w:r>
    </w:p>
    <w:p>
      <w:pPr>
        <w:pStyle w:val="SourceCode"/>
      </w:pPr>
      <w:r>
        <w:rPr>
          <w:rStyle w:val="VerbatimChar"/>
        </w:rPr>
        <w:t xml:space="preserve">allocation_to_left = 0.01 / (0.04 + 0.01) = 20%</w:t>
      </w:r>
      <w:r>
        <w:br/>
      </w:r>
      <w:r>
        <w:rPr>
          <w:rStyle w:val="VerbatimChar"/>
        </w:rPr>
        <w:t xml:space="preserve">allocation_to_right = 0.04 / (0.04 + 0.01) = 80%</w:t>
      </w:r>
    </w:p>
    <w:p>
      <w:pPr>
        <w:pStyle w:val="FirstParagraph"/>
      </w:pPr>
      <w:r>
        <w:t xml:space="preserve">The lower-risk cluster receives higher allocation.</w:t>
      </w:r>
    </w:p>
    <w:bookmarkEnd w:id="87"/>
    <w:bookmarkStart w:id="88" w:name="why-hrp-is-useful"/>
    <w:p>
      <w:pPr>
        <w:pStyle w:val="Heading3"/>
      </w:pPr>
      <w:r>
        <w:rPr>
          <w:rStyle w:val="SectionNumber"/>
        </w:rPr>
        <w:t xml:space="preserve">1.15.6</w:t>
      </w:r>
      <w:r>
        <w:tab/>
      </w:r>
      <w:r>
        <w:t xml:space="preserve">15.6 Why HRP Is Useful</w:t>
      </w:r>
    </w:p>
    <w:p>
      <w:pPr>
        <w:pStyle w:val="FirstParagraph"/>
      </w:pPr>
      <w:r>
        <w:t xml:space="preserve">HRP is useful when:</w:t>
      </w:r>
    </w:p>
    <w:p>
      <w:pPr>
        <w:pStyle w:val="Compact"/>
        <w:numPr>
          <w:ilvl w:val="0"/>
          <w:numId w:val="1023"/>
        </w:numPr>
      </w:pPr>
      <w:r>
        <w:t xml:space="preserve">expected returns are unreliable,</w:t>
      </w:r>
    </w:p>
    <w:p>
      <w:pPr>
        <w:pStyle w:val="Compact"/>
        <w:numPr>
          <w:ilvl w:val="0"/>
          <w:numId w:val="1023"/>
        </w:numPr>
      </w:pPr>
      <w:r>
        <w:t xml:space="preserve">covariance structure is meaningful,</w:t>
      </w:r>
    </w:p>
    <w:p>
      <w:pPr>
        <w:pStyle w:val="Compact"/>
        <w:numPr>
          <w:ilvl w:val="0"/>
          <w:numId w:val="1023"/>
        </w:numPr>
      </w:pPr>
      <w:r>
        <w:t xml:space="preserve">we want more stable allocations,</w:t>
      </w:r>
    </w:p>
    <w:p>
      <w:pPr>
        <w:pStyle w:val="Compact"/>
        <w:numPr>
          <w:ilvl w:val="0"/>
          <w:numId w:val="1023"/>
        </w:numPr>
      </w:pPr>
      <w:r>
        <w:t xml:space="preserve">we want to avoid concentration in correlated clusters.</w:t>
      </w:r>
    </w:p>
    <w:p>
      <w:r>
        <w:pict>
          <v:rect style="width:0;height:1.5pt" o:hralign="center" o:hrstd="t" o:hr="t"/>
        </w:pict>
      </w:r>
    </w:p>
    <w:bookmarkEnd w:id="88"/>
    <w:bookmarkEnd w:id="89"/>
    <w:bookmarkStart w:id="96" w:name="Xf3033f6725dcd9d28a3f25a192045cd19986139"/>
    <w:p>
      <w:pPr>
        <w:pStyle w:val="Heading2"/>
      </w:pPr>
      <w:r>
        <w:rPr>
          <w:rStyle w:val="SectionNumber"/>
        </w:rPr>
        <w:t xml:space="preserve">1.16</w:t>
      </w:r>
      <w:r>
        <w:tab/>
      </w:r>
      <w:r>
        <w:t xml:space="preserve">16. Strategy 5 — Hierarchical Equal Risk Contribution (HERC)</w:t>
      </w:r>
    </w:p>
    <w:bookmarkStart w:id="90" w:name="what-herc-adds"/>
    <w:p>
      <w:pPr>
        <w:pStyle w:val="Heading3"/>
      </w:pPr>
      <w:r>
        <w:rPr>
          <w:rStyle w:val="SectionNumber"/>
        </w:rPr>
        <w:t xml:space="preserve">1.16.1</w:t>
      </w:r>
      <w:r>
        <w:tab/>
      </w:r>
      <w:r>
        <w:t xml:space="preserve">16.1 What HERC Adds</w:t>
      </w:r>
    </w:p>
    <w:p>
      <w:pPr>
        <w:pStyle w:val="FirstParagraph"/>
      </w:pPr>
      <w:r>
        <w:t xml:space="preserve">HERC is another hierarchical allocation strategy. Like HRP, it uses clustering. But HERC explicitly tries to equalize risk contribution across hierarchical branches.</w:t>
      </w:r>
    </w:p>
    <w:bookmarkEnd w:id="90"/>
    <w:bookmarkStart w:id="91" w:name="difference-between-hrp-and-herc"/>
    <w:p>
      <w:pPr>
        <w:pStyle w:val="Heading3"/>
      </w:pPr>
      <w:r>
        <w:rPr>
          <w:rStyle w:val="SectionNumber"/>
        </w:rPr>
        <w:t xml:space="preserve">1.16.2</w:t>
      </w:r>
      <w:r>
        <w:tab/>
      </w:r>
      <w:r>
        <w:t xml:space="preserve">16.2 Difference Between HRP and HERC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HRP</w:t>
            </w:r>
          </w:p>
        </w:tc>
        <w:tc>
          <w:tcPr/>
          <w:p>
            <w:pPr>
              <w:pStyle w:val="Compact"/>
              <w:jc w:val="left"/>
            </w:pPr>
            <w:r>
              <w:t xml:space="preserve">HERC</w:t>
            </w:r>
          </w:p>
        </w:tc>
      </w:tr>
      <w:tr>
        <w:tc>
          <w:tcPr/>
          <w:p>
            <w:pPr>
              <w:pStyle w:val="Compact"/>
              <w:jc w:val="left"/>
            </w:pPr>
            <w:r>
              <w:t xml:space="preserve">Tree use</w:t>
            </w:r>
          </w:p>
        </w:tc>
        <w:tc>
          <w:tcPr/>
          <w:p>
            <w:pPr>
              <w:pStyle w:val="Compact"/>
              <w:jc w:val="left"/>
            </w:pPr>
            <w:r>
              <w:t xml:space="preserve">Uses quasi-diagonal ordering</w:t>
            </w:r>
          </w:p>
        </w:tc>
        <w:tc>
          <w:tcPr/>
          <w:p>
            <w:pPr>
              <w:pStyle w:val="Compact"/>
              <w:jc w:val="left"/>
            </w:pPr>
            <w:r>
              <w:t xml:space="preserve">Traverses explicit linkage tree</w:t>
            </w:r>
          </w:p>
        </w:tc>
      </w:tr>
      <w:tr>
        <w:tc>
          <w:tcPr/>
          <w:p>
            <w:pPr>
              <w:pStyle w:val="Compact"/>
              <w:jc w:val="left"/>
            </w:pPr>
            <w:r>
              <w:t xml:space="preserve">Split logic</w:t>
            </w:r>
          </w:p>
        </w:tc>
        <w:tc>
          <w:tcPr/>
          <w:p>
            <w:pPr>
              <w:pStyle w:val="Compact"/>
              <w:jc w:val="left"/>
            </w:pPr>
            <w:r>
              <w:t xml:space="preserve">Recursive bisection</w:t>
            </w:r>
          </w:p>
        </w:tc>
        <w:tc>
          <w:tcPr/>
          <w:p>
            <w:pPr>
              <w:pStyle w:val="Compact"/>
              <w:jc w:val="left"/>
            </w:pPr>
            <w:r>
              <w:t xml:space="preserve">Sibling branch risk allocation</w:t>
            </w:r>
          </w:p>
        </w:tc>
      </w:tr>
      <w:tr>
        <w:tc>
          <w:tcPr/>
          <w:p>
            <w:pPr>
              <w:pStyle w:val="Compact"/>
              <w:jc w:val="left"/>
            </w:pPr>
            <w:r>
              <w:t xml:space="preserve">Allocation basis</w:t>
            </w:r>
          </w:p>
        </w:tc>
        <w:tc>
          <w:tcPr/>
          <w:p>
            <w:pPr>
              <w:pStyle w:val="Compact"/>
              <w:jc w:val="left"/>
            </w:pPr>
            <w:r>
              <w:t xml:space="preserve">Cluster variance</w:t>
            </w:r>
          </w:p>
        </w:tc>
        <w:tc>
          <w:tcPr/>
          <w:p>
            <w:pPr>
              <w:pStyle w:val="Compact"/>
              <w:jc w:val="left"/>
            </w:pPr>
            <w:r>
              <w:t xml:space="preserve">Cluster risk</w:t>
            </w:r>
          </w:p>
        </w:tc>
      </w:tr>
      <w:tr>
        <w:tc>
          <w:tcPr/>
          <w:p>
            <w:pPr>
              <w:pStyle w:val="Compact"/>
              <w:jc w:val="left"/>
            </w:pPr>
            <w:r>
              <w:t xml:space="preserve">Main idea</w:t>
            </w:r>
          </w:p>
        </w:tc>
        <w:tc>
          <w:tcPr/>
          <w:p>
            <w:pPr>
              <w:pStyle w:val="Compact"/>
              <w:jc w:val="left"/>
            </w:pPr>
            <w:r>
              <w:t xml:space="preserve">Reduce concentration by cluster variance</w:t>
            </w:r>
          </w:p>
        </w:tc>
        <w:tc>
          <w:tcPr/>
          <w:p>
            <w:pPr>
              <w:pStyle w:val="Compact"/>
              <w:jc w:val="left"/>
            </w:pPr>
            <w:r>
              <w:t xml:space="preserve">Equalize risk contribution across branches</w:t>
            </w:r>
          </w:p>
        </w:tc>
      </w:tr>
    </w:tbl>
    <w:bookmarkEnd w:id="91"/>
    <w:bookmarkStart w:id="92" w:name="herc-cluster-risk"/>
    <w:p>
      <w:pPr>
        <w:pStyle w:val="Heading3"/>
      </w:pPr>
      <w:r>
        <w:rPr>
          <w:rStyle w:val="SectionNumber"/>
        </w:rPr>
        <w:t xml:space="preserve">1.16.3</w:t>
      </w:r>
      <w:r>
        <w:tab/>
      </w:r>
      <w:r>
        <w:t xml:space="preserve">16.3 HERC Cluster Risk</w:t>
      </w:r>
    </w:p>
    <w:p>
      <w:pPr>
        <w:pStyle w:val="FirstParagraph"/>
      </w:pPr>
      <w:r>
        <w:t xml:space="preserve">Formula:</w:t>
      </w:r>
    </w:p>
    <w:p>
      <w:pPr>
        <w:pStyle w:val="BodyText"/>
      </w:pPr>
      <m:oMathPara>
        <m:oMathParaPr>
          <m:jc m:val="center"/>
        </m:oMathParaPr>
        <m:oMath>
          <m:sSub>
            <m:e>
              <m:r>
                <m:t>σ</m:t>
              </m:r>
            </m:e>
            <m:sub>
              <m:r>
                <m:t>C</m:t>
              </m:r>
            </m:sub>
          </m:sSub>
          <m:r>
            <m:rPr>
              <m:sty m:val="p"/>
            </m:rPr>
            <m:t>=</m:t>
          </m:r>
          <m:rad>
            <m:radPr>
              <m:degHide m:val="on"/>
            </m:radPr>
            <m:deg/>
            <m:e>
              <m:sSubSup>
                <m:e>
                  <m:r>
                    <m:t>w</m:t>
                  </m:r>
                </m:e>
                <m:sub>
                  <m:r>
                    <m:rPr>
                      <m:nor/>
                      <m:sty m:val="p"/>
                    </m:rPr>
                    <m:t>IV</m:t>
                  </m:r>
                  <m:r>
                    <m:rPr>
                      <m:sty m:val="p"/>
                    </m:rPr>
                    <m:t>,</m:t>
                  </m:r>
                  <m:r>
                    <m:t>C</m:t>
                  </m:r>
                </m:sub>
                <m:sup>
                  <m:r>
                    <m:rPr>
                      <m:sty m:val="p"/>
                    </m:rPr>
                    <m:t>⊤</m:t>
                  </m:r>
                </m:sup>
              </m:sSubSup>
              <m:sSub>
                <m:e>
                  <m:r>
                    <m:t>Σ</m:t>
                  </m:r>
                </m:e>
                <m:sub>
                  <m:r>
                    <m:t>C</m:t>
                  </m:r>
                </m:sub>
              </m:sSub>
              <m:sSub>
                <m:e>
                  <m:r>
                    <m:t>w</m:t>
                  </m:r>
                </m:e>
                <m:sub>
                  <m:r>
                    <m:rPr>
                      <m:nor/>
                      <m:sty m:val="p"/>
                    </m:rPr>
                    <m:t>IV</m:t>
                  </m:r>
                  <m:r>
                    <m:rPr>
                      <m:sty m:val="p"/>
                    </m:rPr>
                    <m:t>,</m:t>
                  </m:r>
                  <m:r>
                    <m:t>C</m:t>
                  </m:r>
                </m:sub>
              </m:sSub>
            </m:e>
          </m:rad>
        </m:oMath>
      </m:oMathPara>
    </w:p>
    <w:bookmarkEnd w:id="92"/>
    <w:bookmarkStart w:id="93" w:name="herc-branch-allocation"/>
    <w:p>
      <w:pPr>
        <w:pStyle w:val="Heading3"/>
      </w:pPr>
      <w:r>
        <w:rPr>
          <w:rStyle w:val="SectionNumber"/>
        </w:rPr>
        <w:t xml:space="preserve">1.16.4</w:t>
      </w:r>
      <w:r>
        <w:tab/>
      </w:r>
      <w:r>
        <w:t xml:space="preserve">16.4 HERC Branch Allocation</w:t>
      </w:r>
    </w:p>
    <w:p>
      <w:pPr>
        <w:pStyle w:val="FirstParagraph"/>
      </w:pPr>
      <m:oMathPara>
        <m:oMathParaPr>
          <m:jc m:val="center"/>
        </m:oMathParaPr>
        <m:oMath>
          <m:sSub>
            <m:e>
              <m:r>
                <m:t>w</m:t>
              </m:r>
            </m:e>
            <m:sub>
              <m:r>
                <m:t>L</m:t>
              </m:r>
            </m:sub>
          </m:sSub>
          <m:r>
            <m:rPr>
              <m:sty m:val="p"/>
            </m:rPr>
            <m:t>=</m:t>
          </m:r>
          <m:sSub>
            <m:e>
              <m:r>
                <m:t>w</m:t>
              </m:r>
            </m:e>
            <m:sub>
              <m:r>
                <m:rPr>
                  <m:nor/>
                  <m:sty m:val="p"/>
                </m:rPr>
                <m:t>parent</m:t>
              </m:r>
            </m:sub>
          </m:sSub>
          <m:f>
            <m:fPr>
              <m:type m:val="bar"/>
            </m:fPr>
            <m:num>
              <m:sSub>
                <m:e>
                  <m:r>
                    <m:t>σ</m:t>
                  </m:r>
                </m:e>
                <m:sub>
                  <m:r>
                    <m:t>R</m:t>
                  </m:r>
                </m:sub>
              </m:sSub>
            </m:num>
            <m:den>
              <m:sSub>
                <m:e>
                  <m:r>
                    <m:t>σ</m:t>
                  </m:r>
                </m:e>
                <m:sub>
                  <m:r>
                    <m:t>L</m:t>
                  </m:r>
                </m:sub>
              </m:sSub>
              <m:r>
                <m:rPr>
                  <m:sty m:val="p"/>
                </m:rPr>
                <m:t>+</m:t>
              </m:r>
              <m:sSub>
                <m:e>
                  <m:r>
                    <m:t>σ</m:t>
                  </m:r>
                </m:e>
                <m:sub>
                  <m:r>
                    <m:t>R</m:t>
                  </m:r>
                </m:sub>
              </m:sSub>
            </m:den>
          </m:f>
        </m:oMath>
      </m:oMathPara>
    </w:p>
    <w:p>
      <w:pPr>
        <w:pStyle w:val="FirstParagraph"/>
      </w:pPr>
      <m:oMathPara>
        <m:oMathParaPr>
          <m:jc m:val="center"/>
        </m:oMathParaPr>
        <m:oMath>
          <m:sSub>
            <m:e>
              <m:r>
                <m:t>w</m:t>
              </m:r>
            </m:e>
            <m:sub>
              <m:r>
                <m:t>R</m:t>
              </m:r>
            </m:sub>
          </m:sSub>
          <m:r>
            <m:rPr>
              <m:sty m:val="p"/>
            </m:rPr>
            <m:t>=</m:t>
          </m:r>
          <m:sSub>
            <m:e>
              <m:r>
                <m:t>w</m:t>
              </m:r>
            </m:e>
            <m:sub>
              <m:r>
                <m:rPr>
                  <m:nor/>
                  <m:sty m:val="p"/>
                </m:rPr>
                <m:t>parent</m:t>
              </m:r>
            </m:sub>
          </m:sSub>
          <m:f>
            <m:fPr>
              <m:type m:val="bar"/>
            </m:fPr>
            <m:num>
              <m:sSub>
                <m:e>
                  <m:r>
                    <m:t>σ</m:t>
                  </m:r>
                </m:e>
                <m:sub>
                  <m:r>
                    <m:t>L</m:t>
                  </m:r>
                </m:sub>
              </m:sSub>
            </m:num>
            <m:den>
              <m:sSub>
                <m:e>
                  <m:r>
                    <m:t>σ</m:t>
                  </m:r>
                </m:e>
                <m:sub>
                  <m:r>
                    <m:t>L</m:t>
                  </m:r>
                </m:sub>
              </m:sSub>
              <m:r>
                <m:rPr>
                  <m:sty m:val="p"/>
                </m:rPr>
                <m:t>+</m:t>
              </m:r>
              <m:sSub>
                <m:e>
                  <m:r>
                    <m:t>σ</m:t>
                  </m:r>
                </m:e>
                <m:sub>
                  <m:r>
                    <m:t>R</m:t>
                  </m:r>
                </m:sub>
              </m:sSub>
            </m:den>
          </m:f>
        </m:oMath>
      </m:oMathPara>
    </w:p>
    <w:bookmarkEnd w:id="93"/>
    <w:bookmarkStart w:id="94" w:name="intuition-4"/>
    <w:p>
      <w:pPr>
        <w:pStyle w:val="Heading3"/>
      </w:pPr>
      <w:r>
        <w:rPr>
          <w:rStyle w:val="SectionNumber"/>
        </w:rPr>
        <w:t xml:space="preserve">1.16.5</w:t>
      </w:r>
      <w:r>
        <w:tab/>
      </w:r>
      <w:r>
        <w:t xml:space="preserve">16.5 Intuition</w:t>
      </w:r>
    </w:p>
    <w:p>
      <w:pPr>
        <w:pStyle w:val="FirstParagraph"/>
      </w:pPr>
      <w:r>
        <w:t xml:space="preserve">If one branch is riskier, it receives less capital. The goal is to balance the risk contribution of branches, not merely capital weights.</w:t>
      </w:r>
    </w:p>
    <w:bookmarkEnd w:id="94"/>
    <w:bookmarkStart w:id="95" w:name="why-herc-is-useful"/>
    <w:p>
      <w:pPr>
        <w:pStyle w:val="Heading3"/>
      </w:pPr>
      <w:r>
        <w:rPr>
          <w:rStyle w:val="SectionNumber"/>
        </w:rPr>
        <w:t xml:space="preserve">1.16.6</w:t>
      </w:r>
      <w:r>
        <w:tab/>
      </w:r>
      <w:r>
        <w:t xml:space="preserve">16.6 Why HERC Is Useful</w:t>
      </w:r>
    </w:p>
    <w:p>
      <w:pPr>
        <w:pStyle w:val="FirstParagraph"/>
      </w:pPr>
      <w:r>
        <w:t xml:space="preserve">HERC is useful when the project wants to compare different hierarchical risk-budgeting philosophies.</w:t>
      </w:r>
    </w:p>
    <w:p>
      <w:pPr>
        <w:pStyle w:val="BodyText"/>
      </w:pPr>
      <w:r>
        <w:t xml:space="preserve">HRP and HERC can produce different weights even with the same covariance estimator and same asset universe.</w:t>
      </w:r>
    </w:p>
    <w:p>
      <w:r>
        <w:pict>
          <v:rect style="width:0;height:1.5pt" o:hralign="center" o:hrstd="t" o:hr="t"/>
        </w:pict>
      </w:r>
    </w:p>
    <w:bookmarkEnd w:id="95"/>
    <w:bookmarkEnd w:id="96"/>
    <w:bookmarkStart w:id="101" w:name="stage-7-rolling-walk-forward-backtesting"/>
    <w:p>
      <w:pPr>
        <w:pStyle w:val="Heading2"/>
      </w:pPr>
      <w:r>
        <w:rPr>
          <w:rStyle w:val="SectionNumber"/>
        </w:rPr>
        <w:t xml:space="preserve">1.17</w:t>
      </w:r>
      <w:r>
        <w:tab/>
      </w:r>
      <w:r>
        <w:t xml:space="preserve">17. Stage 7 — Rolling Walk-Forward Backtesting</w:t>
      </w:r>
    </w:p>
    <w:bookmarkStart w:id="97" w:name="why-backtesting"/>
    <w:p>
      <w:pPr>
        <w:pStyle w:val="Heading3"/>
      </w:pPr>
      <w:r>
        <w:rPr>
          <w:rStyle w:val="SectionNumber"/>
        </w:rPr>
        <w:t xml:space="preserve">1.17.1</w:t>
      </w:r>
      <w:r>
        <w:tab/>
      </w:r>
      <w:r>
        <w:t xml:space="preserve">17.1 Why Backtesting?</w:t>
      </w:r>
    </w:p>
    <w:p>
      <w:pPr>
        <w:pStyle w:val="FirstParagraph"/>
      </w:pPr>
      <w:r>
        <w:t xml:space="preserve">A strategy can look good in static weights but fail over time. Backtesting asks:</w:t>
      </w:r>
    </w:p>
    <w:p>
      <w:pPr>
        <w:pStyle w:val="SourceCode"/>
      </w:pPr>
      <w:r>
        <w:rPr>
          <w:rStyle w:val="VerbatimChar"/>
        </w:rPr>
        <w:t xml:space="preserve">If we had used this strategy historically, how would it have performed?</w:t>
      </w:r>
    </w:p>
    <w:bookmarkEnd w:id="97"/>
    <w:bookmarkStart w:id="98" w:name="rolling-walk-forward-logic"/>
    <w:p>
      <w:pPr>
        <w:pStyle w:val="Heading3"/>
      </w:pPr>
      <w:r>
        <w:rPr>
          <w:rStyle w:val="SectionNumber"/>
        </w:rPr>
        <w:t xml:space="preserve">1.17.2</w:t>
      </w:r>
      <w:r>
        <w:tab/>
      </w:r>
      <w:r>
        <w:t xml:space="preserve">17.2 Rolling Walk-Forward Logic</w:t>
      </w:r>
    </w:p>
    <w:p>
      <w:pPr>
        <w:pStyle w:val="FirstParagraph"/>
      </w:pPr>
      <w:r>
        <w:t xml:space="preserve">Default training window:</w:t>
      </w:r>
    </w:p>
    <w:p>
      <w:pPr>
        <w:pStyle w:val="SourceCode"/>
      </w:pPr>
      <w:r>
        <w:rPr>
          <w:rStyle w:val="VerbatimChar"/>
        </w:rPr>
        <w:t xml:space="preserve">252 trading days</w:t>
      </w:r>
    </w:p>
    <w:p>
      <w:pPr>
        <w:pStyle w:val="FirstParagraph"/>
      </w:pPr>
      <w:r>
        <w:t xml:space="preserve">Core simulation:</w:t>
      </w:r>
    </w:p>
    <w:p>
      <w:pPr>
        <w:pStyle w:val="SourceCode"/>
      </w:pPr>
      <w:r>
        <w:rPr>
          <w:rStyle w:val="VerbatimChar"/>
        </w:rPr>
        <w:t xml:space="preserve">For each date t after the training window:</w:t>
      </w:r>
      <w:r>
        <w:br/>
      </w:r>
      <w:r>
        <w:rPr>
          <w:rStyle w:val="VerbatimChar"/>
        </w:rPr>
        <w:t xml:space="preserve">    Use past 252 trading days as training data</w:t>
      </w:r>
      <w:r>
        <w:br/>
      </w:r>
      <w:r>
        <w:rPr>
          <w:rStyle w:val="VerbatimChar"/>
        </w:rPr>
        <w:t xml:space="preserve">    Estimate covariance and strategy weights</w:t>
      </w:r>
      <w:r>
        <w:br/>
      </w:r>
      <w:r>
        <w:rPr>
          <w:rStyle w:val="VerbatimChar"/>
        </w:rPr>
        <w:t xml:space="preserve">    Apply weights to next-period returns</w:t>
      </w:r>
      <w:r>
        <w:br/>
      </w:r>
      <w:r>
        <w:rPr>
          <w:rStyle w:val="VerbatimChar"/>
        </w:rPr>
        <w:t xml:space="preserve">    Update portfolio value</w:t>
      </w:r>
      <w:r>
        <w:br/>
      </w:r>
      <w:r>
        <w:rPr>
          <w:rStyle w:val="VerbatimChar"/>
        </w:rPr>
        <w:t xml:space="preserve">    Record returns, drawdowns, weights, turnover, and costs</w:t>
      </w:r>
    </w:p>
    <w:bookmarkEnd w:id="98"/>
    <w:bookmarkStart w:id="99" w:name="portfolio-return-formula"/>
    <w:p>
      <w:pPr>
        <w:pStyle w:val="Heading3"/>
      </w:pPr>
      <w:r>
        <w:rPr>
          <w:rStyle w:val="SectionNumber"/>
        </w:rPr>
        <w:t xml:space="preserve">1.17.3</w:t>
      </w:r>
      <w:r>
        <w:tab/>
      </w:r>
      <w:r>
        <w:t xml:space="preserve">17.3 Portfolio Return Formula</w:t>
      </w:r>
    </w:p>
    <w:p>
      <w:pPr>
        <w:pStyle w:val="FirstParagraph"/>
      </w:pPr>
      <m:oMathPara>
        <m:oMathParaPr>
          <m:jc m:val="center"/>
        </m:oMathParaPr>
        <m:oMath>
          <m:sSub>
            <m:e>
              <m:r>
                <m:t>r</m:t>
              </m:r>
            </m:e>
            <m:sub>
              <m:r>
                <m:t>p</m:t>
              </m:r>
              <m:r>
                <m:rPr>
                  <m:sty m:val="p"/>
                </m:rPr>
                <m:t>,</m:t>
              </m:r>
              <m:r>
                <m:t>t</m:t>
              </m:r>
            </m:sub>
          </m:sSub>
          <m:r>
            <m:rPr>
              <m:sty m:val="p"/>
            </m:rPr>
            <m:t>=</m:t>
          </m:r>
          <m:sSubSup>
            <m:e>
              <m:r>
                <m:t>w</m:t>
              </m:r>
            </m:e>
            <m:sub>
              <m:r>
                <m:t>t</m:t>
              </m:r>
              <m:r>
                <m:rPr>
                  <m:sty m:val="p"/>
                </m:rPr>
                <m:t>−</m:t>
              </m:r>
              <m:r>
                <m:t>1</m:t>
              </m:r>
            </m:sub>
            <m:sup>
              <m:r>
                <m:rPr>
                  <m:sty m:val="p"/>
                </m:rPr>
                <m:t>⊤</m:t>
              </m:r>
            </m:sup>
          </m:sSubSup>
          <m:sSub>
            <m:e>
              <m:r>
                <m:t>r</m:t>
              </m:r>
            </m:e>
            <m:sub>
              <m:r>
                <m:t>t</m:t>
              </m:r>
            </m:sub>
          </m:sSub>
        </m:oMath>
      </m:oMathPara>
    </w:p>
    <w:p>
      <w:pPr>
        <w:pStyle w:val="FirstParagraph"/>
      </w:pPr>
      <w:r>
        <w:t xml:space="preserve">where:</w:t>
      </w:r>
    </w:p>
    <w:p>
      <w:pPr>
        <w:pStyle w:val="SourceCode"/>
      </w:pPr>
      <w:r>
        <w:rPr>
          <w:rStyle w:val="VerbatimChar"/>
        </w:rPr>
        <w:t xml:space="preserve">w_{t-1} = weights decided before return at time t</w:t>
      </w:r>
      <w:r>
        <w:br/>
      </w:r>
      <w:r>
        <w:rPr>
          <w:rStyle w:val="VerbatimChar"/>
        </w:rPr>
        <w:t xml:space="preserve">r_t     = asset returns at time t</w:t>
      </w:r>
    </w:p>
    <w:bookmarkEnd w:id="99"/>
    <w:bookmarkStart w:id="100" w:name="why-this-avoids-look-ahead-bias"/>
    <w:p>
      <w:pPr>
        <w:pStyle w:val="Heading3"/>
      </w:pPr>
      <w:r>
        <w:rPr>
          <w:rStyle w:val="SectionNumber"/>
        </w:rPr>
        <w:t xml:space="preserve">1.17.4</w:t>
      </w:r>
      <w:r>
        <w:tab/>
      </w:r>
      <w:r>
        <w:t xml:space="preserve">17.4 Why This Avoids Look-Ahead Bias</w:t>
      </w:r>
    </w:p>
    <w:p>
      <w:pPr>
        <w:pStyle w:val="FirstParagraph"/>
      </w:pPr>
      <w:r>
        <w:t xml:space="preserve">The strategy must only use information available before the return occurs.</w:t>
      </w:r>
    </w:p>
    <w:p>
      <w:pPr>
        <w:pStyle w:val="BodyText"/>
      </w:pPr>
      <w:r>
        <w:t xml:space="preserve">Correct:</w:t>
      </w:r>
    </w:p>
    <w:p>
      <w:pPr>
        <w:pStyle w:val="SourceCode"/>
      </w:pPr>
      <w:r>
        <w:rPr>
          <w:rStyle w:val="VerbatimChar"/>
        </w:rPr>
        <w:t xml:space="preserve">Use data up to yesterday to decide today’s weights.</w:t>
      </w:r>
    </w:p>
    <w:p>
      <w:pPr>
        <w:pStyle w:val="FirstParagraph"/>
      </w:pPr>
      <w:r>
        <w:t xml:space="preserve">Wrong:</w:t>
      </w:r>
    </w:p>
    <w:p>
      <w:pPr>
        <w:pStyle w:val="SourceCode"/>
      </w:pPr>
      <w:r>
        <w:rPr>
          <w:rStyle w:val="VerbatimChar"/>
        </w:rPr>
        <w:t xml:space="preserve">Use today’s return to decide today’s weights.</w:t>
      </w:r>
    </w:p>
    <w:p>
      <w:pPr>
        <w:pStyle w:val="FirstParagraph"/>
      </w:pPr>
      <w:r>
        <w:t xml:space="preserve">The second method creates look-ahead bias and gives unrealistically good results.</w:t>
      </w:r>
    </w:p>
    <w:p>
      <w:r>
        <w:pict>
          <v:rect style="width:0;height:1.5pt" o:hralign="center" o:hrstd="t" o:hr="t"/>
        </w:pict>
      </w:r>
    </w:p>
    <w:bookmarkEnd w:id="100"/>
    <w:bookmarkEnd w:id="101"/>
    <w:bookmarkStart w:id="109" w:name="stage-8-rebalancing-logic"/>
    <w:p>
      <w:pPr>
        <w:pStyle w:val="Heading2"/>
      </w:pPr>
      <w:r>
        <w:rPr>
          <w:rStyle w:val="SectionNumber"/>
        </w:rPr>
        <w:t xml:space="preserve">1.18</w:t>
      </w:r>
      <w:r>
        <w:tab/>
      </w:r>
      <w:r>
        <w:t xml:space="preserve">18. Stage 8 — Rebalancing Logic</w:t>
      </w:r>
    </w:p>
    <w:bookmarkStart w:id="102" w:name="why-rebalancing-is-needed"/>
    <w:p>
      <w:pPr>
        <w:pStyle w:val="Heading3"/>
      </w:pPr>
      <w:r>
        <w:rPr>
          <w:rStyle w:val="SectionNumber"/>
        </w:rPr>
        <w:t xml:space="preserve">1.18.1</w:t>
      </w:r>
      <w:r>
        <w:tab/>
      </w:r>
      <w:r>
        <w:t xml:space="preserve">18.1 Why Rebalancing Is Needed</w:t>
      </w:r>
    </w:p>
    <w:p>
      <w:pPr>
        <w:pStyle w:val="FirstParagraph"/>
      </w:pPr>
      <w:r>
        <w:t xml:space="preserve">Portfolio weights drift over time because assets earn different returns.</w:t>
      </w:r>
    </w:p>
    <w:p>
      <w:pPr>
        <w:pStyle w:val="BodyText"/>
      </w:pPr>
      <w:r>
        <w:t xml:space="preserve">Example:</w:t>
      </w:r>
    </w:p>
    <w:p>
      <w:pPr>
        <w:pStyle w:val="BodyText"/>
      </w:pPr>
      <w:r>
        <w:t xml:space="preserve">Initial weights:</w:t>
      </w:r>
    </w:p>
    <w:p>
      <w:pPr>
        <w:pStyle w:val="SourceCode"/>
      </w:pPr>
      <w:r>
        <w:rPr>
          <w:rStyle w:val="VerbatimChar"/>
        </w:rPr>
        <w:t xml:space="preserve">Stock A = 50%</w:t>
      </w:r>
      <w:r>
        <w:br/>
      </w:r>
      <w:r>
        <w:rPr>
          <w:rStyle w:val="VerbatimChar"/>
        </w:rPr>
        <w:t xml:space="preserve">Stock B = 50%</w:t>
      </w:r>
    </w:p>
    <w:p>
      <w:pPr>
        <w:pStyle w:val="FirstParagraph"/>
      </w:pPr>
      <w:r>
        <w:t xml:space="preserve">If Stock A rises sharply and Stock B falls, the portfolio may become:</w:t>
      </w:r>
    </w:p>
    <w:p>
      <w:pPr>
        <w:pStyle w:val="SourceCode"/>
      </w:pPr>
      <w:r>
        <w:rPr>
          <w:rStyle w:val="VerbatimChar"/>
        </w:rPr>
        <w:t xml:space="preserve">Stock A = 60%</w:t>
      </w:r>
      <w:r>
        <w:br/>
      </w:r>
      <w:r>
        <w:rPr>
          <w:rStyle w:val="VerbatimChar"/>
        </w:rPr>
        <w:t xml:space="preserve">Stock B = 40%</w:t>
      </w:r>
    </w:p>
    <w:p>
      <w:pPr>
        <w:pStyle w:val="FirstParagraph"/>
      </w:pPr>
      <w:r>
        <w:t xml:space="preserve">Rebalancing brings the portfolio back toward target weights.</w:t>
      </w:r>
    </w:p>
    <w:bookmarkEnd w:id="102"/>
    <w:bookmarkStart w:id="103" w:name="rebalance-modes"/>
    <w:p>
      <w:pPr>
        <w:pStyle w:val="Heading3"/>
      </w:pPr>
      <w:r>
        <w:rPr>
          <w:rStyle w:val="SectionNumber"/>
        </w:rPr>
        <w:t xml:space="preserve">1.18.2</w:t>
      </w:r>
      <w:r>
        <w:tab/>
      </w:r>
      <w:r>
        <w:t xml:space="preserve">18.2 Rebalance Modes</w:t>
      </w:r>
    </w:p>
    <w:p>
      <w:pPr>
        <w:pStyle w:val="FirstParagraph"/>
      </w:pPr>
      <w:r>
        <w:t xml:space="preserve">The project supports:</w:t>
      </w:r>
    </w:p>
    <w:p>
      <w:pPr>
        <w:pStyle w:val="SourceCode"/>
      </w:pPr>
      <w:r>
        <w:rPr>
          <w:rStyle w:val="VerbatimChar"/>
        </w:rPr>
        <w:t xml:space="preserve">calendar</w:t>
      </w:r>
      <w:r>
        <w:br/>
      </w:r>
      <w:r>
        <w:rPr>
          <w:rStyle w:val="VerbatimChar"/>
        </w:rPr>
        <w:t xml:space="preserve">threshold</w:t>
      </w:r>
      <w:r>
        <w:br/>
      </w:r>
      <w:r>
        <w:rPr>
          <w:rStyle w:val="VerbatimChar"/>
        </w:rPr>
        <w:t xml:space="preserve">calendar_or_threshold</w:t>
      </w:r>
    </w:p>
    <w:bookmarkEnd w:id="103"/>
    <w:bookmarkStart w:id="104" w:name="calendar-rebalancing"/>
    <w:p>
      <w:pPr>
        <w:pStyle w:val="Heading3"/>
      </w:pPr>
      <w:r>
        <w:rPr>
          <w:rStyle w:val="SectionNumber"/>
        </w:rPr>
        <w:t xml:space="preserve">1.18.3</w:t>
      </w:r>
      <w:r>
        <w:tab/>
      </w:r>
      <w:r>
        <w:t xml:space="preserve">18.3 Calendar Rebalancing</w:t>
      </w:r>
    </w:p>
    <w:p>
      <w:pPr>
        <w:pStyle w:val="FirstParagraph"/>
      </w:pPr>
      <w:r>
        <w:t xml:space="preserve">Rebalance at fixed dates, such as monthly.</w:t>
      </w:r>
    </w:p>
    <w:p>
      <w:pPr>
        <w:pStyle w:val="BodyText"/>
      </w:pPr>
      <w:r>
        <w:t xml:space="preserve">Logic:</w:t>
      </w:r>
    </w:p>
    <w:p>
      <w:pPr>
        <w:pStyle w:val="SourceCode"/>
      </w:pPr>
      <w:r>
        <w:rPr>
          <w:rStyle w:val="VerbatimChar"/>
        </w:rPr>
        <w:t xml:space="preserve">If date is rebalance date:</w:t>
      </w:r>
      <w:r>
        <w:br/>
      </w:r>
      <w:r>
        <w:rPr>
          <w:rStyle w:val="VerbatimChar"/>
        </w:rPr>
        <w:t xml:space="preserve">    rebalance</w:t>
      </w:r>
    </w:p>
    <w:p>
      <w:pPr>
        <w:pStyle w:val="FirstParagraph"/>
      </w:pPr>
      <w:r>
        <w:t xml:space="preserve">Pros:</w:t>
      </w:r>
    </w:p>
    <w:p>
      <w:pPr>
        <w:pStyle w:val="Compact"/>
        <w:numPr>
          <w:ilvl w:val="0"/>
          <w:numId w:val="1024"/>
        </w:numPr>
      </w:pPr>
      <w:r>
        <w:t xml:space="preserve">Simple.</w:t>
      </w:r>
    </w:p>
    <w:p>
      <w:pPr>
        <w:pStyle w:val="Compact"/>
        <w:numPr>
          <w:ilvl w:val="0"/>
          <w:numId w:val="1024"/>
        </w:numPr>
      </w:pPr>
      <w:r>
        <w:t xml:space="preserve">Predictable.</w:t>
      </w:r>
    </w:p>
    <w:p>
      <w:pPr>
        <w:pStyle w:val="FirstParagraph"/>
      </w:pPr>
      <w:r>
        <w:t xml:space="preserve">Cons:</w:t>
      </w:r>
    </w:p>
    <w:p>
      <w:pPr>
        <w:pStyle w:val="Compact"/>
        <w:numPr>
          <w:ilvl w:val="0"/>
          <w:numId w:val="1025"/>
        </w:numPr>
      </w:pPr>
      <w:r>
        <w:t xml:space="preserve">May trade even when weights have barely changed.</w:t>
      </w:r>
    </w:p>
    <w:p>
      <w:pPr>
        <w:pStyle w:val="Compact"/>
        <w:numPr>
          <w:ilvl w:val="0"/>
          <w:numId w:val="1025"/>
        </w:numPr>
      </w:pPr>
      <w:r>
        <w:t xml:space="preserve">May miss large drift between rebalance dates.</w:t>
      </w:r>
    </w:p>
    <w:bookmarkEnd w:id="104"/>
    <w:bookmarkStart w:id="105" w:name="threshold-rebalancing"/>
    <w:p>
      <w:pPr>
        <w:pStyle w:val="Heading3"/>
      </w:pPr>
      <w:r>
        <w:rPr>
          <w:rStyle w:val="SectionNumber"/>
        </w:rPr>
        <w:t xml:space="preserve">1.18.4</w:t>
      </w:r>
      <w:r>
        <w:tab/>
      </w:r>
      <w:r>
        <w:t xml:space="preserve">18.4 Threshold Rebalancing</w:t>
      </w:r>
    </w:p>
    <w:p>
      <w:pPr>
        <w:pStyle w:val="FirstParagraph"/>
      </w:pPr>
      <w:r>
        <w:t xml:space="preserve">Rebalance only when weights drift too far from target.</w:t>
      </w:r>
    </w:p>
    <w:p>
      <w:pPr>
        <w:pStyle w:val="BodyText"/>
      </w:pPr>
      <w:r>
        <w:t xml:space="preserve">Formula:</w:t>
      </w:r>
    </w:p>
    <w:p>
      <w:pPr>
        <w:pStyle w:val="BodyText"/>
      </w:pPr>
      <m:oMathPara>
        <m:oMathParaPr>
          <m:jc m:val="center"/>
        </m:oMathParaPr>
        <m:oMath>
          <m:limLow>
            <m:e>
              <m:r>
                <m:rPr>
                  <m:sty m:val="p"/>
                </m:rPr>
                <m:t>max</m:t>
              </m:r>
            </m:e>
            <m:lim>
              <m:r>
                <m:t>i</m:t>
              </m:r>
            </m:lim>
          </m:limLow>
          <m:d>
            <m:dPr>
              <m:begChr m:val="|"/>
              <m:endChr m:val="|"/>
              <m:sepChr m:val=""/>
              <m:grow/>
            </m:dPr>
            <m:e>
              <m:sSub>
                <m:e>
                  <m:r>
                    <m:t>w</m:t>
                  </m:r>
                </m:e>
                <m:sub>
                  <m:r>
                    <m:t>i</m:t>
                  </m:r>
                  <m:r>
                    <m:rPr>
                      <m:sty m:val="p"/>
                    </m:rPr>
                    <m:t>,</m:t>
                  </m:r>
                  <m:r>
                    <m:rPr>
                      <m:nor/>
                      <m:sty m:val="p"/>
                    </m:rPr>
                    <m:t>current</m:t>
                  </m:r>
                </m:sub>
              </m:sSub>
              <m:r>
                <m:rPr>
                  <m:sty m:val="p"/>
                </m:rPr>
                <m:t>−</m:t>
              </m:r>
              <m:sSub>
                <m:e>
                  <m:r>
                    <m:t>w</m:t>
                  </m:r>
                </m:e>
                <m:sub>
                  <m:r>
                    <m:t>i</m:t>
                  </m:r>
                  <m:r>
                    <m:rPr>
                      <m:sty m:val="p"/>
                    </m:rPr>
                    <m:t>,</m:t>
                  </m:r>
                  <m:r>
                    <m:rPr>
                      <m:nor/>
                      <m:sty m:val="p"/>
                    </m:rPr>
                    <m:t>target</m:t>
                  </m:r>
                </m:sub>
              </m:sSub>
            </m:e>
          </m:d>
          <m:r>
            <m:rPr>
              <m:sty m:val="p"/>
            </m:rPr>
            <m:t>≥</m:t>
          </m:r>
          <m:r>
            <m:rPr>
              <m:nor/>
              <m:sty m:val="p"/>
            </m:rPr>
            <m:t>threshold</m:t>
          </m:r>
        </m:oMath>
      </m:oMathPara>
    </w:p>
    <w:p>
      <w:pPr>
        <w:pStyle w:val="FirstParagraph"/>
      </w:pPr>
      <w:r>
        <w:t xml:space="preserve">Example:</w:t>
      </w:r>
    </w:p>
    <w:p>
      <w:pPr>
        <w:pStyle w:val="SourceCode"/>
      </w:pPr>
      <w:r>
        <w:rPr>
          <w:rStyle w:val="VerbatimChar"/>
        </w:rPr>
        <w:t xml:space="preserve">target HDFCBANK weight = 10%</w:t>
      </w:r>
      <w:r>
        <w:br/>
      </w:r>
      <w:r>
        <w:rPr>
          <w:rStyle w:val="VerbatimChar"/>
        </w:rPr>
        <w:t xml:space="preserve">current HDFCBANK weight = 16%</w:t>
      </w:r>
      <w:r>
        <w:br/>
      </w:r>
      <w:r>
        <w:rPr>
          <w:rStyle w:val="VerbatimChar"/>
        </w:rPr>
        <w:t xml:space="preserve">drift = 6%</w:t>
      </w:r>
      <w:r>
        <w:br/>
      </w:r>
      <w:r>
        <w:rPr>
          <w:rStyle w:val="VerbatimChar"/>
        </w:rPr>
        <w:t xml:space="preserve">threshold = 5%</w:t>
      </w:r>
    </w:p>
    <w:p>
      <w:pPr>
        <w:pStyle w:val="FirstParagraph"/>
      </w:pPr>
      <w:r>
        <w:t xml:space="preserve">Since 6% &gt; 5%, rebalance is triggered.</w:t>
      </w:r>
    </w:p>
    <w:bookmarkEnd w:id="105"/>
    <w:bookmarkStart w:id="106" w:name="calendar-or-threshold-rebalancing"/>
    <w:p>
      <w:pPr>
        <w:pStyle w:val="Heading3"/>
      </w:pPr>
      <w:r>
        <w:rPr>
          <w:rStyle w:val="SectionNumber"/>
        </w:rPr>
        <w:t xml:space="preserve">1.18.5</w:t>
      </w:r>
      <w:r>
        <w:tab/>
      </w:r>
      <w:r>
        <w:t xml:space="preserve">18.5 Calendar-or-Threshold Rebalancing</w:t>
      </w:r>
    </w:p>
    <w:p>
      <w:pPr>
        <w:pStyle w:val="FirstParagraph"/>
      </w:pPr>
      <w:r>
        <w:t xml:space="preserve">Rebalance if either condition is satisfied:</w:t>
      </w:r>
    </w:p>
    <w:p>
      <w:pPr>
        <w:pStyle w:val="SourceCode"/>
      </w:pPr>
      <w:r>
        <w:rPr>
          <w:rStyle w:val="VerbatimChar"/>
        </w:rPr>
        <w:t xml:space="preserve">calendar date reached OR threshold breached</w:t>
      </w:r>
    </w:p>
    <w:bookmarkEnd w:id="106"/>
    <w:bookmarkStart w:id="107" w:name="threshold-values"/>
    <w:p>
      <w:pPr>
        <w:pStyle w:val="Heading3"/>
      </w:pPr>
      <w:r>
        <w:rPr>
          <w:rStyle w:val="SectionNumber"/>
        </w:rPr>
        <w:t xml:space="preserve">1.18.6</w:t>
      </w:r>
      <w:r>
        <w:tab/>
      </w:r>
      <w:r>
        <w:t xml:space="preserve">18.6 Threshold Values</w:t>
      </w:r>
    </w:p>
    <w:p>
      <w:pPr>
        <w:pStyle w:val="FirstParagraph"/>
      </w:pPr>
      <w:r>
        <w:t xml:space="preserve">Main tested/default thresholds:</w:t>
      </w:r>
    </w:p>
    <w:p>
      <w:pPr>
        <w:pStyle w:val="SourceCode"/>
      </w:pPr>
      <w:r>
        <w:rPr>
          <w:rStyle w:val="VerbatimChar"/>
        </w:rPr>
        <w:t xml:space="preserve">0.03, 0.05, 0.10</w:t>
      </w:r>
    </w:p>
    <w:p>
      <w:pPr>
        <w:pStyle w:val="FirstParagraph"/>
      </w:pPr>
      <w:r>
        <w:t xml:space="preserve">Dashboard slider allows values up to:</w:t>
      </w:r>
    </w:p>
    <w:p>
      <w:pPr>
        <w:pStyle w:val="SourceCode"/>
      </w:pPr>
      <w:r>
        <w:rPr>
          <w:rStyle w:val="VerbatimChar"/>
        </w:rPr>
        <w:t xml:space="preserve">0.20</w:t>
      </w:r>
    </w:p>
    <w:bookmarkEnd w:id="107"/>
    <w:bookmarkStart w:id="108" w:name="important-patch-target-update-vs-trigger"/>
    <w:p>
      <w:pPr>
        <w:pStyle w:val="Heading3"/>
      </w:pPr>
      <w:r>
        <w:rPr>
          <w:rStyle w:val="SectionNumber"/>
        </w:rPr>
        <w:t xml:space="preserve">1.18.7</w:t>
      </w:r>
      <w:r>
        <w:tab/>
      </w:r>
      <w:r>
        <w:t xml:space="preserve">18.7 Important Patch: Target Update vs Trigger</w:t>
      </w:r>
    </w:p>
    <w:p>
      <w:pPr>
        <w:pStyle w:val="FirstParagraph"/>
      </w:pPr>
      <w:r>
        <w:t xml:space="preserve">Earlier, threshold rebalancing could mix two effects:</w:t>
      </w:r>
    </w:p>
    <w:p>
      <w:pPr>
        <w:pStyle w:val="Compact"/>
        <w:numPr>
          <w:ilvl w:val="0"/>
          <w:numId w:val="1026"/>
        </w:numPr>
      </w:pPr>
      <w:r>
        <w:t xml:space="preserve">natural weight drift due to returns, and</w:t>
      </w:r>
    </w:p>
    <w:p>
      <w:pPr>
        <w:pStyle w:val="Compact"/>
        <w:numPr>
          <w:ilvl w:val="0"/>
          <w:numId w:val="1026"/>
        </w:numPr>
      </w:pPr>
      <w:r>
        <w:t xml:space="preserve">optimizer target changes.</w:t>
      </w:r>
    </w:p>
    <w:p>
      <w:pPr>
        <w:pStyle w:val="FirstParagraph"/>
      </w:pPr>
      <w:r>
        <w:t xml:space="preserve">The current design separates:</w:t>
      </w:r>
    </w:p>
    <w:p>
      <w:pPr>
        <w:pStyle w:val="SourceCode"/>
      </w:pPr>
      <w:r>
        <w:rPr>
          <w:rStyle w:val="VerbatimChar"/>
        </w:rPr>
        <w:t xml:space="preserve">target_update_frequency = monthly</w:t>
      </w:r>
      <w:r>
        <w:br/>
      </w:r>
      <w:r>
        <w:rPr>
          <w:rStyle w:val="VerbatimChar"/>
        </w:rPr>
        <w:t xml:space="preserve">rebalance_trigger = calendar / threshold / calendar_or_threshold</w:t>
      </w:r>
    </w:p>
    <w:p>
      <w:pPr>
        <w:pStyle w:val="FirstParagraph"/>
      </w:pPr>
      <w:r>
        <w:t xml:space="preserve">This makes threshold rebalancing more interpretable.</w:t>
      </w:r>
    </w:p>
    <w:p>
      <w:r>
        <w:pict>
          <v:rect style="width:0;height:1.5pt" o:hralign="center" o:hrstd="t" o:hr="t"/>
        </w:pict>
      </w:r>
    </w:p>
    <w:bookmarkEnd w:id="108"/>
    <w:bookmarkEnd w:id="109"/>
    <w:bookmarkStart w:id="113" w:name="stage-9-turnover-and-transaction-costs"/>
    <w:p>
      <w:pPr>
        <w:pStyle w:val="Heading2"/>
      </w:pPr>
      <w:r>
        <w:rPr>
          <w:rStyle w:val="SectionNumber"/>
        </w:rPr>
        <w:t xml:space="preserve">1.19</w:t>
      </w:r>
      <w:r>
        <w:tab/>
      </w:r>
      <w:r>
        <w:t xml:space="preserve">19. Stage 9 — Turnover and Transaction Costs</w:t>
      </w:r>
    </w:p>
    <w:bookmarkStart w:id="110" w:name="turnover"/>
    <w:p>
      <w:pPr>
        <w:pStyle w:val="Heading3"/>
      </w:pPr>
      <w:r>
        <w:rPr>
          <w:rStyle w:val="SectionNumber"/>
        </w:rPr>
        <w:t xml:space="preserve">1.19.1</w:t>
      </w:r>
      <w:r>
        <w:tab/>
      </w:r>
      <w:r>
        <w:t xml:space="preserve">19.1 Turnover</w:t>
      </w:r>
    </w:p>
    <w:p>
      <w:pPr>
        <w:pStyle w:val="FirstParagraph"/>
      </w:pPr>
      <w:r>
        <w:t xml:space="preserve">Turnover measures how much of the portfolio is traded during rebalancing.</w:t>
      </w:r>
    </w:p>
    <w:p>
      <w:pPr>
        <w:pStyle w:val="BodyText"/>
      </w:pPr>
      <w:r>
        <w:t xml:space="preserve">Formula:</w:t>
      </w:r>
    </w:p>
    <w:p>
      <w:pPr>
        <w:pStyle w:val="BodyText"/>
      </w:pPr>
      <m:oMathPara>
        <m:oMathParaPr>
          <m:jc m:val="center"/>
        </m:oMathParaPr>
        <m:oMath>
          <m:r>
            <m:rPr>
              <m:nor/>
              <m:sty m:val="p"/>
            </m:rPr>
            <m:t>turnover</m:t>
          </m:r>
          <m:r>
            <m:rPr>
              <m:sty m:val="p"/>
            </m:rPr>
            <m:t>=</m:t>
          </m:r>
          <m:f>
            <m:fPr>
              <m:type m:val="bar"/>
            </m:fPr>
            <m:num>
              <m:r>
                <m:t>1</m:t>
              </m:r>
            </m:num>
            <m:den>
              <m:r>
                <m:t>2</m:t>
              </m:r>
            </m:den>
          </m:f>
          <m:nary>
            <m:naryPr>
              <m:chr m:val="∑"/>
              <m:limLoc m:val="undOvr"/>
              <m:subHide m:val="off"/>
              <m:supHide m:val="on"/>
            </m:naryPr>
            <m:sub>
              <m:r>
                <m:t>i</m:t>
              </m:r>
            </m:sub>
            <m:sup>
              <m:r>
                <m:t>​</m:t>
              </m:r>
            </m:sup>
            <m:e>
              <m:d>
                <m:dPr>
                  <m:begChr m:val="|"/>
                  <m:endChr m:val="|"/>
                  <m:sepChr m:val=""/>
                  <m:grow/>
                </m:dPr>
                <m:e>
                  <m:sSub>
                    <m:e>
                      <m:r>
                        <m:t>w</m:t>
                      </m:r>
                    </m:e>
                    <m:sub>
                      <m:r>
                        <m:t>i</m:t>
                      </m:r>
                      <m:r>
                        <m:rPr>
                          <m:sty m:val="p"/>
                        </m:rPr>
                        <m:t>,</m:t>
                      </m:r>
                      <m:r>
                        <m:rPr>
                          <m:nor/>
                          <m:sty m:val="p"/>
                        </m:rPr>
                        <m:t>target</m:t>
                      </m:r>
                    </m:sub>
                  </m:sSub>
                  <m:r>
                    <m:rPr>
                      <m:sty m:val="p"/>
                    </m:rPr>
                    <m:t>−</m:t>
                  </m:r>
                  <m:sSub>
                    <m:e>
                      <m:r>
                        <m:t>w</m:t>
                      </m:r>
                    </m:e>
                    <m:sub>
                      <m:r>
                        <m:t>i</m:t>
                      </m:r>
                      <m:r>
                        <m:rPr>
                          <m:sty m:val="p"/>
                        </m:rPr>
                        <m:t>,</m:t>
                      </m:r>
                      <m:r>
                        <m:rPr>
                          <m:nor/>
                          <m:sty m:val="p"/>
                        </m:rPr>
                        <m:t>current</m:t>
                      </m:r>
                    </m:sub>
                  </m:sSub>
                </m:e>
              </m:d>
            </m:e>
          </m:nary>
        </m:oMath>
      </m:oMathPara>
    </w:p>
    <w:p>
      <w:pPr>
        <w:pStyle w:val="FirstParagraph"/>
      </w:pPr>
      <w:r>
        <w:t xml:space="preserve">Why multiply by 0.5?</w:t>
      </w:r>
    </w:p>
    <w:p>
      <w:pPr>
        <w:pStyle w:val="BodyText"/>
      </w:pPr>
      <w:r>
        <w:t xml:space="preserve">Because buying one asset usually means selling another. Without 0.5, the same reallocation can be double-counted.</w:t>
      </w:r>
    </w:p>
    <w:p>
      <w:pPr>
        <w:pStyle w:val="BodyText"/>
      </w:pPr>
      <w:r>
        <w:t xml:space="preserve">Example:</w:t>
      </w:r>
    </w:p>
    <w:p>
      <w:pPr>
        <w:pStyle w:val="BodyText"/>
      </w:pPr>
      <w:r>
        <w:t xml:space="preserve">Current weights:</w:t>
      </w:r>
    </w:p>
    <w:p>
      <w:pPr>
        <w:pStyle w:val="SourceCode"/>
      </w:pPr>
      <w:r>
        <w:rPr>
          <w:rStyle w:val="VerbatimChar"/>
        </w:rPr>
        <w:t xml:space="preserve">A = 60%, B = 40%</w:t>
      </w:r>
    </w:p>
    <w:p>
      <w:pPr>
        <w:pStyle w:val="FirstParagraph"/>
      </w:pPr>
      <w:r>
        <w:t xml:space="preserve">Target weights:</w:t>
      </w:r>
    </w:p>
    <w:p>
      <w:pPr>
        <w:pStyle w:val="SourceCode"/>
      </w:pPr>
      <w:r>
        <w:rPr>
          <w:rStyle w:val="VerbatimChar"/>
        </w:rPr>
        <w:t xml:space="preserve">A = 50%, B = 50%</w:t>
      </w:r>
    </w:p>
    <w:p>
      <w:pPr>
        <w:pStyle w:val="FirstParagraph"/>
      </w:pPr>
      <w:r>
        <w:t xml:space="preserve">Absolute differences:</w:t>
      </w:r>
    </w:p>
    <w:p>
      <w:pPr>
        <w:pStyle w:val="SourceCode"/>
      </w:pPr>
      <w:r>
        <w:rPr>
          <w:rStyle w:val="VerbatimChar"/>
        </w:rPr>
        <w:t xml:space="preserve">A = 10%, B = 10%</w:t>
      </w:r>
      <w:r>
        <w:br/>
      </w:r>
      <w:r>
        <w:rPr>
          <w:rStyle w:val="VerbatimChar"/>
        </w:rPr>
        <w:t xml:space="preserve">Sum = 20%</w:t>
      </w:r>
      <w:r>
        <w:br/>
      </w:r>
      <w:r>
        <w:rPr>
          <w:rStyle w:val="VerbatimChar"/>
        </w:rPr>
        <w:t xml:space="preserve">Turnover = 0.5 * 20% = 10%</w:t>
      </w:r>
    </w:p>
    <w:bookmarkEnd w:id="110"/>
    <w:bookmarkStart w:id="111" w:name="transaction-cost"/>
    <w:p>
      <w:pPr>
        <w:pStyle w:val="Heading3"/>
      </w:pPr>
      <w:r>
        <w:rPr>
          <w:rStyle w:val="SectionNumber"/>
        </w:rPr>
        <w:t xml:space="preserve">1.19.2</w:t>
      </w:r>
      <w:r>
        <w:tab/>
      </w:r>
      <w:r>
        <w:t xml:space="preserve">19.2 Transaction Cost</w:t>
      </w:r>
    </w:p>
    <w:p>
      <w:pPr>
        <w:pStyle w:val="FirstParagraph"/>
      </w:pPr>
      <w:r>
        <w:t xml:space="preserve">Default cost assumptions:</w:t>
      </w:r>
    </w:p>
    <w:p>
      <w:pPr>
        <w:pStyle w:val="SourceCode"/>
      </w:pPr>
      <w:r>
        <w:rPr>
          <w:rStyle w:val="VerbatimChar"/>
        </w:rPr>
        <w:t xml:space="preserve">base cost = 10 bps</w:t>
      </w:r>
      <w:r>
        <w:br/>
      </w:r>
      <w:r>
        <w:rPr>
          <w:rStyle w:val="VerbatimChar"/>
        </w:rPr>
        <w:t xml:space="preserve">slippage = 5 bps</w:t>
      </w:r>
      <w:r>
        <w:br/>
      </w:r>
      <w:r>
        <w:rPr>
          <w:rStyle w:val="VerbatimChar"/>
        </w:rPr>
        <w:t xml:space="preserve">total = 15 bps</w:t>
      </w:r>
    </w:p>
    <w:p>
      <w:pPr>
        <w:pStyle w:val="FirstParagraph"/>
      </w:pPr>
      <w:r>
        <w:t xml:space="preserve">Conversion:</w:t>
      </w:r>
    </w:p>
    <w:p>
      <w:pPr>
        <w:pStyle w:val="SourceCode"/>
      </w:pPr>
      <w:r>
        <w:rPr>
          <w:rStyle w:val="VerbatimChar"/>
        </w:rPr>
        <w:t xml:space="preserve">1 bps = 0.01%</w:t>
      </w:r>
      <w:r>
        <w:br/>
      </w:r>
      <w:r>
        <w:rPr>
          <w:rStyle w:val="VerbatimChar"/>
        </w:rPr>
        <w:t xml:space="preserve">15 bps = 0.15% = 0.0015</w:t>
      </w:r>
    </w:p>
    <w:p>
      <w:pPr>
        <w:pStyle w:val="FirstParagraph"/>
      </w:pPr>
      <w:r>
        <w:t xml:space="preserve">Formula:</w:t>
      </w:r>
    </w:p>
    <w:p>
      <w:pPr>
        <w:pStyle w:val="BodyText"/>
      </w:pPr>
      <m:oMathPara>
        <m:oMathParaPr>
          <m:jc m:val="center"/>
        </m:oMathParaPr>
        <m:oMath>
          <m:r>
            <m:rPr>
              <m:nor/>
              <m:sty m:val="p"/>
            </m:rPr>
            <m:t>cost rate</m:t>
          </m:r>
          <m:r>
            <m:rPr>
              <m:sty m:val="p"/>
            </m:rPr>
            <m:t>=</m:t>
          </m:r>
          <m:f>
            <m:fPr>
              <m:type m:val="bar"/>
            </m:fPr>
            <m:num>
              <m:r>
                <m:rPr>
                  <m:nor/>
                  <m:sty m:val="p"/>
                </m:rPr>
                <m:t>base bps</m:t>
              </m:r>
              <m:r>
                <m:rPr>
                  <m:sty m:val="p"/>
                </m:rPr>
                <m:t>+</m:t>
              </m:r>
              <m:r>
                <m:rPr>
                  <m:nor/>
                  <m:sty m:val="p"/>
                </m:rPr>
                <m:t>slippage bps</m:t>
              </m:r>
            </m:num>
            <m:den>
              <m:r>
                <m:t>10000</m:t>
              </m:r>
            </m:den>
          </m:f>
        </m:oMath>
      </m:oMathPara>
    </w:p>
    <w:p>
      <w:pPr>
        <w:pStyle w:val="FirstParagraph"/>
      </w:pPr>
      <m:oMathPara>
        <m:oMathParaPr>
          <m:jc m:val="center"/>
        </m:oMathParaPr>
        <m:oMath>
          <m:r>
            <m:rPr>
              <m:nor/>
              <m:sty m:val="p"/>
            </m:rPr>
            <m:t>transaction cost</m:t>
          </m:r>
          <m:r>
            <m:rPr>
              <m:sty m:val="p"/>
            </m:rPr>
            <m:t>=</m:t>
          </m:r>
          <m:r>
            <m:rPr>
              <m:nor/>
              <m:sty m:val="p"/>
            </m:rPr>
            <m:t>turnover</m:t>
          </m:r>
          <m:r>
            <m:rPr>
              <m:sty m:val="p"/>
            </m:rPr>
            <m:t>×</m:t>
          </m:r>
          <m:r>
            <m:rPr>
              <m:nor/>
              <m:sty m:val="p"/>
            </m:rPr>
            <m:t>portfolio value</m:t>
          </m:r>
          <m:r>
            <m:rPr>
              <m:sty m:val="p"/>
            </m:rPr>
            <m:t>×</m:t>
          </m:r>
          <m:r>
            <m:rPr>
              <m:nor/>
              <m:sty m:val="p"/>
            </m:rPr>
            <m:t>cost rate</m:t>
          </m:r>
        </m:oMath>
      </m:oMathPara>
    </w:p>
    <w:p>
      <w:pPr>
        <w:pStyle w:val="FirstParagraph"/>
      </w:pPr>
      <w:r>
        <w:t xml:space="preserve">Example:</w:t>
      </w:r>
    </w:p>
    <w:p>
      <w:pPr>
        <w:pStyle w:val="SourceCode"/>
      </w:pPr>
      <w:r>
        <w:rPr>
          <w:rStyle w:val="VerbatimChar"/>
        </w:rPr>
        <w:t xml:space="preserve">portfolio value = ₹10,00,000</w:t>
      </w:r>
      <w:r>
        <w:br/>
      </w:r>
      <w:r>
        <w:rPr>
          <w:rStyle w:val="VerbatimChar"/>
        </w:rPr>
        <w:t xml:space="preserve">turnover = 10% = 0.10</w:t>
      </w:r>
      <w:r>
        <w:br/>
      </w:r>
      <w:r>
        <w:rPr>
          <w:rStyle w:val="VerbatimChar"/>
        </w:rPr>
        <w:t xml:space="preserve">cost rate = 15 bps = 0.0015</w:t>
      </w:r>
      <w:r>
        <w:br/>
      </w:r>
      <w:r>
        <w:rPr>
          <w:rStyle w:val="VerbatimChar"/>
        </w:rPr>
        <w:t xml:space="preserve">transaction cost = 0.10 * 10,00,000 * 0.0015 = ₹150</w:t>
      </w:r>
    </w:p>
    <w:bookmarkEnd w:id="111"/>
    <w:bookmarkStart w:id="112" w:name="gross-vs-net-portfolio-value"/>
    <w:p>
      <w:pPr>
        <w:pStyle w:val="Heading3"/>
      </w:pPr>
      <w:r>
        <w:rPr>
          <w:rStyle w:val="SectionNumber"/>
        </w:rPr>
        <w:t xml:space="preserve">1.19.3</w:t>
      </w:r>
      <w:r>
        <w:tab/>
      </w:r>
      <w:r>
        <w:t xml:space="preserve">19.3 Gross vs Net Portfolio Value</w:t>
      </w:r>
    </w:p>
    <w:p>
      <w:pPr>
        <w:pStyle w:val="FirstParagraph"/>
      </w:pPr>
      <w:r>
        <w:t xml:space="preserve">The backtester tracks both:</w:t>
      </w:r>
    </w:p>
    <w:p>
      <w:pPr>
        <w:pStyle w:val="SourceCode"/>
      </w:pPr>
      <w:r>
        <w:rPr>
          <w:rStyle w:val="VerbatimChar"/>
        </w:rPr>
        <w:t xml:space="preserve">gross portfolio value = before transaction costs</w:t>
      </w:r>
      <w:r>
        <w:br/>
      </w:r>
      <w:r>
        <w:rPr>
          <w:rStyle w:val="VerbatimChar"/>
        </w:rPr>
        <w:t xml:space="preserve">net portfolio value   = after transaction costs</w:t>
      </w:r>
    </w:p>
    <w:p>
      <w:pPr>
        <w:pStyle w:val="FirstParagraph"/>
      </w:pPr>
      <w:r>
        <w:t xml:space="preserve">Important precision:</w:t>
      </w:r>
    </w:p>
    <w:p>
      <w:pPr>
        <w:pStyle w:val="BodyText"/>
      </w:pPr>
      <w:r>
        <w:t xml:space="preserve">Transaction costs reduce net portfolio value/final value. However, return-stream metrics are not fully cost-adjusted daily returns in every part of the code. So while final value and cost diagnostics reflect costs, be careful when interpreting every metric as fully net-of-cost daily performance.</w:t>
      </w:r>
    </w:p>
    <w:p>
      <w:pPr>
        <w:pStyle w:val="BodyText"/>
      </w:pPr>
      <w:r>
        <w:t xml:space="preserve">Correct statement:</w:t>
      </w:r>
    </w:p>
    <w:p>
      <w:pPr>
        <w:pStyle w:val="BlockText"/>
      </w:pPr>
      <w:r>
        <w:t xml:space="preserve">The system tracks gross and net values, and transaction costs reduce net portfolio value. Cost diagnostics are included, but return-stream metrics should be interpreted carefully because they are not always fully reconstructed as daily net returns.</w:t>
      </w:r>
    </w:p>
    <w:p>
      <w:r>
        <w:pict>
          <v:rect style="width:0;height:1.5pt" o:hralign="center" o:hrstd="t" o:hr="t"/>
        </w:pict>
      </w:r>
    </w:p>
    <w:bookmarkEnd w:id="112"/>
    <w:bookmarkEnd w:id="113"/>
    <w:bookmarkStart w:id="122" w:name="stage-10-performance-metrics"/>
    <w:p>
      <w:pPr>
        <w:pStyle w:val="Heading2"/>
      </w:pPr>
      <w:r>
        <w:rPr>
          <w:rStyle w:val="SectionNumber"/>
        </w:rPr>
        <w:t xml:space="preserve">1.20</w:t>
      </w:r>
      <w:r>
        <w:tab/>
      </w:r>
      <w:r>
        <w:t xml:space="preserve">20. Stage 10 — Performance Metrics</w:t>
      </w:r>
    </w:p>
    <w:bookmarkStart w:id="114" w:name="cumulative-return"/>
    <w:p>
      <w:pPr>
        <w:pStyle w:val="Heading3"/>
      </w:pPr>
      <w:r>
        <w:rPr>
          <w:rStyle w:val="SectionNumber"/>
        </w:rPr>
        <w:t xml:space="preserve">1.20.1</w:t>
      </w:r>
      <w:r>
        <w:tab/>
      </w:r>
      <w:r>
        <w:t xml:space="preserve">20.1 Cumulative Return</w:t>
      </w:r>
    </w:p>
    <w:p>
      <w:pPr>
        <w:pStyle w:val="FirstParagraph"/>
      </w:pPr>
      <w:r>
        <w:t xml:space="preserve">Formula:</w:t>
      </w:r>
    </w:p>
    <w:p>
      <w:pPr>
        <w:pStyle w:val="BodyText"/>
      </w:pPr>
      <m:oMathPara>
        <m:oMathParaPr>
          <m:jc m:val="center"/>
        </m:oMathParaPr>
        <m:oMath>
          <m:r>
            <m:rPr>
              <m:nor/>
              <m:sty m:val="p"/>
            </m:rPr>
            <m:t>cumulative return</m:t>
          </m:r>
          <m:r>
            <m:rPr>
              <m:sty m:val="p"/>
            </m:rPr>
            <m:t>=</m:t>
          </m:r>
          <m:nary>
            <m:naryPr>
              <m:chr m:val="∏"/>
              <m:limLoc m:val="undOvr"/>
              <m:subHide m:val="off"/>
              <m:supHide m:val="on"/>
            </m:naryPr>
            <m:sub>
              <m:r>
                <m:t>t</m:t>
              </m:r>
            </m:sub>
            <m:sup>
              <m:r>
                <m:t>​</m:t>
              </m:r>
            </m:sup>
            <m:e>
              <m:d>
                <m:dPr>
                  <m:begChr m:val="("/>
                  <m:endChr m:val=")"/>
                  <m:sepChr m:val=""/>
                  <m:grow/>
                </m:dPr>
                <m:e>
                  <m:r>
                    <m:t>1</m:t>
                  </m:r>
                  <m:r>
                    <m:rPr>
                      <m:sty m:val="p"/>
                    </m:rPr>
                    <m:t>+</m:t>
                  </m:r>
                  <m:sSub>
                    <m:e>
                      <m:r>
                        <m:t>r</m:t>
                      </m:r>
                    </m:e>
                    <m:sub>
                      <m:r>
                        <m:t>t</m:t>
                      </m:r>
                    </m:sub>
                  </m:sSub>
                </m:e>
              </m:d>
            </m:e>
          </m:nary>
          <m:r>
            <m:rPr>
              <m:sty m:val="p"/>
            </m:rPr>
            <m:t>−</m:t>
          </m:r>
          <m:r>
            <m:t>1</m:t>
          </m:r>
        </m:oMath>
      </m:oMathPara>
    </w:p>
    <w:p>
      <w:pPr>
        <w:pStyle w:val="FirstParagraph"/>
      </w:pPr>
      <w:r>
        <w:t xml:space="preserve">Example:</w:t>
      </w:r>
    </w:p>
    <w:p>
      <w:pPr>
        <w:pStyle w:val="BodyText"/>
      </w:pPr>
      <w:r>
        <w:t xml:space="preserve">Returns:</w:t>
      </w:r>
    </w:p>
    <w:p>
      <w:pPr>
        <w:pStyle w:val="SourceCode"/>
      </w:pPr>
      <w:r>
        <w:rPr>
          <w:rStyle w:val="VerbatimChar"/>
        </w:rPr>
        <w:t xml:space="preserve">10%, -5%, 8%</w:t>
      </w:r>
    </w:p>
    <w:p>
      <w:pPr>
        <w:pStyle w:val="FirstParagraph"/>
      </w:pPr>
      <w:r>
        <w:t xml:space="preserve">Cumulative return:</w:t>
      </w:r>
    </w:p>
    <w:p>
      <w:pPr>
        <w:pStyle w:val="SourceCode"/>
      </w:pPr>
      <w:r>
        <w:rPr>
          <w:rStyle w:val="VerbatimChar"/>
        </w:rPr>
        <w:t xml:space="preserve">(1.10 * 0.95 * 1.08) - 1 = 0.1286 = 12.86%</w:t>
      </w:r>
    </w:p>
    <w:bookmarkEnd w:id="114"/>
    <w:bookmarkStart w:id="115" w:name="cagr"/>
    <w:p>
      <w:pPr>
        <w:pStyle w:val="Heading3"/>
      </w:pPr>
      <w:r>
        <w:rPr>
          <w:rStyle w:val="SectionNumber"/>
        </w:rPr>
        <w:t xml:space="preserve">1.20.2</w:t>
      </w:r>
      <w:r>
        <w:tab/>
      </w:r>
      <w:r>
        <w:t xml:space="preserve">20.2 CAGR</w:t>
      </w:r>
    </w:p>
    <w:p>
      <w:pPr>
        <w:pStyle w:val="FirstParagraph"/>
      </w:pPr>
      <w:r>
        <w:t xml:space="preserve">CAGR means Compound Annual Growth Rate.</w:t>
      </w:r>
    </w:p>
    <w:p>
      <w:pPr>
        <w:pStyle w:val="BodyText"/>
      </w:pPr>
      <w:r>
        <w:t xml:space="preserve">Formula:</w:t>
      </w:r>
    </w:p>
    <w:p>
      <w:pPr>
        <w:pStyle w:val="BodyText"/>
      </w:pPr>
      <m:oMathPara>
        <m:oMathParaPr>
          <m:jc m:val="center"/>
        </m:oMathParaPr>
        <m:oMath>
          <m:r>
            <m:rPr>
              <m:nor/>
              <m:sty m:val="p"/>
            </m:rPr>
            <m:t>CAGR</m:t>
          </m:r>
          <m:r>
            <m:rPr>
              <m:sty m:val="p"/>
            </m:rPr>
            <m:t>=</m:t>
          </m:r>
          <m:sSup>
            <m:e>
              <m:d>
                <m:dPr>
                  <m:begChr m:val="("/>
                  <m:endChr m:val=")"/>
                  <m:sepChr m:val=""/>
                  <m:grow/>
                </m:dPr>
                <m:e>
                  <m:f>
                    <m:fPr>
                      <m:type m:val="bar"/>
                    </m:fPr>
                    <m:num>
                      <m:r>
                        <m:rPr>
                          <m:nor/>
                          <m:sty m:val="p"/>
                        </m:rPr>
                        <m:t>final value</m:t>
                      </m:r>
                    </m:num>
                    <m:den>
                      <m:r>
                        <m:rPr>
                          <m:nor/>
                          <m:sty m:val="p"/>
                        </m:rPr>
                        <m:t>initial value</m:t>
                      </m:r>
                    </m:den>
                  </m:f>
                </m:e>
              </m:d>
            </m:e>
            <m:sup>
              <m:r>
                <m:t>1</m:t>
              </m:r>
              <m:r>
                <m:rPr>
                  <m:sty m:val="p"/>
                </m:rPr>
                <m:t>/</m:t>
              </m:r>
              <m:r>
                <m:rPr>
                  <m:nor/>
                  <m:sty m:val="p"/>
                </m:rPr>
                <m:t>years</m:t>
              </m:r>
            </m:sup>
          </m:sSup>
          <m:r>
            <m:rPr>
              <m:sty m:val="p"/>
            </m:rPr>
            <m:t>−</m:t>
          </m:r>
          <m:r>
            <m:t>1</m:t>
          </m:r>
        </m:oMath>
      </m:oMathPara>
    </w:p>
    <w:p>
      <w:pPr>
        <w:pStyle w:val="FirstParagraph"/>
      </w:pPr>
      <w:r>
        <w:t xml:space="preserve">Code-style daily formula:</w:t>
      </w:r>
    </w:p>
    <w:p>
      <w:pPr>
        <w:pStyle w:val="BodyText"/>
      </w:pPr>
      <m:oMathPara>
        <m:oMathParaPr>
          <m:jc m:val="center"/>
        </m:oMathParaPr>
        <m:oMath>
          <m:r>
            <m:rPr>
              <m:nor/>
              <m:sty m:val="p"/>
            </m:rPr>
            <m:t>CAGR</m:t>
          </m:r>
          <m:r>
            <m:rPr>
              <m:sty m:val="p"/>
            </m:rPr>
            <m:t>=</m:t>
          </m:r>
          <m:sSup>
            <m:e>
              <m:d>
                <m:dPr>
                  <m:begChr m:val="("/>
                  <m:endChr m:val=")"/>
                  <m:sepChr m:val=""/>
                  <m:grow/>
                </m:dPr>
                <m:e>
                  <m:nary>
                    <m:naryPr>
                      <m:chr m:val="∏"/>
                      <m:limLoc m:val="undOvr"/>
                      <m:subHide m:val="off"/>
                      <m:supHide m:val="off"/>
                    </m:naryPr>
                    <m:sub>
                      <m:r>
                        <m:t>t</m:t>
                      </m:r>
                      <m:r>
                        <m:rPr>
                          <m:sty m:val="p"/>
                        </m:rPr>
                        <m:t>=</m:t>
                      </m:r>
                      <m:r>
                        <m:t>1</m:t>
                      </m:r>
                    </m:sub>
                    <m:sup>
                      <m:r>
                        <m:t>n</m:t>
                      </m:r>
                    </m:sup>
                    <m:e>
                      <m:d>
                        <m:dPr>
                          <m:begChr m:val="("/>
                          <m:endChr m:val=")"/>
                          <m:sepChr m:val=""/>
                          <m:grow/>
                        </m:dPr>
                        <m:e>
                          <m:r>
                            <m:t>1</m:t>
                          </m:r>
                          <m:r>
                            <m:rPr>
                              <m:sty m:val="p"/>
                            </m:rPr>
                            <m:t>+</m:t>
                          </m:r>
                          <m:sSub>
                            <m:e>
                              <m:r>
                                <m:t>r</m:t>
                              </m:r>
                            </m:e>
                            <m:sub>
                              <m:r>
                                <m:t>t</m:t>
                              </m:r>
                            </m:sub>
                          </m:sSub>
                        </m:e>
                      </m:d>
                    </m:e>
                  </m:nary>
                </m:e>
              </m:d>
            </m:e>
            <m:sup>
              <m:r>
                <m:t>252</m:t>
              </m:r>
              <m:r>
                <m:rPr>
                  <m:sty m:val="p"/>
                </m:rPr>
                <m:t>/</m:t>
              </m:r>
              <m:r>
                <m:t>n</m:t>
              </m:r>
            </m:sup>
          </m:sSup>
          <m:r>
            <m:rPr>
              <m:sty m:val="p"/>
            </m:rPr>
            <m:t>−</m:t>
          </m:r>
          <m:r>
            <m:t>1</m:t>
          </m:r>
        </m:oMath>
      </m:oMathPara>
    </w:p>
    <w:p>
      <w:pPr>
        <w:pStyle w:val="FirstParagraph"/>
      </w:pPr>
      <w:r>
        <w:t xml:space="preserve">Interpretation:</w:t>
      </w:r>
    </w:p>
    <w:p>
      <w:pPr>
        <w:pStyle w:val="BodyText"/>
      </w:pPr>
      <w:r>
        <w:t xml:space="preserve">CAGR answers:</w:t>
      </w:r>
    </w:p>
    <w:p>
      <w:pPr>
        <w:pStyle w:val="SourceCode"/>
      </w:pPr>
      <w:r>
        <w:rPr>
          <w:rStyle w:val="VerbatimChar"/>
        </w:rPr>
        <w:t xml:space="preserve">What annual growth rate would produce the same final value?</w:t>
      </w:r>
    </w:p>
    <w:bookmarkEnd w:id="115"/>
    <w:bookmarkStart w:id="116" w:name="annualized-volatility-1"/>
    <w:p>
      <w:pPr>
        <w:pStyle w:val="Heading3"/>
      </w:pPr>
      <w:r>
        <w:rPr>
          <w:rStyle w:val="SectionNumber"/>
        </w:rPr>
        <w:t xml:space="preserve">1.20.3</w:t>
      </w:r>
      <w:r>
        <w:tab/>
      </w:r>
      <w:r>
        <w:t xml:space="preserve">20.3 Annualized Volatility</w:t>
      </w:r>
    </w:p>
    <w:p>
      <w:pPr>
        <w:pStyle w:val="SourceCode"/>
      </w:pPr>
      <w:r>
        <w:rPr>
          <w:rStyle w:val="VerbatimChar"/>
        </w:rPr>
        <w:t xml:space="preserve">annualized_volatility = std(r_t) * sqrt(252)</w:t>
      </w:r>
    </w:p>
    <w:p>
      <w:pPr>
        <w:pStyle w:val="FirstParagraph"/>
      </w:pPr>
      <w:r>
        <w:t xml:space="preserve">Interpretation:</w:t>
      </w:r>
    </w:p>
    <w:p>
      <w:pPr>
        <w:pStyle w:val="BodyText"/>
      </w:pPr>
      <w:r>
        <w:t xml:space="preserve">Higher volatility means greater fluctuation in portfolio returns.</w:t>
      </w:r>
    </w:p>
    <w:bookmarkEnd w:id="116"/>
    <w:bookmarkStart w:id="117" w:name="sharpe-ratio-1"/>
    <w:p>
      <w:pPr>
        <w:pStyle w:val="Heading3"/>
      </w:pPr>
      <w:r>
        <w:rPr>
          <w:rStyle w:val="SectionNumber"/>
        </w:rPr>
        <w:t xml:space="preserve">1.20.4</w:t>
      </w:r>
      <w:r>
        <w:tab/>
      </w:r>
      <w:r>
        <w:t xml:space="preserve">20.4 Sharpe Ratio</w:t>
      </w:r>
    </w:p>
    <w:p>
      <w:pPr>
        <w:pStyle w:val="FirstParagraph"/>
      </w:pPr>
      <m:oMathPara>
        <m:oMathParaPr>
          <m:jc m:val="center"/>
        </m:oMathParaPr>
        <m:oMath>
          <m:r>
            <m:rPr>
              <m:nor/>
              <m:sty m:val="p"/>
            </m:rPr>
            <m:t>Sharpe</m:t>
          </m:r>
          <m:r>
            <m:rPr>
              <m:sty m:val="p"/>
            </m:rPr>
            <m:t>=</m:t>
          </m:r>
          <m:f>
            <m:fPr>
              <m:type m:val="bar"/>
            </m:fPr>
            <m:num>
              <m:r>
                <m:rPr>
                  <m:sty m:val="p"/>
                </m:rPr>
                <m:t>mean</m:t>
              </m:r>
              <m:d>
                <m:dPr>
                  <m:begChr m:val="("/>
                  <m:endChr m:val=")"/>
                  <m:sepChr m:val=""/>
                  <m:grow/>
                </m:dPr>
                <m:e>
                  <m:sSub>
                    <m:e>
                      <m:r>
                        <m:t>r</m:t>
                      </m:r>
                    </m:e>
                    <m:sub>
                      <m:r>
                        <m:t>t</m:t>
                      </m:r>
                    </m:sub>
                  </m:sSub>
                  <m:r>
                    <m:rPr>
                      <m:sty m:val="p"/>
                    </m:rPr>
                    <m:t>−</m:t>
                  </m:r>
                  <m:sSub>
                    <m:e>
                      <m:r>
                        <m:t>r</m:t>
                      </m:r>
                    </m:e>
                    <m:sub>
                      <m:r>
                        <m:t>f</m:t>
                      </m:r>
                    </m:sub>
                  </m:sSub>
                  <m:r>
                    <m:rPr>
                      <m:sty m:val="p"/>
                    </m:rPr>
                    <m:t>/</m:t>
                  </m:r>
                  <m:r>
                    <m:t>252</m:t>
                  </m:r>
                </m:e>
              </m:d>
            </m:num>
            <m:den>
              <m:r>
                <m:rPr>
                  <m:sty m:val="p"/>
                </m:rPr>
                <m:t>std</m:t>
              </m:r>
              <m:d>
                <m:dPr>
                  <m:begChr m:val="("/>
                  <m:endChr m:val=")"/>
                  <m:sepChr m:val=""/>
                  <m:grow/>
                </m:dPr>
                <m:e>
                  <m:sSub>
                    <m:e>
                      <m:r>
                        <m:t>r</m:t>
                      </m:r>
                    </m:e>
                    <m:sub>
                      <m:r>
                        <m:t>t</m:t>
                      </m:r>
                    </m:sub>
                  </m:sSub>
                  <m:r>
                    <m:rPr>
                      <m:sty m:val="p"/>
                    </m:rPr>
                    <m:t>−</m:t>
                  </m:r>
                  <m:sSub>
                    <m:e>
                      <m:r>
                        <m:t>r</m:t>
                      </m:r>
                    </m:e>
                    <m:sub>
                      <m:r>
                        <m:t>f</m:t>
                      </m:r>
                    </m:sub>
                  </m:sSub>
                  <m:r>
                    <m:rPr>
                      <m:sty m:val="p"/>
                    </m:rPr>
                    <m:t>/</m:t>
                  </m:r>
                  <m:r>
                    <m:t>252</m:t>
                  </m:r>
                </m:e>
              </m:d>
            </m:den>
          </m:f>
          <m:r>
            <m:rPr>
              <m:sty m:val="p"/>
            </m:rPr>
            <m:t>×</m:t>
          </m:r>
          <m:rad>
            <m:radPr>
              <m:degHide m:val="on"/>
            </m:radPr>
            <m:deg/>
            <m:e>
              <m:r>
                <m:t>252</m:t>
              </m:r>
            </m:e>
          </m:rad>
        </m:oMath>
      </m:oMathPara>
    </w:p>
    <w:p>
      <w:pPr>
        <w:pStyle w:val="FirstParagraph"/>
      </w:pPr>
      <w:r>
        <w:t xml:space="preserve">Interpretation:</w:t>
      </w:r>
    </w:p>
    <w:p>
      <w:pPr>
        <w:pStyle w:val="BodyText"/>
      </w:pPr>
      <w:r>
        <w:t xml:space="preserve">Sharpe measures excess return per unit of total volatility.</w:t>
      </w:r>
    </w:p>
    <w:p>
      <w:pPr>
        <w:pStyle w:val="BodyText"/>
      </w:pPr>
      <w:r>
        <w:t xml:space="preserve">High Sharpe means the strategy generated good return relative to its volatility.</w:t>
      </w:r>
    </w:p>
    <w:bookmarkEnd w:id="117"/>
    <w:bookmarkStart w:id="118" w:name="sortino-ratio"/>
    <w:p>
      <w:pPr>
        <w:pStyle w:val="Heading3"/>
      </w:pPr>
      <w:r>
        <w:rPr>
          <w:rStyle w:val="SectionNumber"/>
        </w:rPr>
        <w:t xml:space="preserve">1.20.5</w:t>
      </w:r>
      <w:r>
        <w:tab/>
      </w:r>
      <w:r>
        <w:t xml:space="preserve">20.5 Sortino Ratio</w:t>
      </w:r>
    </w:p>
    <w:p>
      <w:pPr>
        <w:pStyle w:val="FirstParagraph"/>
      </w:pPr>
      <m:oMathPara>
        <m:oMathParaPr>
          <m:jc m:val="center"/>
        </m:oMathParaPr>
        <m:oMath>
          <m:r>
            <m:rPr>
              <m:nor/>
              <m:sty m:val="p"/>
            </m:rPr>
            <m:t>Sortino</m:t>
          </m:r>
          <m:r>
            <m:rPr>
              <m:sty m:val="p"/>
            </m:rPr>
            <m:t>=</m:t>
          </m:r>
          <m:f>
            <m:fPr>
              <m:type m:val="bar"/>
            </m:fPr>
            <m:num>
              <m:r>
                <m:rPr>
                  <m:sty m:val="p"/>
                </m:rPr>
                <m:t>mean</m:t>
              </m:r>
              <m:d>
                <m:dPr>
                  <m:begChr m:val="("/>
                  <m:endChr m:val=")"/>
                  <m:sepChr m:val=""/>
                  <m:grow/>
                </m:dPr>
                <m:e>
                  <m:sSub>
                    <m:e>
                      <m:r>
                        <m:t>r</m:t>
                      </m:r>
                    </m:e>
                    <m:sub>
                      <m:r>
                        <m:t>t</m:t>
                      </m:r>
                    </m:sub>
                  </m:sSub>
                  <m:r>
                    <m:rPr>
                      <m:sty m:val="p"/>
                    </m:rPr>
                    <m:t>−</m:t>
                  </m:r>
                  <m:r>
                    <m:rPr>
                      <m:nor/>
                      <m:sty m:val="p"/>
                    </m:rPr>
                    <m:t>target</m:t>
                  </m:r>
                  <m:r>
                    <m:rPr>
                      <m:sty m:val="p"/>
                    </m:rPr>
                    <m:t>/</m:t>
                  </m:r>
                  <m:r>
                    <m:t>252</m:t>
                  </m:r>
                </m:e>
              </m:d>
            </m:num>
            <m:den>
              <m:r>
                <m:rPr>
                  <m:nor/>
                  <m:sty m:val="p"/>
                </m:rPr>
                <m:t>downside deviation</m:t>
              </m:r>
            </m:den>
          </m:f>
          <m:r>
            <m:rPr>
              <m:sty m:val="p"/>
            </m:rPr>
            <m:t>×</m:t>
          </m:r>
          <m:rad>
            <m:radPr>
              <m:degHide m:val="on"/>
            </m:radPr>
            <m:deg/>
            <m:e>
              <m:r>
                <m:t>252</m:t>
              </m:r>
            </m:e>
          </m:rad>
        </m:oMath>
      </m:oMathPara>
    </w:p>
    <w:p>
      <w:pPr>
        <w:pStyle w:val="FirstParagraph"/>
      </w:pPr>
      <w:r>
        <w:t xml:space="preserve">Sortino penalizes downside volatility only.</w:t>
      </w:r>
    </w:p>
    <w:p>
      <w:pPr>
        <w:pStyle w:val="BodyText"/>
      </w:pPr>
      <w:r>
        <w:t xml:space="preserve">Interpretation:</w:t>
      </w:r>
    </w:p>
    <w:p>
      <w:pPr>
        <w:pStyle w:val="BodyText"/>
      </w:pPr>
      <w:r>
        <w:t xml:space="preserve">If two strategies have the same volatility, but one has more upside volatility and less downside volatility, Sortino may prefer that strategy.</w:t>
      </w:r>
    </w:p>
    <w:bookmarkEnd w:id="118"/>
    <w:bookmarkStart w:id="119" w:name="drawdown"/>
    <w:p>
      <w:pPr>
        <w:pStyle w:val="Heading3"/>
      </w:pPr>
      <w:r>
        <w:rPr>
          <w:rStyle w:val="SectionNumber"/>
        </w:rPr>
        <w:t xml:space="preserve">1.20.6</w:t>
      </w:r>
      <w:r>
        <w:tab/>
      </w:r>
      <w:r>
        <w:t xml:space="preserve">20.6 Drawdown</w:t>
      </w:r>
    </w:p>
    <w:p>
      <w:pPr>
        <w:pStyle w:val="FirstParagraph"/>
      </w:pPr>
      <w:r>
        <w:t xml:space="preserve">Drawdown measures the fall from a previous peak.</w:t>
      </w:r>
    </w:p>
    <w:p>
      <w:pPr>
        <w:pStyle w:val="BodyText"/>
      </w:pPr>
      <w:r>
        <w:t xml:space="preserve">Formula:</w:t>
      </w:r>
    </w:p>
    <w:p>
      <w:pPr>
        <w:pStyle w:val="BodyText"/>
      </w:pPr>
      <m:oMathPara>
        <m:oMathParaPr>
          <m:jc m:val="center"/>
        </m:oMathParaPr>
        <m:oMath>
          <m:sSub>
            <m:e>
              <m:r>
                <m:rPr>
                  <m:nor/>
                  <m:sty m:val="p"/>
                </m:rPr>
                <m:t>drawdown</m:t>
              </m:r>
            </m:e>
            <m:sub>
              <m:r>
                <m:t>t</m:t>
              </m:r>
            </m:sub>
          </m:sSub>
          <m:r>
            <m:rPr>
              <m:sty m:val="p"/>
            </m:rPr>
            <m:t>=</m:t>
          </m:r>
          <m:f>
            <m:fPr>
              <m:type m:val="bar"/>
            </m:fPr>
            <m:num>
              <m:sSub>
                <m:e>
                  <m:r>
                    <m:t>V</m:t>
                  </m:r>
                </m:e>
                <m:sub>
                  <m:r>
                    <m:t>t</m:t>
                  </m:r>
                </m:sub>
              </m:sSub>
            </m:num>
            <m:den>
              <m:limLow>
                <m:e>
                  <m:r>
                    <m:rPr>
                      <m:sty m:val="p"/>
                    </m:rPr>
                    <m:t>max</m:t>
                  </m:r>
                </m:e>
                <m:lim>
                  <m:r>
                    <m:t>s</m:t>
                  </m:r>
                  <m:r>
                    <m:rPr>
                      <m:sty m:val="p"/>
                    </m:rPr>
                    <m:t>≤</m:t>
                  </m:r>
                  <m:r>
                    <m:t>t</m:t>
                  </m:r>
                </m:lim>
              </m:limLow>
              <m:sSub>
                <m:e>
                  <m:r>
                    <m:t>V</m:t>
                  </m:r>
                </m:e>
                <m:sub>
                  <m:r>
                    <m:t>s</m:t>
                  </m:r>
                </m:sub>
              </m:sSub>
            </m:den>
          </m:f>
          <m:r>
            <m:rPr>
              <m:sty m:val="p"/>
            </m:rPr>
            <m:t>−</m:t>
          </m:r>
          <m:r>
            <m:t>1</m:t>
          </m:r>
        </m:oMath>
      </m:oMathPara>
    </w:p>
    <w:p>
      <w:pPr>
        <w:pStyle w:val="FirstParagraph"/>
      </w:pPr>
      <w:r>
        <w:t xml:space="preserve">Maximum drawdown:</w:t>
      </w:r>
    </w:p>
    <w:p>
      <w:pPr>
        <w:pStyle w:val="BodyText"/>
      </w:pPr>
      <m:oMathPara>
        <m:oMathParaPr>
          <m:jc m:val="center"/>
        </m:oMathParaPr>
        <m:oMath>
          <m:r>
            <m:rPr>
              <m:nor/>
              <m:sty m:val="p"/>
            </m:rPr>
            <m:t>max drawdown</m:t>
          </m:r>
          <m:r>
            <m:rPr>
              <m:sty m:val="p"/>
            </m:rPr>
            <m:t>=</m:t>
          </m:r>
          <m:limLow>
            <m:e>
              <m:r>
                <m:rPr>
                  <m:sty m:val="p"/>
                </m:rPr>
                <m:t>min</m:t>
              </m:r>
            </m:e>
            <m:lim>
              <m:r>
                <m:t>t</m:t>
              </m:r>
            </m:lim>
          </m:limLow>
          <m:d>
            <m:dPr>
              <m:begChr m:val="("/>
              <m:endChr m:val=")"/>
              <m:sepChr m:val=""/>
              <m:grow/>
            </m:dPr>
            <m:e>
              <m:sSub>
                <m:e>
                  <m:r>
                    <m:rPr>
                      <m:nor/>
                      <m:sty m:val="p"/>
                    </m:rPr>
                    <m:t>drawdown</m:t>
                  </m:r>
                </m:e>
                <m:sub>
                  <m:r>
                    <m:t>t</m:t>
                  </m:r>
                </m:sub>
              </m:sSub>
            </m:e>
          </m:d>
        </m:oMath>
      </m:oMathPara>
    </w:p>
    <w:p>
      <w:pPr>
        <w:pStyle w:val="FirstParagraph"/>
      </w:pPr>
      <w:r>
        <w:t xml:space="preserve">Example:</w:t>
      </w:r>
    </w:p>
    <w:p>
      <w:pPr>
        <w:pStyle w:val="BodyText"/>
      </w:pPr>
      <w:r>
        <w:t xml:space="preserve">Portfolio rises to ₹12,00,000 and then falls to ₹9,00,000:</w:t>
      </w:r>
    </w:p>
    <w:p>
      <w:pPr>
        <w:pStyle w:val="SourceCode"/>
      </w:pPr>
      <w:r>
        <w:rPr>
          <w:rStyle w:val="VerbatimChar"/>
        </w:rPr>
        <w:t xml:space="preserve">drawdown = 9,00,000 / 12,00,000 - 1 = -25%</w:t>
      </w:r>
    </w:p>
    <w:bookmarkEnd w:id="119"/>
    <w:bookmarkStart w:id="120" w:name="calmar-ratio"/>
    <w:p>
      <w:pPr>
        <w:pStyle w:val="Heading3"/>
      </w:pPr>
      <w:r>
        <w:rPr>
          <w:rStyle w:val="SectionNumber"/>
        </w:rPr>
        <w:t xml:space="preserve">1.20.7</w:t>
      </w:r>
      <w:r>
        <w:tab/>
      </w:r>
      <w:r>
        <w:t xml:space="preserve">20.7 Calmar Ratio</w:t>
      </w:r>
    </w:p>
    <w:p>
      <w:pPr>
        <w:pStyle w:val="FirstParagraph"/>
      </w:pPr>
      <m:oMathPara>
        <m:oMathParaPr>
          <m:jc m:val="center"/>
        </m:oMathParaPr>
        <m:oMath>
          <m:r>
            <m:rPr>
              <m:nor/>
              <m:sty m:val="p"/>
            </m:rPr>
            <m:t>Calmar</m:t>
          </m:r>
          <m:r>
            <m:rPr>
              <m:sty m:val="p"/>
            </m:rPr>
            <m:t>=</m:t>
          </m:r>
          <m:f>
            <m:fPr>
              <m:type m:val="bar"/>
            </m:fPr>
            <m:num>
              <m:r>
                <m:rPr>
                  <m:nor/>
                  <m:sty m:val="p"/>
                </m:rPr>
                <m:t>CAGR</m:t>
              </m:r>
            </m:num>
            <m:den>
              <m:d>
                <m:dPr>
                  <m:begChr m:val="|"/>
                  <m:endChr m:val="|"/>
                  <m:sepChr m:val=""/>
                  <m:grow/>
                </m:dPr>
                <m:e>
                  <m:r>
                    <m:rPr>
                      <m:nor/>
                      <m:sty m:val="p"/>
                    </m:rPr>
                    <m:t>Max Drawdown</m:t>
                  </m:r>
                </m:e>
              </m:d>
            </m:den>
          </m:f>
        </m:oMath>
      </m:oMathPara>
    </w:p>
    <w:p>
      <w:pPr>
        <w:pStyle w:val="FirstParagraph"/>
      </w:pPr>
      <w:r>
        <w:t xml:space="preserve">Interpretation:</w:t>
      </w:r>
    </w:p>
    <w:p>
      <w:pPr>
        <w:pStyle w:val="BodyText"/>
      </w:pPr>
      <w:r>
        <w:t xml:space="preserve">Calmar measures growth relative to worst drawdown.</w:t>
      </w:r>
    </w:p>
    <w:p>
      <w:pPr>
        <w:pStyle w:val="BodyText"/>
      </w:pPr>
      <w:r>
        <w:t xml:space="preserve">Example:</w:t>
      </w:r>
    </w:p>
    <w:p>
      <w:pPr>
        <w:pStyle w:val="SourceCode"/>
      </w:pPr>
      <w:r>
        <w:rPr>
          <w:rStyle w:val="VerbatimChar"/>
        </w:rPr>
        <w:t xml:space="preserve">CAGR = 15%</w:t>
      </w:r>
      <w:r>
        <w:br/>
      </w:r>
      <w:r>
        <w:rPr>
          <w:rStyle w:val="VerbatimChar"/>
        </w:rPr>
        <w:t xml:space="preserve">Max Drawdown = -10%</w:t>
      </w:r>
      <w:r>
        <w:br/>
      </w:r>
      <w:r>
        <w:rPr>
          <w:rStyle w:val="VerbatimChar"/>
        </w:rPr>
        <w:t xml:space="preserve">Calmar = 15% / 10% = 1.5</w:t>
      </w:r>
    </w:p>
    <w:p>
      <w:pPr>
        <w:pStyle w:val="FirstParagraph"/>
      </w:pPr>
      <w:r>
        <w:t xml:space="preserve">A strategy with high CAGR but very deep drawdown may have a lower Calmar ratio.</w:t>
      </w:r>
    </w:p>
    <w:bookmarkEnd w:id="120"/>
    <w:bookmarkStart w:id="121" w:name="var-and-cvar"/>
    <w:p>
      <w:pPr>
        <w:pStyle w:val="Heading3"/>
      </w:pPr>
      <w:r>
        <w:rPr>
          <w:rStyle w:val="SectionNumber"/>
        </w:rPr>
        <w:t xml:space="preserve">1.20.8</w:t>
      </w:r>
      <w:r>
        <w:tab/>
      </w:r>
      <w:r>
        <w:t xml:space="preserve">20.8 VaR and CVaR</w:t>
      </w:r>
    </w:p>
    <w:p>
      <w:pPr>
        <w:pStyle w:val="FirstParagraph"/>
      </w:pPr>
      <w:r>
        <w:t xml:space="preserve">Historical VaR:</w:t>
      </w:r>
    </w:p>
    <w:p>
      <w:pPr>
        <w:pStyle w:val="BodyText"/>
      </w:pPr>
      <m:oMathPara>
        <m:oMathParaPr>
          <m:jc m:val="center"/>
        </m:oMathParaPr>
        <m:oMath>
          <m:sSub>
            <m:e>
              <m:r>
                <m:rPr>
                  <m:nor/>
                  <m:sty m:val="p"/>
                </m:rPr>
                <m:t>VaR</m:t>
              </m:r>
            </m:e>
            <m:sub>
              <m:r>
                <m:t>95</m:t>
              </m:r>
            </m:sub>
          </m:sSub>
          <m:r>
            <m:rPr>
              <m:sty m:val="p"/>
            </m:rPr>
            <m:t>=</m:t>
          </m:r>
          <m:r>
            <m:rPr>
              <m:nor/>
              <m:sty m:val="p"/>
            </m:rPr>
            <m:t>5th percentile of returns</m:t>
          </m:r>
        </m:oMath>
      </m:oMathPara>
    </w:p>
    <w:p>
      <w:pPr>
        <w:pStyle w:val="FirstParagraph"/>
      </w:pPr>
      <w:r>
        <w:t xml:space="preserve">CVaR:</w:t>
      </w:r>
    </w:p>
    <w:p>
      <w:pPr>
        <w:pStyle w:val="BodyText"/>
      </w:pPr>
      <m:oMathPara>
        <m:oMathParaPr>
          <m:jc m:val="center"/>
        </m:oMathParaPr>
        <m:oMath>
          <m:sSub>
            <m:e>
              <m:r>
                <m:rPr>
                  <m:nor/>
                  <m:sty m:val="p"/>
                </m:rPr>
                <m:t>CVaR</m:t>
              </m:r>
            </m:e>
            <m:sub>
              <m:r>
                <m:t>95</m:t>
              </m:r>
            </m:sub>
          </m:sSub>
          <m:r>
            <m:rPr>
              <m:sty m:val="p"/>
            </m:rPr>
            <m:t>=</m:t>
          </m:r>
          <m:r>
            <m:rPr>
              <m:sty m:val="p"/>
            </m:rPr>
            <m:t>mean</m:t>
          </m:r>
          <m:d>
            <m:dPr>
              <m:begChr m:val="("/>
              <m:endChr m:val=")"/>
              <m:sepChr m:val=""/>
              <m:grow/>
            </m:dPr>
            <m:e>
              <m:sSub>
                <m:e>
                  <m:r>
                    <m:t>r</m:t>
                  </m:r>
                </m:e>
                <m:sub>
                  <m:r>
                    <m:t>t</m:t>
                  </m:r>
                </m:sub>
              </m:sSub>
              <m:r>
                <m:rPr>
                  <m:sty m:val="p"/>
                </m:rPr>
                <m:t>∣</m:t>
              </m:r>
              <m:sSub>
                <m:e>
                  <m:r>
                    <m:t>r</m:t>
                  </m:r>
                </m:e>
                <m:sub>
                  <m:r>
                    <m:t>t</m:t>
                  </m:r>
                </m:sub>
              </m:sSub>
              <m:r>
                <m:rPr>
                  <m:sty m:val="p"/>
                </m:rPr>
                <m:t>≤</m:t>
              </m:r>
              <m:sSub>
                <m:e>
                  <m:r>
                    <m:rPr>
                      <m:nor/>
                      <m:sty m:val="p"/>
                    </m:rPr>
                    <m:t>VaR</m:t>
                  </m:r>
                </m:e>
                <m:sub>
                  <m:r>
                    <m:t>95</m:t>
                  </m:r>
                </m:sub>
              </m:sSub>
            </m:e>
          </m:d>
        </m:oMath>
      </m:oMathPara>
    </w:p>
    <w:p>
      <w:pPr>
        <w:pStyle w:val="FirstParagraph"/>
      </w:pPr>
      <w:r>
        <w:t xml:space="preserve">Interpretation:</w:t>
      </w:r>
    </w:p>
    <w:p>
      <w:pPr>
        <w:pStyle w:val="BodyText"/>
      </w:pPr>
      <w:r>
        <w:t xml:space="preserve">VaR estimates a bad threshold loss. CVaR estimates the average loss conditional on being in the bad tail.</w:t>
      </w:r>
    </w:p>
    <w:p>
      <w:pPr>
        <w:pStyle w:val="BodyText"/>
      </w:pPr>
      <w:r>
        <w:t xml:space="preserve">These are historical descriptive metrics, not fully forward-looking stress tests.</w:t>
      </w:r>
    </w:p>
    <w:p>
      <w:r>
        <w:pict>
          <v:rect style="width:0;height:1.5pt" o:hralign="center" o:hrstd="t" o:hr="t"/>
        </w:pict>
      </w:r>
    </w:p>
    <w:bookmarkEnd w:id="121"/>
    <w:bookmarkEnd w:id="122"/>
    <w:bookmarkStart w:id="130" w:name="stage-11-risk-contribution-analytics"/>
    <w:p>
      <w:pPr>
        <w:pStyle w:val="Heading2"/>
      </w:pPr>
      <w:r>
        <w:rPr>
          <w:rStyle w:val="SectionNumber"/>
        </w:rPr>
        <w:t xml:space="preserve">1.21</w:t>
      </w:r>
      <w:r>
        <w:tab/>
      </w:r>
      <w:r>
        <w:t xml:space="preserve">21. Stage 11 — Risk Contribution Analytics</w:t>
      </w:r>
    </w:p>
    <w:bookmarkStart w:id="123" w:name="why-risk-contribution"/>
    <w:p>
      <w:pPr>
        <w:pStyle w:val="Heading3"/>
      </w:pPr>
      <w:r>
        <w:rPr>
          <w:rStyle w:val="SectionNumber"/>
        </w:rPr>
        <w:t xml:space="preserve">1.21.1</w:t>
      </w:r>
      <w:r>
        <w:tab/>
      </w:r>
      <w:r>
        <w:t xml:space="preserve">21.1 Why Risk Contribution?</w:t>
      </w:r>
    </w:p>
    <w:p>
      <w:pPr>
        <w:pStyle w:val="FirstParagraph"/>
      </w:pPr>
      <w:r>
        <w:t xml:space="preserve">Portfolio weights do not tell the full risk story.</w:t>
      </w:r>
    </w:p>
    <w:p>
      <w:pPr>
        <w:pStyle w:val="BodyText"/>
      </w:pPr>
      <w:r>
        <w:t xml:space="preserve">Example:</w:t>
      </w:r>
    </w:p>
    <w:p>
      <w:pPr>
        <w:pStyle w:val="BodyText"/>
      </w:pPr>
      <w:r>
        <w:t xml:space="preserve">An asset may have only 5% capital weight but contribute 20% of portfolio risk if it is very volatile and highly correlated with the portfolio.</w:t>
      </w:r>
    </w:p>
    <w:p>
      <w:pPr>
        <w:pStyle w:val="BodyText"/>
      </w:pPr>
      <w:r>
        <w:t xml:space="preserve">Risk contribution analytics answer:</w:t>
      </w:r>
    </w:p>
    <w:p>
      <w:pPr>
        <w:pStyle w:val="SourceCode"/>
      </w:pPr>
      <w:r>
        <w:rPr>
          <w:rStyle w:val="VerbatimChar"/>
        </w:rPr>
        <w:t xml:space="preserve">Which assets are actually driving portfolio risk?</w:t>
      </w:r>
    </w:p>
    <w:bookmarkEnd w:id="123"/>
    <w:bookmarkStart w:id="124" w:name="portfolio-volatility"/>
    <w:p>
      <w:pPr>
        <w:pStyle w:val="Heading3"/>
      </w:pPr>
      <w:r>
        <w:rPr>
          <w:rStyle w:val="SectionNumber"/>
        </w:rPr>
        <w:t xml:space="preserve">1.21.2</w:t>
      </w:r>
      <w:r>
        <w:tab/>
      </w:r>
      <w:r>
        <w:t xml:space="preserve">21.2 Portfolio Volatility</w:t>
      </w:r>
    </w:p>
    <w:p>
      <w:pPr>
        <w:pStyle w:val="FirstParagraph"/>
      </w:pPr>
      <m:oMathPara>
        <m:oMathParaPr>
          <m:jc m:val="center"/>
        </m:oMathParaPr>
        <m:oMath>
          <m:sSub>
            <m:e>
              <m:r>
                <m:t>σ</m:t>
              </m:r>
            </m:e>
            <m:sub>
              <m:r>
                <m:t>p</m:t>
              </m:r>
            </m:sub>
          </m:sSub>
          <m:r>
            <m:rPr>
              <m:sty m:val="p"/>
            </m:rPr>
            <m:t>=</m:t>
          </m:r>
          <m:rad>
            <m:radPr>
              <m:degHide m:val="on"/>
            </m:radPr>
            <m:deg/>
            <m:e>
              <m:sSup>
                <m:e>
                  <m:r>
                    <m:t>w</m:t>
                  </m:r>
                </m:e>
                <m:sup>
                  <m:r>
                    <m:rPr>
                      <m:sty m:val="p"/>
                    </m:rPr>
                    <m:t>⊤</m:t>
                  </m:r>
                </m:sup>
              </m:sSup>
              <m:r>
                <m:t>Σ</m:t>
              </m:r>
              <m:r>
                <m:t>w</m:t>
              </m:r>
            </m:e>
          </m:rad>
        </m:oMath>
      </m:oMathPara>
    </w:p>
    <w:bookmarkEnd w:id="124"/>
    <w:bookmarkStart w:id="125" w:name="marginal-risk-contribution-mrc"/>
    <w:p>
      <w:pPr>
        <w:pStyle w:val="Heading3"/>
      </w:pPr>
      <w:r>
        <w:rPr>
          <w:rStyle w:val="SectionNumber"/>
        </w:rPr>
        <w:t xml:space="preserve">1.21.3</w:t>
      </w:r>
      <w:r>
        <w:tab/>
      </w:r>
      <w:r>
        <w:t xml:space="preserve">21.3 Marginal Risk Contribution (MRC)</w:t>
      </w:r>
    </w:p>
    <w:p>
      <w:pPr>
        <w:pStyle w:val="FirstParagraph"/>
      </w:pPr>
      <m:oMathPara>
        <m:oMathParaPr>
          <m:jc m:val="center"/>
        </m:oMathParaPr>
        <m:oMath>
          <m:r>
            <m:rPr>
              <m:nor/>
              <m:sty m:val="p"/>
            </m:rPr>
            <m:t>MRC</m:t>
          </m:r>
          <m:r>
            <m:rPr>
              <m:sty m:val="p"/>
            </m:rPr>
            <m:t>=</m:t>
          </m:r>
          <m:f>
            <m:fPr>
              <m:type m:val="bar"/>
            </m:fPr>
            <m:num>
              <m:r>
                <m:t>Σ</m:t>
              </m:r>
              <m:r>
                <m:t>w</m:t>
              </m:r>
            </m:num>
            <m:den>
              <m:sSub>
                <m:e>
                  <m:r>
                    <m:t>σ</m:t>
                  </m:r>
                </m:e>
                <m:sub>
                  <m:r>
                    <m:t>p</m:t>
                  </m:r>
                </m:sub>
              </m:sSub>
            </m:den>
          </m:f>
        </m:oMath>
      </m:oMathPara>
    </w:p>
    <w:p>
      <w:pPr>
        <w:pStyle w:val="FirstParagraph"/>
      </w:pPr>
      <w:r>
        <w:t xml:space="preserve">MRC means how much portfolio risk changes if we increase an asset’s weight slightly.</w:t>
      </w:r>
    </w:p>
    <w:bookmarkEnd w:id="125"/>
    <w:bookmarkStart w:id="126" w:name="total-risk-contribution-trc"/>
    <w:p>
      <w:pPr>
        <w:pStyle w:val="Heading3"/>
      </w:pPr>
      <w:r>
        <w:rPr>
          <w:rStyle w:val="SectionNumber"/>
        </w:rPr>
        <w:t xml:space="preserve">1.21.4</w:t>
      </w:r>
      <w:r>
        <w:tab/>
      </w:r>
      <w:r>
        <w:t xml:space="preserve">21.4 Total Risk Contribution (TRC)</w:t>
      </w:r>
    </w:p>
    <w:p>
      <w:pPr>
        <w:pStyle w:val="FirstParagraph"/>
      </w:pPr>
      <m:oMathPara>
        <m:oMathParaPr>
          <m:jc m:val="center"/>
        </m:oMathParaPr>
        <m:oMath>
          <m:sSub>
            <m:e>
              <m:r>
                <m:rPr>
                  <m:nor/>
                  <m:sty m:val="p"/>
                </m:rPr>
                <m:t>TRC</m:t>
              </m:r>
            </m:e>
            <m:sub>
              <m:r>
                <m:t>i</m:t>
              </m:r>
            </m:sub>
          </m:sSub>
          <m:r>
            <m:rPr>
              <m:sty m:val="p"/>
            </m:rPr>
            <m:t>=</m:t>
          </m:r>
          <m:sSub>
            <m:e>
              <m:r>
                <m:t>w</m:t>
              </m:r>
            </m:e>
            <m:sub>
              <m:r>
                <m:t>i</m:t>
              </m:r>
            </m:sub>
          </m:sSub>
          <m:r>
            <m:rPr>
              <m:sty m:val="p"/>
            </m:rPr>
            <m:t>×</m:t>
          </m:r>
          <m:sSub>
            <m:e>
              <m:r>
                <m:rPr>
                  <m:nor/>
                  <m:sty m:val="p"/>
                </m:rPr>
                <m:t>MRC</m:t>
              </m:r>
            </m:e>
            <m:sub>
              <m:r>
                <m:t>i</m:t>
              </m:r>
            </m:sub>
          </m:sSub>
        </m:oMath>
      </m:oMathPara>
    </w:p>
    <w:p>
      <w:pPr>
        <w:pStyle w:val="FirstParagraph"/>
      </w:pPr>
      <w:r>
        <w:t xml:space="preserve">TRC is the actual risk contribution of asset</w:t>
      </w:r>
      <w:r>
        <w:t xml:space="preserve"> </w:t>
      </w:r>
      <w:r>
        <w:rPr>
          <w:rStyle w:val="VerbatimChar"/>
        </w:rPr>
        <w:t xml:space="preserve">i</w:t>
      </w:r>
      <w:r>
        <w:t xml:space="preserve">.</w:t>
      </w:r>
    </w:p>
    <w:bookmarkEnd w:id="126"/>
    <w:bookmarkStart w:id="127" w:name="percentage-risk-contribution-prc"/>
    <w:p>
      <w:pPr>
        <w:pStyle w:val="Heading3"/>
      </w:pPr>
      <w:r>
        <w:rPr>
          <w:rStyle w:val="SectionNumber"/>
        </w:rPr>
        <w:t xml:space="preserve">1.21.5</w:t>
      </w:r>
      <w:r>
        <w:tab/>
      </w:r>
      <w:r>
        <w:t xml:space="preserve">21.5 Percentage Risk Contribution (PRC)</w:t>
      </w:r>
    </w:p>
    <w:p>
      <w:pPr>
        <w:pStyle w:val="FirstParagraph"/>
      </w:pPr>
      <m:oMathPara>
        <m:oMathParaPr>
          <m:jc m:val="center"/>
        </m:oMathParaPr>
        <m:oMath>
          <m:sSub>
            <m:e>
              <m:r>
                <m:rPr>
                  <m:nor/>
                  <m:sty m:val="p"/>
                </m:rPr>
                <m:t>PRC</m:t>
              </m:r>
            </m:e>
            <m:sub>
              <m:r>
                <m:t>i</m:t>
              </m:r>
            </m:sub>
          </m:sSub>
          <m:r>
            <m:rPr>
              <m:sty m:val="p"/>
            </m:rPr>
            <m:t>=</m:t>
          </m:r>
          <m:f>
            <m:fPr>
              <m:type m:val="bar"/>
            </m:fPr>
            <m:num>
              <m:sSub>
                <m:e>
                  <m:r>
                    <m:rPr>
                      <m:nor/>
                      <m:sty m:val="p"/>
                    </m:rPr>
                    <m:t>TRC</m:t>
                  </m:r>
                </m:e>
                <m:sub>
                  <m:r>
                    <m:t>i</m:t>
                  </m:r>
                </m:sub>
              </m:sSub>
            </m:num>
            <m:den>
              <m:sSub>
                <m:e>
                  <m:r>
                    <m:t>σ</m:t>
                  </m:r>
                </m:e>
                <m:sub>
                  <m:r>
                    <m:t>p</m:t>
                  </m:r>
                </m:sub>
              </m:sSub>
            </m:den>
          </m:f>
        </m:oMath>
      </m:oMathPara>
    </w:p>
    <w:p>
      <w:pPr>
        <w:pStyle w:val="FirstParagraph"/>
      </w:pPr>
      <w:r>
        <w:t xml:space="preserve">PRC shows each asset’s share of total portfolio risk.</w:t>
      </w:r>
    </w:p>
    <w:bookmarkEnd w:id="127"/>
    <w:bookmarkStart w:id="128" w:name="example-1"/>
    <w:p>
      <w:pPr>
        <w:pStyle w:val="Heading3"/>
      </w:pPr>
      <w:r>
        <w:rPr>
          <w:rStyle w:val="SectionNumber"/>
        </w:rPr>
        <w:t xml:space="preserve">1.21.6</w:t>
      </w:r>
      <w:r>
        <w:tab/>
      </w:r>
      <w:r>
        <w:t xml:space="preserve">21.6 Example</w:t>
      </w:r>
    </w:p>
    <w:p>
      <w:pPr>
        <w:pStyle w:val="FirstParagraph"/>
      </w:pPr>
      <w:r>
        <w:t xml:space="preserve">If an asset has:</w:t>
      </w:r>
    </w:p>
    <w:p>
      <w:pPr>
        <w:pStyle w:val="SourceCode"/>
      </w:pPr>
      <w:r>
        <w:rPr>
          <w:rStyle w:val="VerbatimChar"/>
        </w:rPr>
        <w:t xml:space="preserve">capital weight = 10%</w:t>
      </w:r>
      <w:r>
        <w:br/>
      </w:r>
      <w:r>
        <w:rPr>
          <w:rStyle w:val="VerbatimChar"/>
        </w:rPr>
        <w:t xml:space="preserve">percentage risk contribution = 25%</w:t>
      </w:r>
    </w:p>
    <w:p>
      <w:pPr>
        <w:pStyle w:val="FirstParagraph"/>
      </w:pPr>
      <w:r>
        <w:t xml:space="preserve">then the asset is risk-heavy relative to its capital allocation.</w:t>
      </w:r>
    </w:p>
    <w:bookmarkEnd w:id="128"/>
    <w:bookmarkStart w:id="129" w:name="why-this-helps-in-viva"/>
    <w:p>
      <w:pPr>
        <w:pStyle w:val="Heading3"/>
      </w:pPr>
      <w:r>
        <w:rPr>
          <w:rStyle w:val="SectionNumber"/>
        </w:rPr>
        <w:t xml:space="preserve">1.21.7</w:t>
      </w:r>
      <w:r>
        <w:tab/>
      </w:r>
      <w:r>
        <w:t xml:space="preserve">21.7 Why This Helps in Viva</w:t>
      </w:r>
    </w:p>
    <w:p>
      <w:pPr>
        <w:pStyle w:val="FirstParagraph"/>
      </w:pPr>
      <w:r>
        <w:t xml:space="preserve">This is an explanation layer. It lets us say not only which strategy performed better, but why its risk behaved differently.</w:t>
      </w:r>
    </w:p>
    <w:p>
      <w:r>
        <w:pict>
          <v:rect style="width:0;height:1.5pt" o:hralign="center" o:hrstd="t" o:hr="t"/>
        </w:pict>
      </w:r>
    </w:p>
    <w:bookmarkEnd w:id="129"/>
    <w:bookmarkEnd w:id="130"/>
    <w:bookmarkStart w:id="134" w:name="stage-12-benchmark-comparison"/>
    <w:p>
      <w:pPr>
        <w:pStyle w:val="Heading2"/>
      </w:pPr>
      <w:r>
        <w:rPr>
          <w:rStyle w:val="SectionNumber"/>
        </w:rPr>
        <w:t xml:space="preserve">1.22</w:t>
      </w:r>
      <w:r>
        <w:tab/>
      </w:r>
      <w:r>
        <w:t xml:space="preserve">22. Stage 12 — Benchmark Comparison</w:t>
      </w:r>
    </w:p>
    <w:bookmarkStart w:id="131" w:name="default-benchmark"/>
    <w:p>
      <w:pPr>
        <w:pStyle w:val="Heading3"/>
      </w:pPr>
      <w:r>
        <w:rPr>
          <w:rStyle w:val="SectionNumber"/>
        </w:rPr>
        <w:t xml:space="preserve">1.22.1</w:t>
      </w:r>
      <w:r>
        <w:tab/>
      </w:r>
      <w:r>
        <w:t xml:space="preserve">22.1 Default Benchmark</w:t>
      </w:r>
    </w:p>
    <w:p>
      <w:pPr>
        <w:pStyle w:val="FirstParagraph"/>
      </w:pPr>
      <w:r>
        <w:t xml:space="preserve">The default benchmark is:</w:t>
      </w:r>
    </w:p>
    <w:p>
      <w:pPr>
        <w:pStyle w:val="SourceCode"/>
      </w:pPr>
      <w:r>
        <w:rPr>
          <w:rStyle w:val="VerbatimChar"/>
        </w:rPr>
        <w:t xml:space="preserve">Equal Weight</w:t>
      </w:r>
    </w:p>
    <w:p>
      <w:pPr>
        <w:pStyle w:val="FirstParagraph"/>
      </w:pPr>
      <w:r>
        <w:t xml:space="preserve">Other compared strategies include:</w:t>
      </w:r>
    </w:p>
    <w:p>
      <w:pPr>
        <w:pStyle w:val="SourceCode"/>
      </w:pPr>
      <w:r>
        <w:rPr>
          <w:rStyle w:val="VerbatimChar"/>
        </w:rPr>
        <w:t xml:space="preserve">Inverse Volatility</w:t>
      </w:r>
      <w:r>
        <w:br/>
      </w:r>
      <w:r>
        <w:rPr>
          <w:rStyle w:val="VerbatimChar"/>
        </w:rPr>
        <w:t xml:space="preserve">HRP</w:t>
      </w:r>
      <w:r>
        <w:br/>
      </w:r>
      <w:r>
        <w:rPr>
          <w:rStyle w:val="VerbatimChar"/>
        </w:rPr>
        <w:t xml:space="preserve">HERC</w:t>
      </w:r>
    </w:p>
    <w:bookmarkEnd w:id="131"/>
    <w:bookmarkStart w:id="132" w:name="benchmark-relative-metrics"/>
    <w:p>
      <w:pPr>
        <w:pStyle w:val="Heading3"/>
      </w:pPr>
      <w:r>
        <w:rPr>
          <w:rStyle w:val="SectionNumber"/>
        </w:rPr>
        <w:t xml:space="preserve">1.22.2</w:t>
      </w:r>
      <w:r>
        <w:tab/>
      </w:r>
      <w:r>
        <w:t xml:space="preserve">22.2 Benchmark-Relative Metrics</w:t>
      </w:r>
    </w:p>
    <w:p>
      <w:pPr>
        <w:pStyle w:val="FirstParagraph"/>
      </w:pPr>
      <w:r>
        <w:t xml:space="preserve">The framework can compare strategy metrics against benchmark metrics.</w:t>
      </w:r>
    </w:p>
    <w:p>
      <w:pPr>
        <w:pStyle w:val="BodyText"/>
      </w:pPr>
      <w:r>
        <w:t xml:space="preserve">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Calculation</w:t>
            </w:r>
          </w:p>
        </w:tc>
      </w:tr>
      <w:tr>
        <w:tc>
          <w:tcPr/>
          <w:p>
            <w:pPr>
              <w:pStyle w:val="Compact"/>
              <w:jc w:val="left"/>
            </w:pPr>
            <w:r>
              <w:t xml:space="preserve">Excess CAGR</w:t>
            </w:r>
          </w:p>
        </w:tc>
        <w:tc>
          <w:tcPr/>
          <w:p>
            <w:pPr>
              <w:pStyle w:val="Compact"/>
              <w:jc w:val="left"/>
            </w:pPr>
            <w:r>
              <w:t xml:space="preserve">strategy CAGR - benchmark CAGR</w:t>
            </w:r>
          </w:p>
        </w:tc>
      </w:tr>
      <w:tr>
        <w:tc>
          <w:tcPr/>
          <w:p>
            <w:pPr>
              <w:pStyle w:val="Compact"/>
              <w:jc w:val="left"/>
            </w:pPr>
            <w:r>
              <w:t xml:space="preserve">Excess Sharpe</w:t>
            </w:r>
          </w:p>
        </w:tc>
        <w:tc>
          <w:tcPr/>
          <w:p>
            <w:pPr>
              <w:pStyle w:val="Compact"/>
              <w:jc w:val="left"/>
            </w:pPr>
            <w:r>
              <w:t xml:space="preserve">strategy Sharpe - benchmark Sharpe</w:t>
            </w:r>
          </w:p>
        </w:tc>
      </w:tr>
      <w:tr>
        <w:tc>
          <w:tcPr/>
          <w:p>
            <w:pPr>
              <w:pStyle w:val="Compact"/>
              <w:jc w:val="left"/>
            </w:pPr>
            <w:r>
              <w:t xml:space="preserve">Drawdown difference</w:t>
            </w:r>
          </w:p>
        </w:tc>
        <w:tc>
          <w:tcPr/>
          <w:p>
            <w:pPr>
              <w:pStyle w:val="Compact"/>
              <w:jc w:val="left"/>
            </w:pPr>
            <w:r>
              <w:t xml:space="preserve">strategy MDD - benchmark MDD</w:t>
            </w:r>
          </w:p>
        </w:tc>
      </w:tr>
      <w:tr>
        <w:tc>
          <w:tcPr/>
          <w:p>
            <w:pPr>
              <w:pStyle w:val="Compact"/>
              <w:jc w:val="left"/>
            </w:pPr>
            <w:r>
              <w:t xml:space="preserve">Volatility difference</w:t>
            </w:r>
          </w:p>
        </w:tc>
        <w:tc>
          <w:tcPr/>
          <w:p>
            <w:pPr>
              <w:pStyle w:val="Compact"/>
              <w:jc w:val="left"/>
            </w:pPr>
            <w:r>
              <w:t xml:space="preserve">strategy volatility - benchmark volatility</w:t>
            </w:r>
          </w:p>
        </w:tc>
      </w:tr>
      <w:tr>
        <w:tc>
          <w:tcPr/>
          <w:p>
            <w:pPr>
              <w:pStyle w:val="Compact"/>
              <w:jc w:val="left"/>
            </w:pPr>
            <w:r>
              <w:t xml:space="preserve">Final value difference</w:t>
            </w:r>
          </w:p>
        </w:tc>
        <w:tc>
          <w:tcPr/>
          <w:p>
            <w:pPr>
              <w:pStyle w:val="Compact"/>
              <w:jc w:val="left"/>
            </w:pPr>
            <w:r>
              <w:t xml:space="preserve">strategy final value - benchmark final value</w:t>
            </w:r>
          </w:p>
        </w:tc>
      </w:tr>
    </w:tbl>
    <w:bookmarkEnd w:id="132"/>
    <w:bookmarkStart w:id="133" w:name="why-benchmarking-is-important"/>
    <w:p>
      <w:pPr>
        <w:pStyle w:val="Heading3"/>
      </w:pPr>
      <w:r>
        <w:rPr>
          <w:rStyle w:val="SectionNumber"/>
        </w:rPr>
        <w:t xml:space="preserve">1.22.3</w:t>
      </w:r>
      <w:r>
        <w:tab/>
      </w:r>
      <w:r>
        <w:t xml:space="preserve">22.3 Why Benchmarking Is Important</w:t>
      </w:r>
    </w:p>
    <w:p>
      <w:pPr>
        <w:pStyle w:val="FirstParagraph"/>
      </w:pPr>
      <w:r>
        <w:t xml:space="preserve">Without a benchmark, we only know whether a strategy made money. With a benchmark, we know whether the complexity was useful.</w:t>
      </w:r>
    </w:p>
    <w:p>
      <w:pPr>
        <w:pStyle w:val="BodyText"/>
      </w:pPr>
      <w:r>
        <w:t xml:space="preserve">Good viva line:</w:t>
      </w:r>
    </w:p>
    <w:p>
      <w:pPr>
        <w:pStyle w:val="BlockText"/>
      </w:pPr>
      <w:r>
        <w:t xml:space="preserve">We use Equal Weight as a simple but strong benchmark because any sophisticated strategy should justify its complexity by improving risk-adjusted performance, drawdown, turnover, or robustness.</w:t>
      </w:r>
    </w:p>
    <w:p>
      <w:r>
        <w:pict>
          <v:rect style="width:0;height:1.5pt" o:hralign="center" o:hrstd="t" o:hr="t"/>
        </w:pict>
      </w:r>
    </w:p>
    <w:bookmarkEnd w:id="133"/>
    <w:bookmarkEnd w:id="134"/>
    <w:bookmarkStart w:id="143" w:name="stage-13-volatility-targeting-overlay"/>
    <w:p>
      <w:pPr>
        <w:pStyle w:val="Heading2"/>
      </w:pPr>
      <w:r>
        <w:rPr>
          <w:rStyle w:val="SectionNumber"/>
        </w:rPr>
        <w:t xml:space="preserve">1.23</w:t>
      </w:r>
      <w:r>
        <w:tab/>
      </w:r>
      <w:r>
        <w:t xml:space="preserve">23. Stage 13 — Volatility Targeting Overlay</w:t>
      </w:r>
    </w:p>
    <w:bookmarkStart w:id="135" w:name="what-volatility-targeting-does"/>
    <w:p>
      <w:pPr>
        <w:pStyle w:val="Heading3"/>
      </w:pPr>
      <w:r>
        <w:rPr>
          <w:rStyle w:val="SectionNumber"/>
        </w:rPr>
        <w:t xml:space="preserve">1.23.1</w:t>
      </w:r>
      <w:r>
        <w:tab/>
      </w:r>
      <w:r>
        <w:t xml:space="preserve">23.1 What Volatility Targeting Does</w:t>
      </w:r>
    </w:p>
    <w:p>
      <w:pPr>
        <w:pStyle w:val="FirstParagraph"/>
      </w:pPr>
      <w:r>
        <w:t xml:space="preserve">The base allocator decides the composition of the risky portfolio.</w:t>
      </w:r>
    </w:p>
    <w:p>
      <w:pPr>
        <w:pStyle w:val="BodyText"/>
      </w:pPr>
      <w:r>
        <w:t xml:space="preserve">Volatility targeting decides:</w:t>
      </w:r>
    </w:p>
    <w:p>
      <w:pPr>
        <w:pStyle w:val="SourceCode"/>
      </w:pPr>
      <w:r>
        <w:rPr>
          <w:rStyle w:val="VerbatimChar"/>
        </w:rPr>
        <w:t xml:space="preserve">How much of the portfolio should be exposed to the risky strategy?</w:t>
      </w:r>
      <w:r>
        <w:br/>
      </w:r>
      <w:r>
        <w:rPr>
          <w:rStyle w:val="VerbatimChar"/>
        </w:rPr>
        <w:t xml:space="preserve">How much should be shifted into a defensive sleeve?</w:t>
      </w:r>
    </w:p>
    <w:bookmarkEnd w:id="135"/>
    <w:bookmarkStart w:id="136" w:name="targeted-return-formula"/>
    <w:p>
      <w:pPr>
        <w:pStyle w:val="Heading3"/>
      </w:pPr>
      <w:r>
        <w:rPr>
          <w:rStyle w:val="SectionNumber"/>
        </w:rPr>
        <w:t xml:space="preserve">1.23.2</w:t>
      </w:r>
      <w:r>
        <w:tab/>
      </w:r>
      <w:r>
        <w:t xml:space="preserve">23.2 Targeted Return Formula</w:t>
      </w:r>
    </w:p>
    <w:p>
      <w:pPr>
        <w:pStyle w:val="FirstParagraph"/>
      </w:pPr>
      <m:oMathPara>
        <m:oMathParaPr>
          <m:jc m:val="center"/>
        </m:oMathParaPr>
        <m:oMath>
          <m:sSub>
            <m:e>
              <m:r>
                <m:t>r</m:t>
              </m:r>
            </m:e>
            <m:sub>
              <m:r>
                <m:rPr>
                  <m:nor/>
                  <m:sty m:val="p"/>
                </m:rPr>
                <m:t>targeted</m:t>
              </m:r>
              <m:r>
                <m:rPr>
                  <m:sty m:val="p"/>
                </m:rPr>
                <m:t>,</m:t>
              </m:r>
              <m:r>
                <m:t>t</m:t>
              </m:r>
            </m:sub>
          </m:sSub>
          <m:r>
            <m:rPr>
              <m:sty m:val="p"/>
            </m:rPr>
            <m:t>=</m:t>
          </m:r>
          <m:sSub>
            <m:e>
              <m:r>
                <m:t>e</m:t>
              </m:r>
            </m:e>
            <m:sub>
              <m:r>
                <m:t>t</m:t>
              </m:r>
            </m:sub>
          </m:sSub>
          <m:sSub>
            <m:e>
              <m:r>
                <m:t>r</m:t>
              </m:r>
            </m:e>
            <m:sub>
              <m:r>
                <m:rPr>
                  <m:nor/>
                  <m:sty m:val="p"/>
                </m:rPr>
                <m:t>risky</m:t>
              </m:r>
              <m:r>
                <m:rPr>
                  <m:sty m:val="p"/>
                </m:rPr>
                <m:t>,</m:t>
              </m:r>
              <m:r>
                <m:t>t</m:t>
              </m:r>
            </m:sub>
          </m:sSub>
          <m:r>
            <m:rPr>
              <m:sty m:val="p"/>
            </m:rPr>
            <m:t>+</m:t>
          </m:r>
          <m:d>
            <m:dPr>
              <m:begChr m:val="("/>
              <m:endChr m:val=")"/>
              <m:sepChr m:val=""/>
              <m:grow/>
            </m:dPr>
            <m:e>
              <m:r>
                <m:t>1</m:t>
              </m:r>
              <m:r>
                <m:rPr>
                  <m:sty m:val="p"/>
                </m:rPr>
                <m:t>−</m:t>
              </m:r>
              <m:sSub>
                <m:e>
                  <m:r>
                    <m:t>e</m:t>
                  </m:r>
                </m:e>
                <m:sub>
                  <m:r>
                    <m:t>t</m:t>
                  </m:r>
                </m:sub>
              </m:sSub>
            </m:e>
          </m:d>
          <m:sSub>
            <m:e>
              <m:r>
                <m:t>r</m:t>
              </m:r>
            </m:e>
            <m:sub>
              <m:r>
                <m:rPr>
                  <m:nor/>
                  <m:sty m:val="p"/>
                </m:rPr>
                <m:t>defensive</m:t>
              </m:r>
              <m:r>
                <m:rPr>
                  <m:sty m:val="p"/>
                </m:rPr>
                <m:t>,</m:t>
              </m:r>
              <m:r>
                <m:t>t</m:t>
              </m:r>
            </m:sub>
          </m:sSub>
        </m:oMath>
      </m:oMathPara>
    </w:p>
    <w:p>
      <w:pPr>
        <w:pStyle w:val="FirstParagraph"/>
      </w:pPr>
      <w:r>
        <w:t xml:space="preserve">Interpretation:</w:t>
      </w:r>
    </w:p>
    <w:p>
      <w:pPr>
        <w:pStyle w:val="BodyText"/>
      </w:pPr>
      <w:r>
        <w:t xml:space="preserve">If exposure is 70%, then:</w:t>
      </w:r>
    </w:p>
    <w:p>
      <w:pPr>
        <w:pStyle w:val="SourceCode"/>
      </w:pPr>
      <w:r>
        <w:rPr>
          <w:rStyle w:val="VerbatimChar"/>
        </w:rPr>
        <w:t xml:space="preserve">70% goes into risky strategy</w:t>
      </w:r>
      <w:r>
        <w:br/>
      </w:r>
      <w:r>
        <w:rPr>
          <w:rStyle w:val="VerbatimChar"/>
        </w:rPr>
        <w:t xml:space="preserve">30% goes into defensive asset</w:t>
      </w:r>
    </w:p>
    <w:bookmarkEnd w:id="136"/>
    <w:bookmarkStart w:id="137" w:name="realized-volatility"/>
    <w:p>
      <w:pPr>
        <w:pStyle w:val="Heading3"/>
      </w:pPr>
      <w:r>
        <w:rPr>
          <w:rStyle w:val="SectionNumber"/>
        </w:rPr>
        <w:t xml:space="preserve">1.23.3</w:t>
      </w:r>
      <w:r>
        <w:tab/>
      </w:r>
      <w:r>
        <w:t xml:space="preserve">23.3 Realized Volatility</w:t>
      </w:r>
    </w:p>
    <w:p>
      <w:pPr>
        <w:pStyle w:val="FirstParagraph"/>
      </w:pPr>
      <m:oMathPara>
        <m:oMathParaPr>
          <m:jc m:val="center"/>
        </m:oMathParaPr>
        <m:oMath>
          <m:sSub>
            <m:e>
              <m:r>
                <m:rPr>
                  <m:nor/>
                  <m:sty m:val="p"/>
                </m:rPr>
                <m:t>realized vol</m:t>
              </m:r>
            </m:e>
            <m:sub>
              <m:r>
                <m:t>t</m:t>
              </m:r>
            </m:sub>
          </m:sSub>
          <m:r>
            <m:rPr>
              <m:sty m:val="p"/>
            </m:rPr>
            <m:t>=</m:t>
          </m:r>
          <m:r>
            <m:rPr>
              <m:sty m:val="p"/>
            </m:rPr>
            <m:t>std</m:t>
          </m:r>
          <m:d>
            <m:dPr>
              <m:begChr m:val="("/>
              <m:endChr m:val=")"/>
              <m:sepChr m:val=""/>
              <m:grow/>
            </m:dPr>
            <m:e>
              <m:sSub>
                <m:e>
                  <m:r>
                    <m:t>r</m:t>
                  </m:r>
                </m:e>
                <m:sub>
                  <m:r>
                    <m:rPr>
                      <m:nor/>
                      <m:sty m:val="p"/>
                    </m:rPr>
                    <m:t>risky</m:t>
                  </m:r>
                  <m:r>
                    <m:rPr>
                      <m:sty m:val="p"/>
                    </m:rPr>
                    <m:t>,</m:t>
                  </m:r>
                  <m:r>
                    <m:t>t</m:t>
                  </m:r>
                  <m:r>
                    <m:rPr>
                      <m:sty m:val="p"/>
                    </m:rPr>
                    <m:t>−</m:t>
                  </m:r>
                  <m:r>
                    <m:rPr>
                      <m:nor/>
                      <m:sty m:val="p"/>
                    </m:rPr>
                    <m:t>window</m:t>
                  </m:r>
                  <m:r>
                    <m:rPr>
                      <m:sty m:val="p"/>
                    </m:rPr>
                    <m:t>:</m:t>
                  </m:r>
                  <m:r>
                    <m:t>t</m:t>
                  </m:r>
                </m:sub>
              </m:sSub>
            </m:e>
          </m:d>
          <m:r>
            <m:rPr>
              <m:sty m:val="p"/>
            </m:rPr>
            <m:t>×</m:t>
          </m:r>
          <m:rad>
            <m:radPr>
              <m:degHide m:val="on"/>
            </m:radPr>
            <m:deg/>
            <m:e>
              <m:r>
                <m:t>252</m:t>
              </m:r>
            </m:e>
          </m:rad>
        </m:oMath>
      </m:oMathPara>
    </w:p>
    <w:bookmarkEnd w:id="137"/>
    <w:bookmarkStart w:id="138" w:name="exposure-formula"/>
    <w:p>
      <w:pPr>
        <w:pStyle w:val="Heading3"/>
      </w:pPr>
      <w:r>
        <w:rPr>
          <w:rStyle w:val="SectionNumber"/>
        </w:rPr>
        <w:t xml:space="preserve">1.23.4</w:t>
      </w:r>
      <w:r>
        <w:tab/>
      </w:r>
      <w:r>
        <w:t xml:space="preserve">23.4 Exposure Formula</w:t>
      </w:r>
    </w:p>
    <w:p>
      <w:pPr>
        <w:pStyle w:val="FirstParagraph"/>
      </w:pPr>
      <m:oMathPara>
        <m:oMathParaPr>
          <m:jc m:val="center"/>
        </m:oMathParaPr>
        <m:oMath>
          <m:sSub>
            <m:e>
              <m:r>
                <m:t>e</m:t>
              </m:r>
            </m:e>
            <m:sub>
              <m:r>
                <m:t>t</m:t>
              </m:r>
            </m:sub>
          </m:sSub>
          <m:r>
            <m:rPr>
              <m:sty m:val="p"/>
            </m:rPr>
            <m:t>=</m:t>
          </m:r>
          <m:r>
            <m:rPr>
              <m:sty m:val="p"/>
            </m:rPr>
            <m:t>clip</m:t>
          </m:r>
          <m:d>
            <m:dPr>
              <m:begChr m:val="("/>
              <m:endChr m:val=")"/>
              <m:sepChr m:val=""/>
              <m:grow/>
            </m:dPr>
            <m:e>
              <m:f>
                <m:fPr>
                  <m:type m:val="bar"/>
                </m:fPr>
                <m:num>
                  <m:sSub>
                    <m:e>
                      <m:r>
                        <m:rPr>
                          <m:nor/>
                          <m:sty m:val="p"/>
                        </m:rPr>
                        <m:t>target vol</m:t>
                      </m:r>
                    </m:e>
                    <m:sub>
                      <m:r>
                        <m:t>t</m:t>
                      </m:r>
                    </m:sub>
                  </m:sSub>
                </m:num>
                <m:den>
                  <m:sSub>
                    <m:e>
                      <m:r>
                        <m:rPr>
                          <m:nor/>
                          <m:sty m:val="p"/>
                        </m:rPr>
                        <m:t>realized vol</m:t>
                      </m:r>
                    </m:e>
                    <m:sub>
                      <m:r>
                        <m:t>t</m:t>
                      </m:r>
                      <m:r>
                        <m:rPr>
                          <m:sty m:val="p"/>
                        </m:rPr>
                        <m:t>−</m:t>
                      </m:r>
                      <m:r>
                        <m:t>1</m:t>
                      </m:r>
                    </m:sub>
                  </m:sSub>
                </m:den>
              </m:f>
              <m:r>
                <m:rPr>
                  <m:sty m:val="p"/>
                </m:rPr>
                <m:t>,</m:t>
              </m:r>
              <m:r>
                <m:t> </m:t>
              </m:r>
              <m:sSub>
                <m:e>
                  <m:r>
                    <m:t>e</m:t>
                  </m:r>
                </m:e>
                <m:sub>
                  <m:r>
                    <m:rPr>
                      <m:sty m:val="p"/>
                    </m:rPr>
                    <m:t>min</m:t>
                  </m:r>
                </m:sub>
              </m:sSub>
              <m:r>
                <m:rPr>
                  <m:sty m:val="p"/>
                </m:rPr>
                <m:t>,</m:t>
              </m:r>
              <m:r>
                <m:t> </m:t>
              </m:r>
              <m:sSub>
                <m:e>
                  <m:r>
                    <m:t>e</m:t>
                  </m:r>
                </m:e>
                <m:sub>
                  <m:r>
                    <m:rPr>
                      <m:sty m:val="p"/>
                    </m:rPr>
                    <m:t>max</m:t>
                  </m:r>
                </m:sub>
              </m:sSub>
            </m:e>
          </m:d>
        </m:oMath>
      </m:oMathPara>
    </w:p>
    <w:p>
      <w:pPr>
        <w:pStyle w:val="FirstParagraph"/>
      </w:pPr>
      <w:r>
        <w:t xml:space="preserve">Interpretation:</w:t>
      </w:r>
    </w:p>
    <w:p>
      <w:pPr>
        <w:pStyle w:val="Compact"/>
        <w:numPr>
          <w:ilvl w:val="0"/>
          <w:numId w:val="1027"/>
        </w:numPr>
      </w:pPr>
      <w:r>
        <w:t xml:space="preserve">If realized volatility is higher than target, reduce exposure.</w:t>
      </w:r>
    </w:p>
    <w:p>
      <w:pPr>
        <w:pStyle w:val="Compact"/>
        <w:numPr>
          <w:ilvl w:val="0"/>
          <w:numId w:val="1027"/>
        </w:numPr>
      </w:pPr>
      <w:r>
        <w:t xml:space="preserve">If realized volatility is lower than target, increase exposure.</w:t>
      </w:r>
    </w:p>
    <w:p>
      <w:pPr>
        <w:pStyle w:val="FirstParagraph"/>
      </w:pPr>
      <w:r>
        <w:t xml:space="preserve">Example:</w:t>
      </w:r>
    </w:p>
    <w:p>
      <w:pPr>
        <w:pStyle w:val="SourceCode"/>
      </w:pPr>
      <w:r>
        <w:rPr>
          <w:rStyle w:val="VerbatimChar"/>
        </w:rPr>
        <w:t xml:space="preserve">target volatility = 10%</w:t>
      </w:r>
      <w:r>
        <w:br/>
      </w:r>
      <w:r>
        <w:rPr>
          <w:rStyle w:val="VerbatimChar"/>
        </w:rPr>
        <w:t xml:space="preserve">realized volatility = 20%</w:t>
      </w:r>
      <w:r>
        <w:br/>
      </w:r>
      <w:r>
        <w:rPr>
          <w:rStyle w:val="VerbatimChar"/>
        </w:rPr>
        <w:t xml:space="preserve">exposure = 10% / 20% = 50%</w:t>
      </w:r>
    </w:p>
    <w:p>
      <w:pPr>
        <w:pStyle w:val="FirstParagraph"/>
      </w:pPr>
      <w:r>
        <w:t xml:space="preserve">So the model holds only 50% risky exposure.</w:t>
      </w:r>
    </w:p>
    <w:bookmarkEnd w:id="138"/>
    <w:bookmarkStart w:id="139" w:name="adaptive-regime-targets"/>
    <w:p>
      <w:pPr>
        <w:pStyle w:val="Heading3"/>
      </w:pPr>
      <w:r>
        <w:rPr>
          <w:rStyle w:val="SectionNumber"/>
        </w:rPr>
        <w:t xml:space="preserve">1.23.5</w:t>
      </w:r>
      <w:r>
        <w:tab/>
      </w:r>
      <w:r>
        <w:t xml:space="preserve">23.5 Adaptive Regime Targets</w:t>
      </w:r>
    </w:p>
    <w:p>
      <w:pPr>
        <w:pStyle w:val="FirstParagraph"/>
      </w:pPr>
      <w:r>
        <w:t xml:space="preserve">Default base target volatility:</w:t>
      </w:r>
    </w:p>
    <w:p>
      <w:pPr>
        <w:pStyle w:val="SourceCode"/>
      </w:pPr>
      <w:r>
        <w:rPr>
          <w:rStyle w:val="VerbatimChar"/>
        </w:rPr>
        <w:t xml:space="preserve">10%</w:t>
      </w:r>
    </w:p>
    <w:p>
      <w:pPr>
        <w:pStyle w:val="FirstParagraph"/>
      </w:pPr>
      <w:r>
        <w:t xml:space="preserve">Adaptive regime targets: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Regime</w:t>
            </w:r>
          </w:p>
        </w:tc>
        <w:tc>
          <w:tcPr/>
          <w:p>
            <w:pPr>
              <w:pStyle w:val="Compact"/>
              <w:jc w:val="left"/>
            </w:pPr>
            <w:r>
              <w:t xml:space="preserve">Percentile rule</w:t>
            </w:r>
          </w:p>
        </w:tc>
        <w:tc>
          <w:tcPr/>
          <w:p>
            <w:pPr>
              <w:pStyle w:val="Compact"/>
              <w:jc w:val="right"/>
            </w:pPr>
            <w:r>
              <w:t xml:space="preserve">Target volatility</w:t>
            </w:r>
          </w:p>
        </w:tc>
      </w:tr>
      <w:tr>
        <w:tc>
          <w:tcPr/>
          <w:p>
            <w:pPr>
              <w:pStyle w:val="Compact"/>
              <w:jc w:val="left"/>
            </w:pPr>
            <w:r>
              <w:t xml:space="preserve">Calm</w:t>
            </w:r>
          </w:p>
        </w:tc>
        <w:tc>
          <w:tcPr/>
          <w:p>
            <w:pPr>
              <w:pStyle w:val="Compact"/>
              <w:jc w:val="left"/>
            </w:pPr>
            <w:r>
              <w:t xml:space="preserve">percentile &lt;= 40%</w:t>
            </w:r>
          </w:p>
        </w:tc>
        <w:tc>
          <w:tcPr/>
          <w:p>
            <w:pPr>
              <w:pStyle w:val="Compact"/>
              <w:jc w:val="right"/>
            </w:pPr>
            <w:r>
              <w:t xml:space="preserve">12%</w:t>
            </w:r>
          </w:p>
        </w:tc>
      </w:tr>
      <w:tr>
        <w:tc>
          <w:tcPr/>
          <w:p>
            <w:pPr>
              <w:pStyle w:val="Compact"/>
              <w:jc w:val="left"/>
            </w:pPr>
            <w:r>
              <w:t xml:space="preserve">Normal</w:t>
            </w:r>
          </w:p>
        </w:tc>
        <w:tc>
          <w:tcPr/>
          <w:p>
            <w:pPr>
              <w:pStyle w:val="Compact"/>
              <w:jc w:val="left"/>
            </w:pPr>
            <w:r>
              <w:t xml:space="preserve">40% &lt; percentile &lt;= 80%</w:t>
            </w:r>
          </w:p>
        </w:tc>
        <w:tc>
          <w:tcPr/>
          <w:p>
            <w:pPr>
              <w:pStyle w:val="Compact"/>
              <w:jc w:val="right"/>
            </w:pPr>
            <w:r>
              <w:t xml:space="preserve">10%</w:t>
            </w:r>
          </w:p>
        </w:tc>
      </w:tr>
      <w:tr>
        <w:tc>
          <w:tcPr/>
          <w:p>
            <w:pPr>
              <w:pStyle w:val="Compact"/>
              <w:jc w:val="left"/>
            </w:pPr>
            <w:r>
              <w:t xml:space="preserve">Stress</w:t>
            </w:r>
          </w:p>
        </w:tc>
        <w:tc>
          <w:tcPr/>
          <w:p>
            <w:pPr>
              <w:pStyle w:val="Compact"/>
              <w:jc w:val="left"/>
            </w:pPr>
            <w:r>
              <w:t xml:space="preserve">80% &lt; percentile &lt;= 95%</w:t>
            </w:r>
          </w:p>
        </w:tc>
        <w:tc>
          <w:tcPr/>
          <w:p>
            <w:pPr>
              <w:pStyle w:val="Compact"/>
              <w:jc w:val="right"/>
            </w:pPr>
            <w:r>
              <w:t xml:space="preserve">6%</w:t>
            </w:r>
          </w:p>
        </w:tc>
      </w:tr>
      <w:tr>
        <w:tc>
          <w:tcPr/>
          <w:p>
            <w:pPr>
              <w:pStyle w:val="Compact"/>
              <w:jc w:val="left"/>
            </w:pPr>
            <w:r>
              <w:t xml:space="preserve">Crisis</w:t>
            </w:r>
          </w:p>
        </w:tc>
        <w:tc>
          <w:tcPr/>
          <w:p>
            <w:pPr>
              <w:pStyle w:val="Compact"/>
              <w:jc w:val="left"/>
            </w:pPr>
            <w:r>
              <w:t xml:space="preserve">percentile &gt; 95%</w:t>
            </w:r>
          </w:p>
        </w:tc>
        <w:tc>
          <w:tcPr/>
          <w:p>
            <w:pPr>
              <w:pStyle w:val="Compact"/>
              <w:jc w:val="right"/>
            </w:pPr>
            <w:r>
              <w:t xml:space="preserve">3%</w:t>
            </w:r>
          </w:p>
        </w:tc>
      </w:tr>
    </w:tbl>
    <w:p>
      <w:pPr>
        <w:pStyle w:val="BodyText"/>
      </w:pPr>
      <w:r>
        <w:t xml:space="preserve">Important: These are rule-based realized-volatility regimes, not full Markov-switching macro regimes.</w:t>
      </w:r>
    </w:p>
    <w:bookmarkEnd w:id="139"/>
    <w:bookmarkStart w:id="140" w:name="defensive-asset"/>
    <w:p>
      <w:pPr>
        <w:pStyle w:val="Heading3"/>
      </w:pPr>
      <w:r>
        <w:rPr>
          <w:rStyle w:val="SectionNumber"/>
        </w:rPr>
        <w:t xml:space="preserve">1.23.6</w:t>
      </w:r>
      <w:r>
        <w:tab/>
      </w:r>
      <w:r>
        <w:t xml:space="preserve">23.6 Defensive Asset</w:t>
      </w:r>
    </w:p>
    <w:p>
      <w:pPr>
        <w:pStyle w:val="FirstParagraph"/>
      </w:pPr>
      <w:r>
        <w:t xml:space="preserve">Default experiment defensive sleeve:</w:t>
      </w:r>
    </w:p>
    <w:p>
      <w:pPr>
        <w:pStyle w:val="SourceCode"/>
      </w:pPr>
      <w:r>
        <w:rPr>
          <w:rStyle w:val="VerbatimChar"/>
        </w:rPr>
        <w:t xml:space="preserve">Synthetic Risk-Free</w:t>
      </w:r>
    </w:p>
    <w:p>
      <w:pPr>
        <w:pStyle w:val="FirstParagraph"/>
      </w:pPr>
      <w:r>
        <w:t xml:space="preserve">Dashboard preferred defensive ticker:</w:t>
      </w:r>
    </w:p>
    <w:p>
      <w:pPr>
        <w:pStyle w:val="SourceCode"/>
      </w:pPr>
      <w:r>
        <w:rPr>
          <w:rStyle w:val="VerbatimChar"/>
        </w:rPr>
        <w:t xml:space="preserve">LIQUIDBEES.NS</w:t>
      </w:r>
    </w:p>
    <w:p>
      <w:pPr>
        <w:pStyle w:val="FirstParagraph"/>
      </w:pPr>
      <w:r>
        <w:t xml:space="preserve">Fallback ticker:</w:t>
      </w:r>
    </w:p>
    <w:p>
      <w:pPr>
        <w:pStyle w:val="SourceCode"/>
      </w:pPr>
      <w:r>
        <w:rPr>
          <w:rStyle w:val="VerbatimChar"/>
        </w:rPr>
        <w:t xml:space="preserve">LIQUIDETF.NS</w:t>
      </w:r>
    </w:p>
    <w:p>
      <w:pPr>
        <w:pStyle w:val="FirstParagraph"/>
      </w:pPr>
      <w:r>
        <w:t xml:space="preserve">If live defensive ticker data is unavailable, the system uses synthetic risk-free returns.</w:t>
      </w:r>
    </w:p>
    <w:bookmarkEnd w:id="140"/>
    <w:bookmarkStart w:id="141" w:name="no-look-ahead-logic"/>
    <w:p>
      <w:pPr>
        <w:pStyle w:val="Heading3"/>
      </w:pPr>
      <w:r>
        <w:rPr>
          <w:rStyle w:val="SectionNumber"/>
        </w:rPr>
        <w:t xml:space="preserve">1.23.7</w:t>
      </w:r>
      <w:r>
        <w:tab/>
      </w:r>
      <w:r>
        <w:t xml:space="preserve">23.7 No-Look-Ahead Logic</w:t>
      </w:r>
    </w:p>
    <w:p>
      <w:pPr>
        <w:pStyle w:val="FirstParagraph"/>
      </w:pPr>
      <w:r>
        <w:t xml:space="preserve">This is critical.</w:t>
      </w:r>
    </w:p>
    <w:p>
      <w:pPr>
        <w:pStyle w:val="BodyText"/>
      </w:pPr>
      <w:r>
        <w:t xml:space="preserve">The system must not use future information to set today’s exposure.</w:t>
      </w:r>
    </w:p>
    <w:p>
      <w:pPr>
        <w:pStyle w:val="BodyText"/>
      </w:pPr>
      <w:r>
        <w:t xml:space="preserve">Safeguards:</w:t>
      </w:r>
    </w:p>
    <w:p>
      <w:pPr>
        <w:pStyle w:val="SourceCode"/>
      </w:pPr>
      <w:r>
        <w:rPr>
          <w:rStyle w:val="VerbatimChar"/>
        </w:rPr>
        <w:t xml:space="preserve">realized volatility is shifted by one day</w:t>
      </w:r>
      <w:r>
        <w:br/>
      </w:r>
      <w:r>
        <w:rPr>
          <w:rStyle w:val="VerbatimChar"/>
        </w:rPr>
        <w:t xml:space="preserve">regime classification uses lagged realized volatility</w:t>
      </w:r>
      <w:r>
        <w:br/>
      </w:r>
      <w:r>
        <w:rPr>
          <w:rStyle w:val="VerbatimChar"/>
        </w:rPr>
        <w:t xml:space="preserve">exposure for day t uses information only through t-1</w:t>
      </w:r>
    </w:p>
    <w:p>
      <w:pPr>
        <w:pStyle w:val="FirstParagraph"/>
      </w:pPr>
      <w:r>
        <w:t xml:space="preserve">Correct:</w:t>
      </w:r>
    </w:p>
    <w:p>
      <w:pPr>
        <w:pStyle w:val="SourceCode"/>
      </w:pPr>
      <w:r>
        <w:rPr>
          <w:rStyle w:val="VerbatimChar"/>
        </w:rPr>
        <w:t xml:space="preserve">Use volatility observed until yesterday to decide today’s exposure.</w:t>
      </w:r>
    </w:p>
    <w:p>
      <w:pPr>
        <w:pStyle w:val="FirstParagraph"/>
      </w:pPr>
      <w:r>
        <w:t xml:space="preserve">Wrong:</w:t>
      </w:r>
    </w:p>
    <w:p>
      <w:pPr>
        <w:pStyle w:val="SourceCode"/>
      </w:pPr>
      <w:r>
        <w:rPr>
          <w:rStyle w:val="VerbatimChar"/>
        </w:rPr>
        <w:t xml:space="preserve">Use today’s realized return to decide today’s exposure.</w:t>
      </w:r>
    </w:p>
    <w:bookmarkEnd w:id="141"/>
    <w:bookmarkStart w:id="142" w:name="role-in-project-1"/>
    <w:p>
      <w:pPr>
        <w:pStyle w:val="Heading3"/>
      </w:pPr>
      <w:r>
        <w:rPr>
          <w:rStyle w:val="SectionNumber"/>
        </w:rPr>
        <w:t xml:space="preserve">1.23.8</w:t>
      </w:r>
      <w:r>
        <w:tab/>
      </w:r>
      <w:r>
        <w:t xml:space="preserve">23.8 Role in Project</w:t>
      </w:r>
    </w:p>
    <w:p>
      <w:pPr>
        <w:pStyle w:val="FirstParagraph"/>
      </w:pPr>
      <w:r>
        <w:t xml:space="preserve">Volatility targeting adds adaptive risk scaling without changing the underlying allocation method.</w:t>
      </w:r>
    </w:p>
    <w:p>
      <w:pPr>
        <w:pStyle w:val="BodyText"/>
      </w:pPr>
      <w:r>
        <w:t xml:space="preserve">Good explanation:</w:t>
      </w:r>
    </w:p>
    <w:p>
      <w:pPr>
        <w:pStyle w:val="BlockText"/>
      </w:pPr>
      <w:r>
        <w:t xml:space="preserve">HRP/HERC decide what risky basket to hold. Volatility targeting decides how much of that risky basket to hold.</w:t>
      </w:r>
    </w:p>
    <w:p>
      <w:r>
        <w:pict>
          <v:rect style="width:0;height:1.5pt" o:hralign="center" o:hrstd="t" o:hr="t"/>
        </w:pict>
      </w:r>
    </w:p>
    <w:bookmarkEnd w:id="142"/>
    <w:bookmarkEnd w:id="143"/>
    <w:bookmarkStart w:id="151" w:name="X5379d7c678af8f8392cb337fda93fb10313d2c3"/>
    <w:p>
      <w:pPr>
        <w:pStyle w:val="Heading2"/>
      </w:pPr>
      <w:r>
        <w:rPr>
          <w:rStyle w:val="SectionNumber"/>
        </w:rPr>
        <w:t xml:space="preserve">1.24</w:t>
      </w:r>
      <w:r>
        <w:tab/>
      </w:r>
      <w:r>
        <w:t xml:space="preserve">24. Stage 14 — Experiment Sensitivity Framework</w:t>
      </w:r>
    </w:p>
    <w:bookmarkStart w:id="144" w:name="what-the-experiment-framework-does"/>
    <w:p>
      <w:pPr>
        <w:pStyle w:val="Heading3"/>
      </w:pPr>
      <w:r>
        <w:rPr>
          <w:rStyle w:val="SectionNumber"/>
        </w:rPr>
        <w:t xml:space="preserve">1.24.1</w:t>
      </w:r>
      <w:r>
        <w:tab/>
      </w:r>
      <w:r>
        <w:t xml:space="preserve">24.1 What the Experiment Framework Does</w:t>
      </w:r>
    </w:p>
    <w:p>
      <w:pPr>
        <w:pStyle w:val="FirstParagraph"/>
      </w:pPr>
      <w:r>
        <w:t xml:space="preserve">The experiment framework runs multiple strategy configurations and ranks them by a selected objective metric.</w:t>
      </w:r>
    </w:p>
    <w:p>
      <w:pPr>
        <w:pStyle w:val="BodyText"/>
      </w:pPr>
      <w:r>
        <w:t xml:space="preserve">It can vary:</w:t>
      </w:r>
    </w:p>
    <w:p>
      <w:pPr>
        <w:pStyle w:val="SourceCode"/>
      </w:pPr>
      <w:r>
        <w:rPr>
          <w:rStyle w:val="VerbatimChar"/>
        </w:rPr>
        <w:t xml:space="preserve">strategy</w:t>
      </w:r>
      <w:r>
        <w:br/>
      </w:r>
      <w:r>
        <w:rPr>
          <w:rStyle w:val="VerbatimChar"/>
        </w:rPr>
        <w:t xml:space="preserve">covariance method</w:t>
      </w:r>
      <w:r>
        <w:br/>
      </w:r>
      <w:r>
        <w:rPr>
          <w:rStyle w:val="VerbatimChar"/>
        </w:rPr>
        <w:t xml:space="preserve">rebalance mode</w:t>
      </w:r>
      <w:r>
        <w:br/>
      </w:r>
      <w:r>
        <w:rPr>
          <w:rStyle w:val="VerbatimChar"/>
        </w:rPr>
        <w:t xml:space="preserve">threshold</w:t>
      </w:r>
      <w:r>
        <w:br/>
      </w:r>
      <w:r>
        <w:rPr>
          <w:rStyle w:val="VerbatimChar"/>
        </w:rPr>
        <w:t xml:space="preserve">transaction cost bps</w:t>
      </w:r>
      <w:r>
        <w:br/>
      </w:r>
      <w:r>
        <w:rPr>
          <w:rStyle w:val="VerbatimChar"/>
        </w:rPr>
        <w:t xml:space="preserve">slippage bps</w:t>
      </w:r>
      <w:r>
        <w:br/>
      </w:r>
      <w:r>
        <w:rPr>
          <w:rStyle w:val="VerbatimChar"/>
        </w:rPr>
        <w:t xml:space="preserve">volatility targeting enabled/disabled</w:t>
      </w:r>
      <w:r>
        <w:br/>
      </w:r>
      <w:r>
        <w:rPr>
          <w:rStyle w:val="VerbatimChar"/>
        </w:rPr>
        <w:t xml:space="preserve">target volatility</w:t>
      </w:r>
      <w:r>
        <w:br/>
      </w:r>
      <w:r>
        <w:rPr>
          <w:rStyle w:val="VerbatimChar"/>
        </w:rPr>
        <w:t xml:space="preserve">defensive asset</w:t>
      </w:r>
      <w:r>
        <w:br/>
      </w:r>
      <w:r>
        <w:rPr>
          <w:rStyle w:val="VerbatimChar"/>
        </w:rPr>
        <w:t xml:space="preserve">training window</w:t>
      </w:r>
      <w:r>
        <w:br/>
      </w:r>
      <w:r>
        <w:rPr>
          <w:rStyle w:val="VerbatimChar"/>
        </w:rPr>
        <w:t xml:space="preserve">initial capital</w:t>
      </w:r>
    </w:p>
    <w:bookmarkEnd w:id="144"/>
    <w:bookmarkStart w:id="145" w:name="ranking-objectives"/>
    <w:p>
      <w:pPr>
        <w:pStyle w:val="Heading3"/>
      </w:pPr>
      <w:r>
        <w:rPr>
          <w:rStyle w:val="SectionNumber"/>
        </w:rPr>
        <w:t xml:space="preserve">1.24.2</w:t>
      </w:r>
      <w:r>
        <w:tab/>
      </w:r>
      <w:r>
        <w:t xml:space="preserve">24.2 Ranking Objectives</w:t>
      </w:r>
    </w:p>
    <w:p>
      <w:pPr>
        <w:pStyle w:val="FirstParagraph"/>
      </w:pPr>
      <w:r>
        <w:t xml:space="preserve">Dashboard objectives:</w:t>
      </w:r>
    </w:p>
    <w:p>
      <w:pPr>
        <w:pStyle w:val="SourceCode"/>
      </w:pPr>
      <w:r>
        <w:rPr>
          <w:rStyle w:val="VerbatimChar"/>
        </w:rPr>
        <w:t xml:space="preserve">CAGR</w:t>
      </w:r>
      <w:r>
        <w:br/>
      </w:r>
      <w:r>
        <w:rPr>
          <w:rStyle w:val="VerbatimChar"/>
        </w:rPr>
        <w:t xml:space="preserve">Sharpe</w:t>
      </w:r>
      <w:r>
        <w:br/>
      </w:r>
      <w:r>
        <w:rPr>
          <w:rStyle w:val="VerbatimChar"/>
        </w:rPr>
        <w:t xml:space="preserve">Sortino</w:t>
      </w:r>
      <w:r>
        <w:br/>
      </w:r>
      <w:r>
        <w:rPr>
          <w:rStyle w:val="VerbatimChar"/>
        </w:rPr>
        <w:t xml:space="preserve">Calmar</w:t>
      </w:r>
      <w:r>
        <w:br/>
      </w:r>
      <w:r>
        <w:rPr>
          <w:rStyle w:val="VerbatimChar"/>
        </w:rPr>
        <w:t xml:space="preserve">Max Drawdown</w:t>
      </w:r>
      <w:r>
        <w:br/>
      </w:r>
      <w:r>
        <w:rPr>
          <w:rStyle w:val="VerbatimChar"/>
        </w:rPr>
        <w:t xml:space="preserve">Final Value</w:t>
      </w:r>
    </w:p>
    <w:p>
      <w:pPr>
        <w:pStyle w:val="FirstParagraph"/>
      </w:pPr>
      <w:r>
        <w:t xml:space="preserve">Default objective:</w:t>
      </w:r>
    </w:p>
    <w:p>
      <w:pPr>
        <w:pStyle w:val="SourceCode"/>
      </w:pPr>
      <w:r>
        <w:rPr>
          <w:rStyle w:val="VerbatimChar"/>
        </w:rPr>
        <w:t xml:space="preserve">Calmar</w:t>
      </w:r>
    </w:p>
    <w:p>
      <w:pPr>
        <w:pStyle w:val="FirstParagraph"/>
      </w:pPr>
      <w:r>
        <w:t xml:space="preserve">Reason:</w:t>
      </w:r>
    </w:p>
    <w:p>
      <w:pPr>
        <w:pStyle w:val="BodyText"/>
      </w:pPr>
      <w:r>
        <w:t xml:space="preserve">The dashboard selectbox uses</w:t>
      </w:r>
      <w:r>
        <w:t xml:space="preserve"> </w:t>
      </w:r>
      <w:r>
        <w:rPr>
          <w:rStyle w:val="VerbatimChar"/>
        </w:rPr>
        <w:t xml:space="preserve">index=3</w:t>
      </w:r>
      <w:r>
        <w:t xml:space="preserve">, and</w:t>
      </w:r>
      <w:r>
        <w:t xml:space="preserve"> </w:t>
      </w:r>
      <w:r>
        <w:rPr>
          <w:rStyle w:val="VerbatimChar"/>
        </w:rPr>
        <w:t xml:space="preserve">Calmar</w:t>
      </w:r>
      <w:r>
        <w:t xml:space="preserve"> </w:t>
      </w:r>
      <w:r>
        <w:t xml:space="preserve">is the fourth option.</w:t>
      </w:r>
    </w:p>
    <w:p>
      <w:pPr>
        <w:pStyle w:val="BodyText"/>
      </w:pPr>
      <w:r>
        <w:t xml:space="preserve">Code reference:</w:t>
      </w:r>
    </w:p>
    <w:p>
      <w:pPr>
        <w:pStyle w:val="SourceCode"/>
      </w:pPr>
      <w:r>
        <w:rPr>
          <w:rStyle w:val="VerbatimChar"/>
        </w:rPr>
        <w:t xml:space="preserve">src/dashboard/app.py</w:t>
      </w:r>
    </w:p>
    <w:bookmarkEnd w:id="145"/>
    <w:bookmarkStart w:id="146" w:name="default-ranking-logic"/>
    <w:p>
      <w:pPr>
        <w:pStyle w:val="Heading3"/>
      </w:pPr>
      <w:r>
        <w:rPr>
          <w:rStyle w:val="SectionNumber"/>
        </w:rPr>
        <w:t xml:space="preserve">1.24.3</w:t>
      </w:r>
      <w:r>
        <w:tab/>
      </w:r>
      <w:r>
        <w:t xml:space="preserve">24.3 Default Ranking Logic</w:t>
      </w:r>
    </w:p>
    <w:p>
      <w:pPr>
        <w:pStyle w:val="FirstParagraph"/>
      </w:pPr>
      <w:r>
        <w:t xml:space="preserve">The ranking is</w:t>
      </w:r>
      <w:r>
        <w:t xml:space="preserve"> </w:t>
      </w:r>
      <w:r>
        <w:rPr>
          <w:b/>
          <w:bCs/>
        </w:rPr>
        <w:t xml:space="preserve">single-objective</w:t>
      </w:r>
      <w:r>
        <w:t xml:space="preserve">, not multi-objective.</w:t>
      </w:r>
    </w:p>
    <w:p>
      <w:pPr>
        <w:pStyle w:val="BodyText"/>
      </w:pPr>
      <w:r>
        <w:t xml:space="preserve">That means the code does not apply weights such as:</w:t>
      </w:r>
    </w:p>
    <w:p>
      <w:pPr>
        <w:pStyle w:val="SourceCode"/>
      </w:pPr>
      <w:r>
        <w:rPr>
          <w:rStyle w:val="VerbatimChar"/>
        </w:rPr>
        <w:t xml:space="preserve">40% Sharpe + 30% CAGR + 20% drawdown + 10% turnover</w:t>
      </w:r>
    </w:p>
    <w:p>
      <w:pPr>
        <w:pStyle w:val="FirstParagraph"/>
      </w:pPr>
      <w:r>
        <w:t xml:space="preserve">Instead, it ranks by one selected metric.</w:t>
      </w:r>
    </w:p>
    <w:p>
      <w:pPr>
        <w:pStyle w:val="BodyText"/>
      </w:pPr>
      <w:r>
        <w:t xml:space="preserve">Default:</w:t>
      </w:r>
    </w:p>
    <w:p>
      <w:pPr>
        <w:pStyle w:val="BodyText"/>
      </w:pPr>
      <m:oMathPara>
        <m:oMathParaPr>
          <m:jc m:val="center"/>
        </m:oMathParaPr>
        <m:oMath>
          <m:r>
            <m:rPr>
              <m:nor/>
              <m:sty m:val="p"/>
            </m:rPr>
            <m:t>best strategy</m:t>
          </m:r>
          <m:r>
            <m:rPr>
              <m:sty m:val="p"/>
            </m:rPr>
            <m:t>=</m:t>
          </m:r>
          <m:r>
            <m:rPr>
              <m:sty m:val="p"/>
            </m:rPr>
            <m:t>arg</m:t>
          </m:r>
          <m:r>
            <m:rPr>
              <m:sty m:val="p"/>
            </m:rPr>
            <m:t>max</m:t>
          </m:r>
          <m:d>
            <m:dPr>
              <m:begChr m:val="("/>
              <m:endChr m:val=")"/>
              <m:sepChr m:val=""/>
              <m:grow/>
            </m:dPr>
            <m:e>
              <m:r>
                <m:rPr>
                  <m:nor/>
                  <m:sty m:val="p"/>
                </m:rPr>
                <m:t>Calmar</m:t>
              </m:r>
            </m:e>
          </m:d>
        </m:oMath>
      </m:oMathPara>
    </w:p>
    <w:p>
      <w:pPr>
        <w:pStyle w:val="FirstParagraph"/>
      </w:pPr>
      <w:r>
        <w:t xml:space="preserve">Formula:</w:t>
      </w:r>
    </w:p>
    <w:p>
      <w:pPr>
        <w:pStyle w:val="BodyText"/>
      </w:pPr>
      <m:oMathPara>
        <m:oMathParaPr>
          <m:jc m:val="center"/>
        </m:oMathParaPr>
        <m:oMath>
          <m:r>
            <m:rPr>
              <m:nor/>
              <m:sty m:val="p"/>
            </m:rPr>
            <m:t>Calmar</m:t>
          </m:r>
          <m:r>
            <m:rPr>
              <m:sty m:val="p"/>
            </m:rPr>
            <m:t>=</m:t>
          </m:r>
          <m:f>
            <m:fPr>
              <m:type m:val="bar"/>
            </m:fPr>
            <m:num>
              <m:r>
                <m:rPr>
                  <m:nor/>
                  <m:sty m:val="p"/>
                </m:rPr>
                <m:t>CAGR</m:t>
              </m:r>
            </m:num>
            <m:den>
              <m:d>
                <m:dPr>
                  <m:begChr m:val="|"/>
                  <m:endChr m:val="|"/>
                  <m:sepChr m:val=""/>
                  <m:grow/>
                </m:dPr>
                <m:e>
                  <m:r>
                    <m:rPr>
                      <m:nor/>
                      <m:sty m:val="p"/>
                    </m:rPr>
                    <m:t>Max Drawdown</m:t>
                  </m:r>
                </m:e>
              </m:d>
            </m:den>
          </m:f>
        </m:oMath>
      </m:oMathPara>
    </w:p>
    <w:p>
      <w:pPr>
        <w:pStyle w:val="FirstParagraph"/>
      </w:pPr>
      <w:r>
        <w:t xml:space="preserve">Interpretation:</w:t>
      </w:r>
    </w:p>
    <w:p>
      <w:pPr>
        <w:pStyle w:val="BodyText"/>
      </w:pPr>
      <w:r>
        <w:t xml:space="preserve">The default ranking favors strategies that produce good growth while keeping drawdowns small.</w:t>
      </w:r>
    </w:p>
    <w:bookmarkEnd w:id="146"/>
    <w:bookmarkStart w:id="147" w:name="Xd827b48b0b61b3c1c3944e89bb1e062111ce9f4"/>
    <w:p>
      <w:pPr>
        <w:pStyle w:val="Heading3"/>
      </w:pPr>
      <w:r>
        <w:rPr>
          <w:rStyle w:val="SectionNumber"/>
        </w:rPr>
        <w:t xml:space="preserve">1.24.4</w:t>
      </w:r>
      <w:r>
        <w:tab/>
      </w:r>
      <w:r>
        <w:t xml:space="preserve">24.4 Important Detail About Max Drawdown Sorting</w:t>
      </w:r>
    </w:p>
    <w:p>
      <w:pPr>
        <w:pStyle w:val="FirstParagraph"/>
      </w:pPr>
      <w:r>
        <w:t xml:space="preserve">The code sorts objectives descending, including</w:t>
      </w:r>
      <w:r>
        <w:t xml:space="preserve"> </w:t>
      </w:r>
      <w:r>
        <w:rPr>
          <w:rStyle w:val="VerbatimChar"/>
        </w:rPr>
        <w:t xml:space="preserve">max_drawdown</w:t>
      </w:r>
      <w:r>
        <w:t xml:space="preserve">.</w:t>
      </w:r>
    </w:p>
    <w:p>
      <w:pPr>
        <w:pStyle w:val="BodyText"/>
      </w:pPr>
      <w:r>
        <w:t xml:space="preserve">Because max drawdown is negative, less negative is better.</w:t>
      </w:r>
    </w:p>
    <w:p>
      <w:pPr>
        <w:pStyle w:val="BodyText"/>
      </w:pPr>
      <w:r>
        <w:t xml:space="preserve">Example:</w:t>
      </w:r>
    </w:p>
    <w:p>
      <w:pPr>
        <w:pStyle w:val="SourceCode"/>
      </w:pPr>
      <w:r>
        <w:rPr>
          <w:rStyle w:val="VerbatimChar"/>
        </w:rPr>
        <w:t xml:space="preserve">-0.08 is better than -0.25</w:t>
      </w:r>
    </w:p>
    <w:p>
      <w:pPr>
        <w:pStyle w:val="FirstParagraph"/>
      </w:pPr>
      <w:r>
        <w:t xml:space="preserve">Descending sort correctly ranks:</w:t>
      </w:r>
    </w:p>
    <w:p>
      <w:pPr>
        <w:pStyle w:val="SourceCode"/>
      </w:pPr>
      <w:r>
        <w:rPr>
          <w:rStyle w:val="VerbatimChar"/>
        </w:rPr>
        <w:t xml:space="preserve">-0.08 above -0.25</w:t>
      </w:r>
    </w:p>
    <w:p>
      <w:pPr>
        <w:pStyle w:val="FirstParagraph"/>
      </w:pPr>
      <w:r>
        <w:t xml:space="preserve">Code reference:</w:t>
      </w:r>
    </w:p>
    <w:p>
      <w:pPr>
        <w:pStyle w:val="SourceCode"/>
      </w:pPr>
      <w:r>
        <w:rPr>
          <w:rStyle w:val="VerbatimChar"/>
        </w:rPr>
        <w:t xml:space="preserve">src/experiments/sensitivity.py</w:t>
      </w:r>
    </w:p>
    <w:bookmarkEnd w:id="147"/>
    <w:bookmarkStart w:id="148" w:name="diagnostic-metrics-recorded"/>
    <w:p>
      <w:pPr>
        <w:pStyle w:val="Heading3"/>
      </w:pPr>
      <w:r>
        <w:rPr>
          <w:rStyle w:val="SectionNumber"/>
        </w:rPr>
        <w:t xml:space="preserve">1.24.5</w:t>
      </w:r>
      <w:r>
        <w:tab/>
      </w:r>
      <w:r>
        <w:t xml:space="preserve">24.5 Diagnostic Metrics Recorded</w:t>
      </w:r>
    </w:p>
    <w:p>
      <w:pPr>
        <w:pStyle w:val="FirstParagraph"/>
      </w:pPr>
      <w:r>
        <w:t xml:space="preserve">Experiment records may include:</w:t>
      </w:r>
    </w:p>
    <w:p>
      <w:pPr>
        <w:pStyle w:val="SourceCode"/>
      </w:pPr>
      <w:r>
        <w:rPr>
          <w:rStyle w:val="VerbatimChar"/>
        </w:rPr>
        <w:t xml:space="preserve">total_turnover</w:t>
      </w:r>
      <w:r>
        <w:br/>
      </w:r>
      <w:r>
        <w:rPr>
          <w:rStyle w:val="VerbatimChar"/>
        </w:rPr>
        <w:t xml:space="preserve">average_turnover</w:t>
      </w:r>
      <w:r>
        <w:br/>
      </w:r>
      <w:r>
        <w:rPr>
          <w:rStyle w:val="VerbatimChar"/>
        </w:rPr>
        <w:t xml:space="preserve">total_transaction_cost</w:t>
      </w:r>
      <w:r>
        <w:br/>
      </w:r>
      <w:r>
        <w:rPr>
          <w:rStyle w:val="VerbatimChar"/>
        </w:rPr>
        <w:t xml:space="preserve">number_of_rebalances</w:t>
      </w:r>
    </w:p>
    <w:p>
      <w:pPr>
        <w:pStyle w:val="FirstParagraph"/>
      </w:pPr>
      <w:r>
        <w:t xml:space="preserve">These are not directly used in ranking unless they affect the selected objective through net portfolio value or returns.</w:t>
      </w:r>
    </w:p>
    <w:p>
      <w:pPr>
        <w:pStyle w:val="BodyText"/>
      </w:pPr>
      <w:r>
        <w:t xml:space="preserve">Correct explanation:</w:t>
      </w:r>
    </w:p>
    <w:p>
      <w:pPr>
        <w:pStyle w:val="BlockText"/>
      </w:pPr>
      <w:r>
        <w:t xml:space="preserve">Turnover and transaction cost are recorded as diagnostics. The current ranking does not explicitly penalize turnover by a fixed weight. A future extension can implement multi-objective ranking.</w:t>
      </w:r>
    </w:p>
    <w:bookmarkEnd w:id="148"/>
    <w:bookmarkStart w:id="149" w:name="result-table-template"/>
    <w:p>
      <w:pPr>
        <w:pStyle w:val="Heading3"/>
      </w:pPr>
      <w:r>
        <w:rPr>
          <w:rStyle w:val="SectionNumber"/>
        </w:rPr>
        <w:t xml:space="preserve">1.24.6</w:t>
      </w:r>
      <w:r>
        <w:tab/>
      </w:r>
      <w:r>
        <w:t xml:space="preserve">24.6 Result Table Template</w:t>
      </w:r>
    </w:p>
    <w:p>
      <w:pPr>
        <w:pStyle w:val="FirstParagraph"/>
      </w:pPr>
      <w:r>
        <w:t xml:space="preserve">Use this template after running verified experiments. Do not fill it with unverified results.</w:t>
      </w:r>
    </w:p>
    <w:p>
      <w:pPr>
        <w:pStyle w:val="BodyText"/>
      </w:pPr>
      <w:r>
        <w:rPr>
          <w:b/>
          <w:bCs/>
        </w:rPr>
        <w:t xml:space="preserve">Configuration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Strategy</w:t>
            </w:r>
          </w:p>
        </w:tc>
        <w:tc>
          <w:tcPr/>
          <w:p>
            <w:pPr>
              <w:pStyle w:val="Compact"/>
              <w:jc w:val="left"/>
            </w:pPr>
            <w:r>
              <w:t xml:space="preserve">Example</w:t>
            </w:r>
          </w:p>
        </w:tc>
      </w:tr>
      <w:tr>
        <w:tc>
          <w:tcPr/>
          <w:p>
            <w:pPr>
              <w:pStyle w:val="Compact"/>
              <w:jc w:val="left"/>
            </w:pPr>
            <w:r>
              <w:t xml:space="preserve">Covariance method</w:t>
            </w:r>
          </w:p>
        </w:tc>
        <w:tc>
          <w:tcPr/>
          <w:p>
            <w:pPr>
              <w:pStyle w:val="Compact"/>
              <w:jc w:val="left"/>
            </w:pPr>
            <w:r>
              <w:t xml:space="preserve">Example</w:t>
            </w:r>
          </w:p>
        </w:tc>
      </w:tr>
      <w:tr>
        <w:tc>
          <w:tcPr/>
          <w:p>
            <w:pPr>
              <w:pStyle w:val="Compact"/>
              <w:jc w:val="left"/>
            </w:pPr>
            <w:r>
              <w:t xml:space="preserve">Rebalance mode</w:t>
            </w:r>
          </w:p>
        </w:tc>
        <w:tc>
          <w:tcPr/>
          <w:p>
            <w:pPr>
              <w:pStyle w:val="Compact"/>
              <w:jc w:val="left"/>
            </w:pPr>
            <w:r>
              <w:t xml:space="preserve">Example</w:t>
            </w:r>
          </w:p>
        </w:tc>
      </w:tr>
      <w:tr>
        <w:tc>
          <w:tcPr/>
          <w:p>
            <w:pPr>
              <w:pStyle w:val="Compact"/>
              <w:jc w:val="left"/>
            </w:pPr>
            <w:r>
              <w:t xml:space="preserve">Threshold</w:t>
            </w:r>
          </w:p>
        </w:tc>
        <w:tc>
          <w:tcPr/>
          <w:p>
            <w:pPr>
              <w:pStyle w:val="Compact"/>
              <w:jc w:val="left"/>
            </w:pPr>
            <w:r>
              <w:t xml:space="preserve">Example</w:t>
            </w:r>
          </w:p>
        </w:tc>
      </w:tr>
      <w:tr>
        <w:tc>
          <w:tcPr/>
          <w:p>
            <w:pPr>
              <w:pStyle w:val="Compact"/>
              <w:jc w:val="left"/>
            </w:pPr>
            <w:r>
              <w:t xml:space="preserve">Volatility targeting enabled?</w:t>
            </w:r>
          </w:p>
        </w:tc>
        <w:tc>
          <w:tcPr/>
          <w:p>
            <w:pPr>
              <w:pStyle w:val="Compact"/>
              <w:jc w:val="left"/>
            </w:pPr>
            <w:r>
              <w:t xml:space="preserve">Example</w:t>
            </w:r>
          </w:p>
        </w:tc>
      </w:tr>
    </w:tbl>
    <w:p>
      <w:pPr>
        <w:pStyle w:val="BodyText"/>
      </w:pPr>
      <w:r>
        <w:rPr>
          <w:b/>
          <w:bCs/>
        </w:rPr>
        <w:t xml:space="preserve">Performance and risk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CAGR</w:t>
            </w:r>
          </w:p>
        </w:tc>
        <w:tc>
          <w:tcPr/>
          <w:p>
            <w:pPr>
              <w:pStyle w:val="Compact"/>
              <w:jc w:val="right"/>
            </w:pPr>
            <w:r>
              <w:t xml:space="preserve">—</w:t>
            </w:r>
          </w:p>
        </w:tc>
      </w:tr>
      <w:tr>
        <w:tc>
          <w:tcPr/>
          <w:p>
            <w:pPr>
              <w:pStyle w:val="Compact"/>
              <w:jc w:val="left"/>
            </w:pPr>
            <w:r>
              <w:t xml:space="preserve">Volatility</w:t>
            </w:r>
          </w:p>
        </w:tc>
        <w:tc>
          <w:tcPr/>
          <w:p>
            <w:pPr>
              <w:pStyle w:val="Compact"/>
              <w:jc w:val="right"/>
            </w:pPr>
            <w:r>
              <w:t xml:space="preserve">—</w:t>
            </w:r>
          </w:p>
        </w:tc>
      </w:tr>
      <w:tr>
        <w:tc>
          <w:tcPr/>
          <w:p>
            <w:pPr>
              <w:pStyle w:val="Compact"/>
              <w:jc w:val="left"/>
            </w:pPr>
            <w:r>
              <w:t xml:space="preserve">Sharpe</w:t>
            </w:r>
          </w:p>
        </w:tc>
        <w:tc>
          <w:tcPr/>
          <w:p>
            <w:pPr>
              <w:pStyle w:val="Compact"/>
              <w:jc w:val="right"/>
            </w:pPr>
            <w:r>
              <w:t xml:space="preserve">—</w:t>
            </w:r>
          </w:p>
        </w:tc>
      </w:tr>
      <w:tr>
        <w:tc>
          <w:tcPr/>
          <w:p>
            <w:pPr>
              <w:pStyle w:val="Compact"/>
              <w:jc w:val="left"/>
            </w:pPr>
            <w:r>
              <w:t xml:space="preserve">Sortino</w:t>
            </w:r>
          </w:p>
        </w:tc>
        <w:tc>
          <w:tcPr/>
          <w:p>
            <w:pPr>
              <w:pStyle w:val="Compact"/>
              <w:jc w:val="right"/>
            </w:pPr>
            <w:r>
              <w:t xml:space="preserve">—</w:t>
            </w:r>
          </w:p>
        </w:tc>
      </w:tr>
      <w:tr>
        <w:tc>
          <w:tcPr/>
          <w:p>
            <w:pPr>
              <w:pStyle w:val="Compact"/>
              <w:jc w:val="left"/>
            </w:pPr>
            <w:r>
              <w:t xml:space="preserve">Calmar</w:t>
            </w:r>
          </w:p>
        </w:tc>
        <w:tc>
          <w:tcPr/>
          <w:p>
            <w:pPr>
              <w:pStyle w:val="Compact"/>
              <w:jc w:val="right"/>
            </w:pPr>
            <w:r>
              <w:t xml:space="preserve">—</w:t>
            </w:r>
          </w:p>
        </w:tc>
      </w:tr>
      <w:tr>
        <w:tc>
          <w:tcPr/>
          <w:p>
            <w:pPr>
              <w:pStyle w:val="Compact"/>
              <w:jc w:val="left"/>
            </w:pPr>
            <w:r>
              <w:t xml:space="preserve">Max Drawdown</w:t>
            </w:r>
          </w:p>
        </w:tc>
        <w:tc>
          <w:tcPr/>
          <w:p>
            <w:pPr>
              <w:pStyle w:val="Compact"/>
              <w:jc w:val="right"/>
            </w:pPr>
            <w:r>
              <w:t xml:space="preserve">—</w:t>
            </w:r>
          </w:p>
        </w:tc>
      </w:tr>
      <w:tr>
        <w:tc>
          <w:tcPr/>
          <w:p>
            <w:pPr>
              <w:pStyle w:val="Compact"/>
              <w:jc w:val="left"/>
            </w:pPr>
            <w:r>
              <w:t xml:space="preserve">Final Value</w:t>
            </w:r>
          </w:p>
        </w:tc>
        <w:tc>
          <w:tcPr/>
          <w:p>
            <w:pPr>
              <w:pStyle w:val="Compact"/>
              <w:jc w:val="right"/>
            </w:pPr>
            <w:r>
              <w:t xml:space="preserve">—</w:t>
            </w:r>
          </w:p>
        </w:tc>
      </w:tr>
    </w:tbl>
    <w:p>
      <w:pPr>
        <w:pStyle w:val="BodyText"/>
      </w:pPr>
      <w:r>
        <w:rPr>
          <w:b/>
          <w:bCs/>
        </w:rPr>
        <w:t xml:space="preserve">Trading diagnostics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Diagnostic</w:t>
            </w:r>
          </w:p>
        </w:tc>
        <w:tc>
          <w:tcPr/>
          <w:p>
            <w:pPr>
              <w:pStyle w:val="Compact"/>
              <w:jc w:val="right"/>
            </w:pPr>
            <w:r>
              <w:t xml:space="preserve">Value</w:t>
            </w:r>
          </w:p>
        </w:tc>
      </w:tr>
      <w:tr>
        <w:tc>
          <w:tcPr/>
          <w:p>
            <w:pPr>
              <w:pStyle w:val="Compact"/>
              <w:jc w:val="left"/>
            </w:pPr>
            <w:r>
              <w:t xml:space="preserve">Turnover</w:t>
            </w:r>
          </w:p>
        </w:tc>
        <w:tc>
          <w:tcPr/>
          <w:p>
            <w:pPr>
              <w:pStyle w:val="Compact"/>
              <w:jc w:val="right"/>
            </w:pPr>
            <w:r>
              <w:t xml:space="preserve">—</w:t>
            </w:r>
          </w:p>
        </w:tc>
      </w:tr>
      <w:tr>
        <w:tc>
          <w:tcPr/>
          <w:p>
            <w:pPr>
              <w:pStyle w:val="Compact"/>
              <w:jc w:val="left"/>
            </w:pPr>
            <w:r>
              <w:t xml:space="preserve">Transaction Cost</w:t>
            </w:r>
          </w:p>
        </w:tc>
        <w:tc>
          <w:tcPr/>
          <w:p>
            <w:pPr>
              <w:pStyle w:val="Compact"/>
              <w:jc w:val="right"/>
            </w:pPr>
            <w:r>
              <w:t xml:space="preserve">—</w:t>
            </w:r>
          </w:p>
        </w:tc>
      </w:tr>
      <w:tr>
        <w:tc>
          <w:tcPr/>
          <w:p>
            <w:pPr>
              <w:pStyle w:val="Compact"/>
              <w:jc w:val="left"/>
            </w:pPr>
            <w:r>
              <w:t xml:space="preserve">Number of Rebalances</w:t>
            </w:r>
          </w:p>
        </w:tc>
        <w:tc>
          <w:tcPr/>
          <w:p>
            <w:pPr>
              <w:pStyle w:val="Compact"/>
              <w:jc w:val="right"/>
            </w:pPr>
            <w:r>
              <w:t xml:space="preserve">—</w:t>
            </w:r>
          </w:p>
        </w:tc>
      </w:tr>
    </w:tbl>
    <w:bookmarkEnd w:id="149"/>
    <w:bookmarkStart w:id="150" w:name="Xec21b04fdfc5c58e0e5a3c81796e863b465af47"/>
    <w:p>
      <w:pPr>
        <w:pStyle w:val="Heading3"/>
      </w:pPr>
      <w:r>
        <w:rPr>
          <w:rStyle w:val="SectionNumber"/>
        </w:rPr>
        <w:t xml:space="preserve">1.24.7</w:t>
      </w:r>
      <w:r>
        <w:tab/>
      </w:r>
      <w:r>
        <w:t xml:space="preserve">24.7 Future Enhancement: Multi-Objective Decision Model</w:t>
      </w:r>
    </w:p>
    <w:p>
      <w:pPr>
        <w:pStyle w:val="FirstParagraph"/>
      </w:pPr>
      <w:r>
        <w:t xml:space="preserve">A stronger version could compute:</w:t>
      </w:r>
    </w:p>
    <w:p>
      <w:pPr>
        <w:pStyle w:val="BodyText"/>
      </w:pPr>
      <m:oMathPara>
        <m:oMathParaPr>
          <m:jc m:val="center"/>
        </m:oMathParaPr>
        <m:oMath>
          <m:r>
            <m:rPr>
              <m:nor/>
              <m:sty m:val="p"/>
            </m:rPr>
            <m:t>score</m:t>
          </m:r>
          <m:r>
            <m:rPr>
              <m:sty m:val="p"/>
            </m:rPr>
            <m:t>=</m:t>
          </m:r>
          <m:r>
            <m:t>0.30</m:t>
          </m:r>
          <m:sSub>
            <m:e>
              <m:r>
                <m:t>C</m:t>
              </m:r>
            </m:e>
            <m:sub>
              <m:r>
                <m:t>n</m:t>
              </m:r>
              <m:r>
                <m:t>o</m:t>
              </m:r>
              <m:r>
                <m:t>r</m:t>
              </m:r>
              <m:r>
                <m:t>m</m:t>
              </m:r>
            </m:sub>
          </m:sSub>
          <m:r>
            <m:rPr>
              <m:sty m:val="p"/>
            </m:rPr>
            <m:t>+</m:t>
          </m:r>
          <m:r>
            <m:t>0.25</m:t>
          </m:r>
          <m:sSub>
            <m:e>
              <m:r>
                <m:t>S</m:t>
              </m:r>
            </m:e>
            <m:sub>
              <m:r>
                <m:t>n</m:t>
              </m:r>
              <m:r>
                <m:t>o</m:t>
              </m:r>
              <m:r>
                <m:t>r</m:t>
              </m:r>
              <m:r>
                <m:t>m</m:t>
              </m:r>
            </m:sub>
          </m:sSub>
          <m:r>
            <m:rPr>
              <m:sty m:val="p"/>
            </m:rPr>
            <m:t>+</m:t>
          </m:r>
          <m:r>
            <m:t>0.20</m:t>
          </m:r>
          <m:sSub>
            <m:e>
              <m:r>
                <m:t>G</m:t>
              </m:r>
            </m:e>
            <m:sub>
              <m:r>
                <m:t>n</m:t>
              </m:r>
              <m:r>
                <m:t>o</m:t>
              </m:r>
              <m:r>
                <m:t>r</m:t>
              </m:r>
              <m:r>
                <m:t>m</m:t>
              </m:r>
            </m:sub>
          </m:sSub>
          <m:r>
            <m:rPr>
              <m:sty m:val="p"/>
            </m:rPr>
            <m:t>+</m:t>
          </m:r>
          <m:r>
            <m:t>0.15</m:t>
          </m:r>
          <m:sSub>
            <m:e>
              <m:r>
                <m:t>D</m:t>
              </m:r>
            </m:e>
            <m:sub>
              <m:r>
                <m:t>n</m:t>
              </m:r>
              <m:r>
                <m:t>o</m:t>
              </m:r>
              <m:r>
                <m:t>r</m:t>
              </m:r>
              <m:r>
                <m:t>m</m:t>
              </m:r>
            </m:sub>
          </m:sSub>
          <m:r>
            <m:rPr>
              <m:sty m:val="p"/>
            </m:rPr>
            <m:t>+</m:t>
          </m:r>
          <m:r>
            <m:t>0.10</m:t>
          </m:r>
          <m:sSub>
            <m:e>
              <m:r>
                <m:t>K</m:t>
              </m:r>
            </m:e>
            <m:sub>
              <m:r>
                <m:t>n</m:t>
              </m:r>
              <m:r>
                <m:t>o</m:t>
              </m:r>
              <m:r>
                <m:t>r</m:t>
              </m:r>
              <m:r>
                <m:t>m</m:t>
              </m:r>
            </m:sub>
          </m:sSub>
        </m:oMath>
      </m:oMathPara>
    </w:p>
    <w:p>
      <w:pPr>
        <w:pStyle w:val="FirstParagraph"/>
      </w:pPr>
      <w:r>
        <w:t xml:space="preserve">But this is not current behavior.</w:t>
      </w:r>
    </w:p>
    <w:p>
      <w:r>
        <w:pict>
          <v:rect style="width:0;height:1.5pt" o:hralign="center" o:hrstd="t" o:hr="t"/>
        </w:pict>
      </w:r>
    </w:p>
    <w:bookmarkEnd w:id="150"/>
    <w:bookmarkEnd w:id="151"/>
    <w:bookmarkStart w:id="155" w:name="dashboard-workflow"/>
    <w:p>
      <w:pPr>
        <w:pStyle w:val="Heading2"/>
      </w:pPr>
      <w:r>
        <w:rPr>
          <w:rStyle w:val="SectionNumber"/>
        </w:rPr>
        <w:t xml:space="preserve">1.25</w:t>
      </w:r>
      <w:r>
        <w:tab/>
      </w:r>
      <w:r>
        <w:t xml:space="preserve">25. Dashboard Workflow</w:t>
      </w:r>
    </w:p>
    <w:bookmarkStart w:id="152" w:name="what-the-dashboard-allows"/>
    <w:p>
      <w:pPr>
        <w:pStyle w:val="Heading3"/>
      </w:pPr>
      <w:r>
        <w:rPr>
          <w:rStyle w:val="SectionNumber"/>
        </w:rPr>
        <w:t xml:space="preserve">1.25.1</w:t>
      </w:r>
      <w:r>
        <w:tab/>
      </w:r>
      <w:r>
        <w:t xml:space="preserve">25.1 What the Dashboard Allows</w:t>
      </w:r>
    </w:p>
    <w:p>
      <w:pPr>
        <w:pStyle w:val="FirstParagraph"/>
      </w:pPr>
      <w:r>
        <w:t xml:space="preserve">The Streamlit dashboard allows users to:</w:t>
      </w:r>
    </w:p>
    <w:p>
      <w:pPr>
        <w:pStyle w:val="Compact"/>
        <w:numPr>
          <w:ilvl w:val="0"/>
          <w:numId w:val="1028"/>
        </w:numPr>
      </w:pPr>
      <w:r>
        <w:t xml:space="preserve">Select an asset universe.</w:t>
      </w:r>
    </w:p>
    <w:p>
      <w:pPr>
        <w:pStyle w:val="Compact"/>
        <w:numPr>
          <w:ilvl w:val="0"/>
          <w:numId w:val="1028"/>
        </w:numPr>
      </w:pPr>
      <w:r>
        <w:t xml:space="preserve">Override tickers manually.</w:t>
      </w:r>
    </w:p>
    <w:p>
      <w:pPr>
        <w:pStyle w:val="Compact"/>
        <w:numPr>
          <w:ilvl w:val="0"/>
          <w:numId w:val="1028"/>
        </w:numPr>
      </w:pPr>
      <w:r>
        <w:t xml:space="preserve">Select date range.</w:t>
      </w:r>
    </w:p>
    <w:p>
      <w:pPr>
        <w:pStyle w:val="Compact"/>
        <w:numPr>
          <w:ilvl w:val="0"/>
          <w:numId w:val="1028"/>
        </w:numPr>
      </w:pPr>
      <w:r>
        <w:t xml:space="preserve">Choose strategy.</w:t>
      </w:r>
    </w:p>
    <w:p>
      <w:pPr>
        <w:pStyle w:val="Compact"/>
        <w:numPr>
          <w:ilvl w:val="0"/>
          <w:numId w:val="1028"/>
        </w:numPr>
      </w:pPr>
      <w:r>
        <w:t xml:space="preserve">Choose covariance method.</w:t>
      </w:r>
    </w:p>
    <w:p>
      <w:pPr>
        <w:pStyle w:val="Compact"/>
        <w:numPr>
          <w:ilvl w:val="0"/>
          <w:numId w:val="1028"/>
        </w:numPr>
      </w:pPr>
      <w:r>
        <w:t xml:space="preserve">Choose rebalance rule.</w:t>
      </w:r>
    </w:p>
    <w:p>
      <w:pPr>
        <w:pStyle w:val="Compact"/>
        <w:numPr>
          <w:ilvl w:val="0"/>
          <w:numId w:val="1028"/>
        </w:numPr>
      </w:pPr>
      <w:r>
        <w:t xml:space="preserve">Configure transaction costs and slippage.</w:t>
      </w:r>
    </w:p>
    <w:p>
      <w:pPr>
        <w:pStyle w:val="Compact"/>
        <w:numPr>
          <w:ilvl w:val="0"/>
          <w:numId w:val="1028"/>
        </w:numPr>
      </w:pPr>
      <w:r>
        <w:t xml:space="preserve">Enable/disable volatility targeting.</w:t>
      </w:r>
    </w:p>
    <w:p>
      <w:pPr>
        <w:pStyle w:val="Compact"/>
        <w:numPr>
          <w:ilvl w:val="0"/>
          <w:numId w:val="1028"/>
        </w:numPr>
      </w:pPr>
      <w:r>
        <w:t xml:space="preserve">Select defensive sleeve.</w:t>
      </w:r>
    </w:p>
    <w:p>
      <w:pPr>
        <w:pStyle w:val="Compact"/>
        <w:numPr>
          <w:ilvl w:val="0"/>
          <w:numId w:val="1028"/>
        </w:numPr>
      </w:pPr>
      <w:r>
        <w:t xml:space="preserve">Run backtest.</w:t>
      </w:r>
    </w:p>
    <w:p>
      <w:pPr>
        <w:pStyle w:val="Compact"/>
        <w:numPr>
          <w:ilvl w:val="0"/>
          <w:numId w:val="1028"/>
        </w:numPr>
      </w:pPr>
      <w:r>
        <w:t xml:space="preserve">View plots and metrics.</w:t>
      </w:r>
    </w:p>
    <w:p>
      <w:pPr>
        <w:pStyle w:val="Compact"/>
        <w:numPr>
          <w:ilvl w:val="0"/>
          <w:numId w:val="1028"/>
        </w:numPr>
      </w:pPr>
      <w:r>
        <w:t xml:space="preserve">Run sensitivity experiments.</w:t>
      </w:r>
    </w:p>
    <w:bookmarkEnd w:id="152"/>
    <w:bookmarkStart w:id="153" w:name="main-outputs"/>
    <w:p>
      <w:pPr>
        <w:pStyle w:val="Heading3"/>
      </w:pPr>
      <w:r>
        <w:rPr>
          <w:rStyle w:val="SectionNumber"/>
        </w:rPr>
        <w:t xml:space="preserve">1.25.2</w:t>
      </w:r>
      <w:r>
        <w:tab/>
      </w:r>
      <w:r>
        <w:t xml:space="preserve">25.2 Main Outputs</w:t>
      </w:r>
    </w:p>
    <w:p>
      <w:pPr>
        <w:pStyle w:val="FirstParagraph"/>
      </w:pPr>
      <w:r>
        <w:t xml:space="preserve">Expected dashboard outputs include:</w:t>
      </w:r>
    </w:p>
    <w:p>
      <w:pPr>
        <w:pStyle w:val="SourceCode"/>
      </w:pPr>
      <w:r>
        <w:rPr>
          <w:rStyle w:val="VerbatimChar"/>
        </w:rPr>
        <w:t xml:space="preserve">growth curves</w:t>
      </w:r>
      <w:r>
        <w:br/>
      </w:r>
      <w:r>
        <w:rPr>
          <w:rStyle w:val="VerbatimChar"/>
        </w:rPr>
        <w:t xml:space="preserve">drawdown curves</w:t>
      </w:r>
      <w:r>
        <w:br/>
      </w:r>
      <w:r>
        <w:rPr>
          <w:rStyle w:val="VerbatimChar"/>
        </w:rPr>
        <w:t xml:space="preserve">performance metric tables</w:t>
      </w:r>
      <w:r>
        <w:br/>
      </w:r>
      <w:r>
        <w:rPr>
          <w:rStyle w:val="VerbatimChar"/>
        </w:rPr>
        <w:t xml:space="preserve">portfolio weights</w:t>
      </w:r>
      <w:r>
        <w:br/>
      </w:r>
      <w:r>
        <w:rPr>
          <w:rStyle w:val="VerbatimChar"/>
        </w:rPr>
        <w:t xml:space="preserve">correlation heatmap</w:t>
      </w:r>
      <w:r>
        <w:br/>
      </w:r>
      <w:r>
        <w:rPr>
          <w:rStyle w:val="VerbatimChar"/>
        </w:rPr>
        <w:t xml:space="preserve">dendrogram</w:t>
      </w:r>
      <w:r>
        <w:br/>
      </w:r>
      <w:r>
        <w:rPr>
          <w:rStyle w:val="VerbatimChar"/>
        </w:rPr>
        <w:t xml:space="preserve">turnover diagnostics</w:t>
      </w:r>
      <w:r>
        <w:br/>
      </w:r>
      <w:r>
        <w:rPr>
          <w:rStyle w:val="VerbatimChar"/>
        </w:rPr>
        <w:t xml:space="preserve">transaction-cost summary</w:t>
      </w:r>
      <w:r>
        <w:br/>
      </w:r>
      <w:r>
        <w:rPr>
          <w:rStyle w:val="VerbatimChar"/>
        </w:rPr>
        <w:t xml:space="preserve">benchmark comparison</w:t>
      </w:r>
      <w:r>
        <w:br/>
      </w:r>
      <w:r>
        <w:rPr>
          <w:rStyle w:val="VerbatimChar"/>
        </w:rPr>
        <w:t xml:space="preserve">sensitivity ranking table</w:t>
      </w:r>
    </w:p>
    <w:bookmarkEnd w:id="153"/>
    <w:bookmarkStart w:id="154" w:name="code-reference-3"/>
    <w:p>
      <w:pPr>
        <w:pStyle w:val="Heading3"/>
      </w:pPr>
      <w:r>
        <w:rPr>
          <w:rStyle w:val="SectionNumber"/>
        </w:rPr>
        <w:t xml:space="preserve">1.25.3</w:t>
      </w:r>
      <w:r>
        <w:tab/>
      </w:r>
      <w:r>
        <w:t xml:space="preserve">25.3 Code Reference</w:t>
      </w:r>
    </w:p>
    <w:p>
      <w:pPr>
        <w:pStyle w:val="SourceCode"/>
      </w:pPr>
      <w:r>
        <w:rPr>
          <w:rStyle w:val="VerbatimChar"/>
        </w:rPr>
        <w:t xml:space="preserve">src/dashboard/app.py</w:t>
      </w:r>
    </w:p>
    <w:p>
      <w:pPr>
        <w:pStyle w:val="FirstParagraph"/>
      </w:pPr>
      <w:r>
        <w:t xml:space="preserve">Relevant dashboard concepts:</w:t>
      </w:r>
    </w:p>
    <w:p>
      <w:pPr>
        <w:pStyle w:val="SourceCode"/>
      </w:pPr>
      <w:r>
        <w:rPr>
          <w:rStyle w:val="VerbatimChar"/>
        </w:rPr>
        <w:t xml:space="preserve">asset presets</w:t>
      </w:r>
      <w:r>
        <w:br/>
      </w:r>
      <w:r>
        <w:rPr>
          <w:rStyle w:val="VerbatimChar"/>
        </w:rPr>
        <w:t xml:space="preserve">manual ticker override</w:t>
      </w:r>
      <w:r>
        <w:br/>
      </w:r>
      <w:r>
        <w:rPr>
          <w:rStyle w:val="VerbatimChar"/>
        </w:rPr>
        <w:t xml:space="preserve">objective selectbox</w:t>
      </w:r>
      <w:r>
        <w:br/>
      </w:r>
      <w:r>
        <w:rPr>
          <w:rStyle w:val="VerbatimChar"/>
        </w:rPr>
        <w:t xml:space="preserve">sensitivity experiment panel</w:t>
      </w:r>
      <w:r>
        <w:br/>
      </w:r>
      <w:r>
        <w:rPr>
          <w:rStyle w:val="VerbatimChar"/>
        </w:rPr>
        <w:t xml:space="preserve">validation for dates/assets/exposure/thresholds</w:t>
      </w:r>
    </w:p>
    <w:p>
      <w:r>
        <w:pict>
          <v:rect style="width:0;height:1.5pt" o:hralign="center" o:hrstd="t" o:hr="t"/>
        </w:pict>
      </w:r>
    </w:p>
    <w:bookmarkEnd w:id="154"/>
    <w:bookmarkEnd w:id="155"/>
    <w:bookmarkStart w:id="165" w:name="module-wise-understanding"/>
    <w:p>
      <w:pPr>
        <w:pStyle w:val="Heading2"/>
      </w:pPr>
      <w:r>
        <w:rPr>
          <w:rStyle w:val="SectionNumber"/>
        </w:rPr>
        <w:t xml:space="preserve">1.26</w:t>
      </w:r>
      <w:r>
        <w:tab/>
      </w:r>
      <w:r>
        <w:t xml:space="preserve">26. Module-Wise Understanding</w:t>
      </w:r>
    </w:p>
    <w:bookmarkStart w:id="156" w:name="data-module"/>
    <w:p>
      <w:pPr>
        <w:pStyle w:val="Heading3"/>
      </w:pPr>
      <w:r>
        <w:rPr>
          <w:rStyle w:val="SectionNumber"/>
        </w:rPr>
        <w:t xml:space="preserve">1.26.1</w:t>
      </w:r>
      <w:r>
        <w:tab/>
      </w:r>
      <w:r>
        <w:t xml:space="preserve">26.1 Data Module</w:t>
      </w:r>
    </w:p>
    <w:p>
      <w:pPr>
        <w:pStyle w:val="FirstParagraph"/>
      </w:pPr>
      <w:r>
        <w:t xml:space="preserve">Responsibility:</w:t>
      </w:r>
    </w:p>
    <w:p>
      <w:pPr>
        <w:pStyle w:val="SourceCode"/>
      </w:pPr>
      <w:r>
        <w:rPr>
          <w:rStyle w:val="VerbatimChar"/>
        </w:rPr>
        <w:t xml:space="preserve">Download prices and volume</w:t>
      </w:r>
      <w:r>
        <w:br/>
      </w:r>
      <w:r>
        <w:rPr>
          <w:rStyle w:val="VerbatimChar"/>
        </w:rPr>
        <w:t xml:space="preserve">Return adjusted close price panel</w:t>
      </w:r>
      <w:r>
        <w:br/>
      </w:r>
      <w:r>
        <w:rPr>
          <w:rStyle w:val="VerbatimChar"/>
        </w:rPr>
        <w:t xml:space="preserve">Inspect missingness and metadata</w:t>
      </w:r>
    </w:p>
    <w:p>
      <w:pPr>
        <w:pStyle w:val="FirstParagraph"/>
      </w:pPr>
      <w:r>
        <w:t xml:space="preserve">Possible location:</w:t>
      </w:r>
    </w:p>
    <w:p>
      <w:pPr>
        <w:pStyle w:val="SourceCode"/>
      </w:pPr>
      <w:r>
        <w:rPr>
          <w:rStyle w:val="VerbatimChar"/>
        </w:rPr>
        <w:t xml:space="preserve">src/data/</w:t>
      </w:r>
    </w:p>
    <w:bookmarkEnd w:id="156"/>
    <w:bookmarkStart w:id="157" w:name="preprocessing-module"/>
    <w:p>
      <w:pPr>
        <w:pStyle w:val="Heading3"/>
      </w:pPr>
      <w:r>
        <w:rPr>
          <w:rStyle w:val="SectionNumber"/>
        </w:rPr>
        <w:t xml:space="preserve">1.26.2</w:t>
      </w:r>
      <w:r>
        <w:tab/>
      </w:r>
      <w:r>
        <w:t xml:space="preserve">26.2 Preprocessing Module</w:t>
      </w:r>
    </w:p>
    <w:p>
      <w:pPr>
        <w:pStyle w:val="FirstParagraph"/>
      </w:pPr>
      <w:r>
        <w:t xml:space="preserve">Responsibility:</w:t>
      </w:r>
    </w:p>
    <w:p>
      <w:pPr>
        <w:pStyle w:val="SourceCode"/>
      </w:pPr>
      <w:r>
        <w:rPr>
          <w:rStyle w:val="VerbatimChar"/>
        </w:rPr>
        <w:t xml:space="preserve">Clean prices</w:t>
      </w:r>
      <w:r>
        <w:br/>
      </w:r>
      <w:r>
        <w:rPr>
          <w:rStyle w:val="VerbatimChar"/>
        </w:rPr>
        <w:t xml:space="preserve">Handle missing values</w:t>
      </w:r>
      <w:r>
        <w:br/>
      </w:r>
      <w:r>
        <w:rPr>
          <w:rStyle w:val="VerbatimChar"/>
        </w:rPr>
        <w:t xml:space="preserve">Detect anomalies</w:t>
      </w:r>
      <w:r>
        <w:br/>
      </w:r>
      <w:r>
        <w:rPr>
          <w:rStyle w:val="VerbatimChar"/>
        </w:rPr>
        <w:t xml:space="preserve">Compute simple/log returns</w:t>
      </w:r>
      <w:r>
        <w:br/>
      </w:r>
      <w:r>
        <w:rPr>
          <w:rStyle w:val="VerbatimChar"/>
        </w:rPr>
        <w:t xml:space="preserve">Winsorize extreme returns</w:t>
      </w:r>
    </w:p>
    <w:p>
      <w:pPr>
        <w:pStyle w:val="FirstParagraph"/>
      </w:pPr>
      <w:r>
        <w:t xml:space="preserve">Possible location:</w:t>
      </w:r>
    </w:p>
    <w:p>
      <w:pPr>
        <w:pStyle w:val="SourceCode"/>
      </w:pPr>
      <w:r>
        <w:rPr>
          <w:rStyle w:val="VerbatimChar"/>
        </w:rPr>
        <w:t xml:space="preserve">src/preprocessing/</w:t>
      </w:r>
    </w:p>
    <w:bookmarkEnd w:id="157"/>
    <w:bookmarkStart w:id="158" w:name="riskcovariance-module"/>
    <w:p>
      <w:pPr>
        <w:pStyle w:val="Heading3"/>
      </w:pPr>
      <w:r>
        <w:rPr>
          <w:rStyle w:val="SectionNumber"/>
        </w:rPr>
        <w:t xml:space="preserve">1.26.3</w:t>
      </w:r>
      <w:r>
        <w:tab/>
      </w:r>
      <w:r>
        <w:t xml:space="preserve">26.3 Risk/Covariance Module</w:t>
      </w:r>
    </w:p>
    <w:p>
      <w:pPr>
        <w:pStyle w:val="FirstParagraph"/>
      </w:pPr>
      <w:r>
        <w:t xml:space="preserve">Responsibility:</w:t>
      </w:r>
    </w:p>
    <w:p>
      <w:pPr>
        <w:pStyle w:val="SourceCode"/>
      </w:pPr>
      <w:r>
        <w:rPr>
          <w:rStyle w:val="VerbatimChar"/>
        </w:rPr>
        <w:t xml:space="preserve">Compute volatility</w:t>
      </w:r>
      <w:r>
        <w:br/>
      </w:r>
      <w:r>
        <w:rPr>
          <w:rStyle w:val="VerbatimChar"/>
        </w:rPr>
        <w:t xml:space="preserve">Compute covariance</w:t>
      </w:r>
      <w:r>
        <w:br/>
      </w:r>
      <w:r>
        <w:rPr>
          <w:rStyle w:val="VerbatimChar"/>
        </w:rPr>
        <w:t xml:space="preserve">Compute correlation</w:t>
      </w:r>
      <w:r>
        <w:br/>
      </w:r>
      <w:r>
        <w:rPr>
          <w:rStyle w:val="VerbatimChar"/>
        </w:rPr>
        <w:t xml:space="preserve">Compute distance matrix</w:t>
      </w:r>
      <w:r>
        <w:br/>
      </w:r>
      <w:r>
        <w:rPr>
          <w:rStyle w:val="VerbatimChar"/>
        </w:rPr>
        <w:t xml:space="preserve">Support multiple covariance estimators</w:t>
      </w:r>
    </w:p>
    <w:p>
      <w:pPr>
        <w:pStyle w:val="FirstParagraph"/>
      </w:pPr>
      <w:r>
        <w:t xml:space="preserve">Possible location:</w:t>
      </w:r>
    </w:p>
    <w:p>
      <w:pPr>
        <w:pStyle w:val="SourceCode"/>
      </w:pPr>
      <w:r>
        <w:rPr>
          <w:rStyle w:val="VerbatimChar"/>
        </w:rPr>
        <w:t xml:space="preserve">src/risk/</w:t>
      </w:r>
    </w:p>
    <w:bookmarkEnd w:id="158"/>
    <w:bookmarkStart w:id="159" w:name="clustering-module"/>
    <w:p>
      <w:pPr>
        <w:pStyle w:val="Heading3"/>
      </w:pPr>
      <w:r>
        <w:rPr>
          <w:rStyle w:val="SectionNumber"/>
        </w:rPr>
        <w:t xml:space="preserve">1.26.4</w:t>
      </w:r>
      <w:r>
        <w:tab/>
      </w:r>
      <w:r>
        <w:t xml:space="preserve">26.4 Clustering Module</w:t>
      </w:r>
    </w:p>
    <w:p>
      <w:pPr>
        <w:pStyle w:val="FirstParagraph"/>
      </w:pPr>
      <w:r>
        <w:t xml:space="preserve">Responsibility:</w:t>
      </w:r>
    </w:p>
    <w:p>
      <w:pPr>
        <w:pStyle w:val="SourceCode"/>
      </w:pPr>
      <w:r>
        <w:rPr>
          <w:rStyle w:val="VerbatimChar"/>
        </w:rPr>
        <w:t xml:space="preserve">Build linkage matrix</w:t>
      </w:r>
      <w:r>
        <w:br/>
      </w:r>
      <w:r>
        <w:rPr>
          <w:rStyle w:val="VerbatimChar"/>
        </w:rPr>
        <w:t xml:space="preserve">Assign clusters</w:t>
      </w:r>
      <w:r>
        <w:br/>
      </w:r>
      <w:r>
        <w:rPr>
          <w:rStyle w:val="VerbatimChar"/>
        </w:rPr>
        <w:t xml:space="preserve">Create dendrograms</w:t>
      </w:r>
      <w:r>
        <w:br/>
      </w:r>
      <w:r>
        <w:rPr>
          <w:rStyle w:val="VerbatimChar"/>
        </w:rPr>
        <w:t xml:space="preserve">Provide hierarchy for HRP/HERC</w:t>
      </w:r>
    </w:p>
    <w:p>
      <w:pPr>
        <w:pStyle w:val="FirstParagraph"/>
      </w:pPr>
      <w:r>
        <w:t xml:space="preserve">Possible location:</w:t>
      </w:r>
    </w:p>
    <w:p>
      <w:pPr>
        <w:pStyle w:val="SourceCode"/>
      </w:pPr>
      <w:r>
        <w:rPr>
          <w:rStyle w:val="VerbatimChar"/>
        </w:rPr>
        <w:t xml:space="preserve">src/clustering/</w:t>
      </w:r>
    </w:p>
    <w:bookmarkEnd w:id="159"/>
    <w:bookmarkStart w:id="160" w:name="allocators-module"/>
    <w:p>
      <w:pPr>
        <w:pStyle w:val="Heading3"/>
      </w:pPr>
      <w:r>
        <w:rPr>
          <w:rStyle w:val="SectionNumber"/>
        </w:rPr>
        <w:t xml:space="preserve">1.26.5</w:t>
      </w:r>
      <w:r>
        <w:tab/>
      </w:r>
      <w:r>
        <w:t xml:space="preserve">26.5 Allocators Module</w:t>
      </w:r>
    </w:p>
    <w:p>
      <w:pPr>
        <w:pStyle w:val="FirstParagraph"/>
      </w:pPr>
      <w:r>
        <w:t xml:space="preserve">Responsibility:</w:t>
      </w:r>
    </w:p>
    <w:p>
      <w:pPr>
        <w:pStyle w:val="SourceCode"/>
      </w:pPr>
      <w:r>
        <w:rPr>
          <w:rStyle w:val="VerbatimChar"/>
        </w:rPr>
        <w:t xml:space="preserve">Equal Weight</w:t>
      </w:r>
      <w:r>
        <w:br/>
      </w:r>
      <w:r>
        <w:rPr>
          <w:rStyle w:val="VerbatimChar"/>
        </w:rPr>
        <w:t xml:space="preserve">Inverse Volatility</w:t>
      </w:r>
      <w:r>
        <w:br/>
      </w:r>
      <w:r>
        <w:rPr>
          <w:rStyle w:val="VerbatimChar"/>
        </w:rPr>
        <w:t xml:space="preserve">Mean-Variance / Max-Sharpe</w:t>
      </w:r>
      <w:r>
        <w:br/>
      </w:r>
      <w:r>
        <w:rPr>
          <w:rStyle w:val="VerbatimChar"/>
        </w:rPr>
        <w:t xml:space="preserve">HRP</w:t>
      </w:r>
      <w:r>
        <w:br/>
      </w:r>
      <w:r>
        <w:rPr>
          <w:rStyle w:val="VerbatimChar"/>
        </w:rPr>
        <w:t xml:space="preserve">HERC</w:t>
      </w:r>
    </w:p>
    <w:p>
      <w:pPr>
        <w:pStyle w:val="FirstParagraph"/>
      </w:pPr>
      <w:r>
        <w:t xml:space="preserve">Possible location:</w:t>
      </w:r>
    </w:p>
    <w:p>
      <w:pPr>
        <w:pStyle w:val="SourceCode"/>
      </w:pPr>
      <w:r>
        <w:rPr>
          <w:rStyle w:val="VerbatimChar"/>
        </w:rPr>
        <w:t xml:space="preserve">src/portfolio/</w:t>
      </w:r>
      <w:r>
        <w:br/>
      </w:r>
      <w:r>
        <w:rPr>
          <w:rStyle w:val="VerbatimChar"/>
        </w:rPr>
        <w:t xml:space="preserve">src/allocators/</w:t>
      </w:r>
    </w:p>
    <w:bookmarkEnd w:id="160"/>
    <w:bookmarkStart w:id="161" w:name="backtesting-module"/>
    <w:p>
      <w:pPr>
        <w:pStyle w:val="Heading3"/>
      </w:pPr>
      <w:r>
        <w:rPr>
          <w:rStyle w:val="SectionNumber"/>
        </w:rPr>
        <w:t xml:space="preserve">1.26.6</w:t>
      </w:r>
      <w:r>
        <w:tab/>
      </w:r>
      <w:r>
        <w:t xml:space="preserve">26.6 Backtesting Module</w:t>
      </w:r>
    </w:p>
    <w:p>
      <w:pPr>
        <w:pStyle w:val="FirstParagraph"/>
      </w:pPr>
      <w:r>
        <w:t xml:space="preserve">Responsibility:</w:t>
      </w:r>
    </w:p>
    <w:p>
      <w:pPr>
        <w:pStyle w:val="SourceCode"/>
      </w:pPr>
      <w:r>
        <w:rPr>
          <w:rStyle w:val="VerbatimChar"/>
        </w:rPr>
        <w:t xml:space="preserve">Run rolling walk-forward simulations</w:t>
      </w:r>
      <w:r>
        <w:br/>
      </w:r>
      <w:r>
        <w:rPr>
          <w:rStyle w:val="VerbatimChar"/>
        </w:rPr>
        <w:t xml:space="preserve">Apply rebalance rules</w:t>
      </w:r>
      <w:r>
        <w:br/>
      </w:r>
      <w:r>
        <w:rPr>
          <w:rStyle w:val="VerbatimChar"/>
        </w:rPr>
        <w:t xml:space="preserve">Track weights and returns</w:t>
      </w:r>
      <w:r>
        <w:br/>
      </w:r>
      <w:r>
        <w:rPr>
          <w:rStyle w:val="VerbatimChar"/>
        </w:rPr>
        <w:t xml:space="preserve">Track gross/net values</w:t>
      </w:r>
      <w:r>
        <w:br/>
      </w:r>
      <w:r>
        <w:rPr>
          <w:rStyle w:val="VerbatimChar"/>
        </w:rPr>
        <w:t xml:space="preserve">Track transaction costs and turnover</w:t>
      </w:r>
    </w:p>
    <w:p>
      <w:pPr>
        <w:pStyle w:val="FirstParagraph"/>
      </w:pPr>
      <w:r>
        <w:t xml:space="preserve">Possible location:</w:t>
      </w:r>
    </w:p>
    <w:p>
      <w:pPr>
        <w:pStyle w:val="SourceCode"/>
      </w:pPr>
      <w:r>
        <w:rPr>
          <w:rStyle w:val="VerbatimChar"/>
        </w:rPr>
        <w:t xml:space="preserve">src/backtesting/</w:t>
      </w:r>
    </w:p>
    <w:bookmarkEnd w:id="161"/>
    <w:bookmarkStart w:id="162" w:name="analytics-module"/>
    <w:p>
      <w:pPr>
        <w:pStyle w:val="Heading3"/>
      </w:pPr>
      <w:r>
        <w:rPr>
          <w:rStyle w:val="SectionNumber"/>
        </w:rPr>
        <w:t xml:space="preserve">1.26.7</w:t>
      </w:r>
      <w:r>
        <w:tab/>
      </w:r>
      <w:r>
        <w:t xml:space="preserve">26.7 Analytics Module</w:t>
      </w:r>
    </w:p>
    <w:p>
      <w:pPr>
        <w:pStyle w:val="FirstParagraph"/>
      </w:pPr>
      <w:r>
        <w:t xml:space="preserve">Responsibility:</w:t>
      </w:r>
    </w:p>
    <w:p>
      <w:pPr>
        <w:pStyle w:val="SourceCode"/>
      </w:pPr>
      <w:r>
        <w:rPr>
          <w:rStyle w:val="VerbatimChar"/>
        </w:rPr>
        <w:t xml:space="preserve">Calculate CAGR, Sharpe, Sortino, Calmar</w:t>
      </w:r>
      <w:r>
        <w:br/>
      </w:r>
      <w:r>
        <w:rPr>
          <w:rStyle w:val="VerbatimChar"/>
        </w:rPr>
        <w:t xml:space="preserve">Calculate drawdown, VaR, CVaR</w:t>
      </w:r>
      <w:r>
        <w:br/>
      </w:r>
      <w:r>
        <w:rPr>
          <w:rStyle w:val="VerbatimChar"/>
        </w:rPr>
        <w:t xml:space="preserve">Calculate risk contribution</w:t>
      </w:r>
      <w:r>
        <w:br/>
      </w:r>
      <w:r>
        <w:rPr>
          <w:rStyle w:val="VerbatimChar"/>
        </w:rPr>
        <w:t xml:space="preserve">Compare benchmarks</w:t>
      </w:r>
      <w:r>
        <w:br/>
      </w:r>
      <w:r>
        <w:rPr>
          <w:rStyle w:val="VerbatimChar"/>
        </w:rPr>
        <w:t xml:space="preserve">Generate plots</w:t>
      </w:r>
    </w:p>
    <w:p>
      <w:pPr>
        <w:pStyle w:val="FirstParagraph"/>
      </w:pPr>
      <w:r>
        <w:t xml:space="preserve">Possible location:</w:t>
      </w:r>
    </w:p>
    <w:p>
      <w:pPr>
        <w:pStyle w:val="SourceCode"/>
      </w:pPr>
      <w:r>
        <w:rPr>
          <w:rStyle w:val="VerbatimChar"/>
        </w:rPr>
        <w:t xml:space="preserve">src/analytics/</w:t>
      </w:r>
    </w:p>
    <w:bookmarkEnd w:id="162"/>
    <w:bookmarkStart w:id="163" w:name="experiments-module"/>
    <w:p>
      <w:pPr>
        <w:pStyle w:val="Heading3"/>
      </w:pPr>
      <w:r>
        <w:rPr>
          <w:rStyle w:val="SectionNumber"/>
        </w:rPr>
        <w:t xml:space="preserve">1.26.8</w:t>
      </w:r>
      <w:r>
        <w:tab/>
      </w:r>
      <w:r>
        <w:t xml:space="preserve">26.8 Experiments Module</w:t>
      </w:r>
    </w:p>
    <w:p>
      <w:pPr>
        <w:pStyle w:val="FirstParagraph"/>
      </w:pPr>
      <w:r>
        <w:t xml:space="preserve">Responsibility:</w:t>
      </w:r>
    </w:p>
    <w:p>
      <w:pPr>
        <w:pStyle w:val="SourceCode"/>
      </w:pPr>
      <w:r>
        <w:rPr>
          <w:rStyle w:val="VerbatimChar"/>
        </w:rPr>
        <w:t xml:space="preserve">Run parameter grids</w:t>
      </w:r>
      <w:r>
        <w:br/>
      </w:r>
      <w:r>
        <w:rPr>
          <w:rStyle w:val="VerbatimChar"/>
        </w:rPr>
        <w:t xml:space="preserve">Rank experiments by selected objective</w:t>
      </w:r>
      <w:r>
        <w:br/>
      </w:r>
      <w:r>
        <w:rPr>
          <w:rStyle w:val="VerbatimChar"/>
        </w:rPr>
        <w:t xml:space="preserve">Summarize sensitivity by parameter</w:t>
      </w:r>
    </w:p>
    <w:p>
      <w:pPr>
        <w:pStyle w:val="FirstParagraph"/>
      </w:pPr>
      <w:r>
        <w:t xml:space="preserve">Important reference:</w:t>
      </w:r>
    </w:p>
    <w:p>
      <w:pPr>
        <w:pStyle w:val="SourceCode"/>
      </w:pPr>
      <w:r>
        <w:rPr>
          <w:rStyle w:val="VerbatimChar"/>
        </w:rPr>
        <w:t xml:space="preserve">src/experiments/sensitivity.py</w:t>
      </w:r>
    </w:p>
    <w:bookmarkEnd w:id="163"/>
    <w:bookmarkStart w:id="164" w:name="dashboard-module"/>
    <w:p>
      <w:pPr>
        <w:pStyle w:val="Heading3"/>
      </w:pPr>
      <w:r>
        <w:rPr>
          <w:rStyle w:val="SectionNumber"/>
        </w:rPr>
        <w:t xml:space="preserve">1.26.9</w:t>
      </w:r>
      <w:r>
        <w:tab/>
      </w:r>
      <w:r>
        <w:t xml:space="preserve">26.9 Dashboard Module</w:t>
      </w:r>
    </w:p>
    <w:p>
      <w:pPr>
        <w:pStyle w:val="FirstParagraph"/>
      </w:pPr>
      <w:r>
        <w:t xml:space="preserve">Responsibility:</w:t>
      </w:r>
    </w:p>
    <w:p>
      <w:pPr>
        <w:pStyle w:val="SourceCode"/>
      </w:pPr>
      <w:r>
        <w:rPr>
          <w:rStyle w:val="VerbatimChar"/>
        </w:rPr>
        <w:t xml:space="preserve">Streamlit app</w:t>
      </w:r>
      <w:r>
        <w:br/>
      </w:r>
      <w:r>
        <w:rPr>
          <w:rStyle w:val="VerbatimChar"/>
        </w:rPr>
        <w:t xml:space="preserve">User controls</w:t>
      </w:r>
      <w:r>
        <w:br/>
      </w:r>
      <w:r>
        <w:rPr>
          <w:rStyle w:val="VerbatimChar"/>
        </w:rPr>
        <w:t xml:space="preserve">Validation</w:t>
      </w:r>
      <w:r>
        <w:br/>
      </w:r>
      <w:r>
        <w:rPr>
          <w:rStyle w:val="VerbatimChar"/>
        </w:rPr>
        <w:t xml:space="preserve">Plots and tables</w:t>
      </w:r>
      <w:r>
        <w:br/>
      </w:r>
      <w:r>
        <w:rPr>
          <w:rStyle w:val="VerbatimChar"/>
        </w:rPr>
        <w:t xml:space="preserve">Sensitivity UI</w:t>
      </w:r>
    </w:p>
    <w:p>
      <w:pPr>
        <w:pStyle w:val="FirstParagraph"/>
      </w:pPr>
      <w:r>
        <w:t xml:space="preserve">Reference:</w:t>
      </w:r>
    </w:p>
    <w:p>
      <w:pPr>
        <w:pStyle w:val="SourceCode"/>
      </w:pPr>
      <w:r>
        <w:rPr>
          <w:rStyle w:val="VerbatimChar"/>
        </w:rPr>
        <w:t xml:space="preserve">src/dashboard/app.py</w:t>
      </w:r>
    </w:p>
    <w:p>
      <w:r>
        <w:pict>
          <v:rect style="width:0;height:1.5pt" o:hralign="center" o:hrstd="t" o:hr="t"/>
        </w:pict>
      </w:r>
    </w:p>
    <w:bookmarkEnd w:id="164"/>
    <w:bookmarkEnd w:id="165"/>
    <w:bookmarkStart w:id="171" w:name="key-assumptions-across-the-project"/>
    <w:p>
      <w:pPr>
        <w:pStyle w:val="Heading2"/>
      </w:pPr>
      <w:r>
        <w:rPr>
          <w:rStyle w:val="SectionNumber"/>
        </w:rPr>
        <w:t xml:space="preserve">1.27</w:t>
      </w:r>
      <w:r>
        <w:tab/>
      </w:r>
      <w:r>
        <w:t xml:space="preserve">27. Key Assumptions Across the Project</w:t>
      </w:r>
    </w:p>
    <w:bookmarkStart w:id="166" w:name="data-assumptions"/>
    <w:p>
      <w:pPr>
        <w:pStyle w:val="Heading3"/>
      </w:pPr>
      <w:r>
        <w:rPr>
          <w:rStyle w:val="SectionNumber"/>
        </w:rPr>
        <w:t xml:space="preserve">1.27.1</w:t>
      </w:r>
      <w:r>
        <w:tab/>
      </w:r>
      <w:r>
        <w:t xml:space="preserve">27.1 Data Assumptions</w:t>
      </w:r>
    </w:p>
    <w:p>
      <w:pPr>
        <w:pStyle w:val="SourceCode"/>
      </w:pPr>
      <w:r>
        <w:rPr>
          <w:rStyle w:val="VerbatimChar"/>
        </w:rPr>
        <w:t xml:space="preserve">Adjusted close is preferred.</w:t>
      </w:r>
      <w:r>
        <w:br/>
      </w:r>
      <w:r>
        <w:rPr>
          <w:rStyle w:val="VerbatimChar"/>
        </w:rPr>
        <w:t xml:space="preserve">Daily data is the base frequency.</w:t>
      </w:r>
      <w:r>
        <w:br/>
      </w:r>
      <w:r>
        <w:rPr>
          <w:rStyle w:val="VerbatimChar"/>
        </w:rPr>
        <w:t xml:space="preserve">Yahoo Finance is the main source.</w:t>
      </w:r>
      <w:r>
        <w:br/>
      </w:r>
      <w:r>
        <w:rPr>
          <w:rStyle w:val="VerbatimChar"/>
        </w:rPr>
        <w:t xml:space="preserve">Data is downloaded at runtime.</w:t>
      </w:r>
      <w:r>
        <w:br/>
      </w:r>
      <w:r>
        <w:rPr>
          <w:rStyle w:val="VerbatimChar"/>
        </w:rPr>
        <w:t xml:space="preserve">Manual ticker override is allowed.</w:t>
      </w:r>
    </w:p>
    <w:bookmarkEnd w:id="166"/>
    <w:bookmarkStart w:id="167" w:name="annualization-assumption"/>
    <w:p>
      <w:pPr>
        <w:pStyle w:val="Heading3"/>
      </w:pPr>
      <w:r>
        <w:rPr>
          <w:rStyle w:val="SectionNumber"/>
        </w:rPr>
        <w:t xml:space="preserve">1.27.2</w:t>
      </w:r>
      <w:r>
        <w:tab/>
      </w:r>
      <w:r>
        <w:t xml:space="preserve">27.2 Annualization Assumption</w:t>
      </w:r>
    </w:p>
    <w:p>
      <w:pPr>
        <w:pStyle w:val="SourceCode"/>
      </w:pPr>
      <w:r>
        <w:rPr>
          <w:rStyle w:val="VerbatimChar"/>
        </w:rPr>
        <w:t xml:space="preserve">252 trading days per year</w:t>
      </w:r>
    </w:p>
    <w:p>
      <w:pPr>
        <w:pStyle w:val="FirstParagraph"/>
      </w:pPr>
      <w:r>
        <w:t xml:space="preserve">Used for:</w:t>
      </w:r>
    </w:p>
    <w:p>
      <w:pPr>
        <w:pStyle w:val="SourceCode"/>
      </w:pPr>
      <w:r>
        <w:rPr>
          <w:rStyle w:val="VerbatimChar"/>
        </w:rPr>
        <w:t xml:space="preserve">annualized volatility</w:t>
      </w:r>
      <w:r>
        <w:br/>
      </w:r>
      <w:r>
        <w:rPr>
          <w:rStyle w:val="VerbatimChar"/>
        </w:rPr>
        <w:t xml:space="preserve">CAGR from daily returns</w:t>
      </w:r>
      <w:r>
        <w:br/>
      </w:r>
      <w:r>
        <w:rPr>
          <w:rStyle w:val="VerbatimChar"/>
        </w:rPr>
        <w:t xml:space="preserve">Sharpe ratio</w:t>
      </w:r>
      <w:r>
        <w:br/>
      </w:r>
      <w:r>
        <w:rPr>
          <w:rStyle w:val="VerbatimChar"/>
        </w:rPr>
        <w:t xml:space="preserve">Sortino ratio</w:t>
      </w:r>
      <w:r>
        <w:br/>
      </w:r>
      <w:r>
        <w:rPr>
          <w:rStyle w:val="VerbatimChar"/>
        </w:rPr>
        <w:t xml:space="preserve">rolling volatility</w:t>
      </w:r>
    </w:p>
    <w:bookmarkEnd w:id="167"/>
    <w:bookmarkStart w:id="168" w:name="portfolio-assumptions"/>
    <w:p>
      <w:pPr>
        <w:pStyle w:val="Heading3"/>
      </w:pPr>
      <w:r>
        <w:rPr>
          <w:rStyle w:val="SectionNumber"/>
        </w:rPr>
        <w:t xml:space="preserve">1.27.3</w:t>
      </w:r>
      <w:r>
        <w:tab/>
      </w:r>
      <w:r>
        <w:t xml:space="preserve">27.3 Portfolio Assumptions</w:t>
      </w:r>
    </w:p>
    <w:p>
      <w:pPr>
        <w:pStyle w:val="SourceCode"/>
      </w:pPr>
      <w:r>
        <w:rPr>
          <w:rStyle w:val="VerbatimChar"/>
        </w:rPr>
        <w:t xml:space="preserve">Long-only</w:t>
      </w:r>
      <w:r>
        <w:br/>
      </w:r>
      <w:r>
        <w:rPr>
          <w:rStyle w:val="VerbatimChar"/>
        </w:rPr>
        <w:t xml:space="preserve">Fully invested in risky universe unless volatility targeting is enabled</w:t>
      </w:r>
      <w:r>
        <w:br/>
      </w:r>
      <w:r>
        <w:rPr>
          <w:rStyle w:val="VerbatimChar"/>
        </w:rPr>
        <w:t xml:space="preserve">No short selling</w:t>
      </w:r>
      <w:r>
        <w:br/>
      </w:r>
      <w:r>
        <w:rPr>
          <w:rStyle w:val="VerbatimChar"/>
        </w:rPr>
        <w:t xml:space="preserve">No leverage assumption unless exposure cap permits it in overlay configuration</w:t>
      </w:r>
      <w:r>
        <w:br/>
      </w:r>
      <w:r>
        <w:rPr>
          <w:rStyle w:val="VerbatimChar"/>
        </w:rPr>
        <w:t xml:space="preserve">Defensive sleeve excluded from risky covariance/clustering</w:t>
      </w:r>
    </w:p>
    <w:bookmarkEnd w:id="168"/>
    <w:bookmarkStart w:id="169" w:name="risk-metric-assumptions"/>
    <w:p>
      <w:pPr>
        <w:pStyle w:val="Heading3"/>
      </w:pPr>
      <w:r>
        <w:rPr>
          <w:rStyle w:val="SectionNumber"/>
        </w:rPr>
        <w:t xml:space="preserve">1.27.4</w:t>
      </w:r>
      <w:r>
        <w:tab/>
      </w:r>
      <w:r>
        <w:t xml:space="preserve">27.4 Risk Metric Assumptions</w:t>
      </w:r>
    </w:p>
    <w:p>
      <w:pPr>
        <w:pStyle w:val="SourceCode"/>
      </w:pPr>
      <w:r>
        <w:rPr>
          <w:rStyle w:val="VerbatimChar"/>
        </w:rPr>
        <w:t xml:space="preserve">Volatility = standard deviation of returns</w:t>
      </w:r>
      <w:r>
        <w:br/>
      </w:r>
      <w:r>
        <w:rPr>
          <w:rStyle w:val="VerbatimChar"/>
        </w:rPr>
        <w:t xml:space="preserve">VaR/CVaR = historical, not parametric normal</w:t>
      </w:r>
      <w:r>
        <w:br/>
      </w:r>
      <w:r>
        <w:rPr>
          <w:rStyle w:val="VerbatimChar"/>
        </w:rPr>
        <w:t xml:space="preserve">Drawdown = peak-to-trough portfolio decline</w:t>
      </w:r>
    </w:p>
    <w:bookmarkEnd w:id="169"/>
    <w:bookmarkStart w:id="170" w:name="backtesting-assumptions"/>
    <w:p>
      <w:pPr>
        <w:pStyle w:val="Heading3"/>
      </w:pPr>
      <w:r>
        <w:rPr>
          <w:rStyle w:val="SectionNumber"/>
        </w:rPr>
        <w:t xml:space="preserve">1.27.5</w:t>
      </w:r>
      <w:r>
        <w:tab/>
      </w:r>
      <w:r>
        <w:t xml:space="preserve">27.5 Backtesting Assumptions</w:t>
      </w:r>
    </w:p>
    <w:p>
      <w:pPr>
        <w:pStyle w:val="SourceCode"/>
      </w:pPr>
      <w:r>
        <w:rPr>
          <w:rStyle w:val="VerbatimChar"/>
        </w:rPr>
        <w:t xml:space="preserve">Training window = 252 trading days</w:t>
      </w:r>
      <w:r>
        <w:br/>
      </w:r>
      <w:r>
        <w:rPr>
          <w:rStyle w:val="VerbatimChar"/>
        </w:rPr>
        <w:t xml:space="preserve">Rebalancing can be calendar, threshold, or both</w:t>
      </w:r>
      <w:r>
        <w:br/>
      </w:r>
      <w:r>
        <w:rPr>
          <w:rStyle w:val="VerbatimChar"/>
        </w:rPr>
        <w:t xml:space="preserve">Transaction cost model is linear in turnover</w:t>
      </w:r>
      <w:r>
        <w:br/>
      </w:r>
      <w:r>
        <w:rPr>
          <w:rStyle w:val="VerbatimChar"/>
        </w:rPr>
        <w:t xml:space="preserve">Default cost = 10 bps base + 5 bps slippage</w:t>
      </w:r>
      <w:r>
        <w:br/>
      </w:r>
      <w:r>
        <w:rPr>
          <w:rStyle w:val="VerbatimChar"/>
        </w:rPr>
        <w:t xml:space="preserve">Gross and net values tracked</w:t>
      </w:r>
    </w:p>
    <w:p>
      <w:r>
        <w:pict>
          <v:rect style="width:0;height:1.5pt" o:hralign="center" o:hrstd="t" o:hr="t"/>
        </w:pict>
      </w:r>
    </w:p>
    <w:bookmarkEnd w:id="170"/>
    <w:bookmarkEnd w:id="171"/>
    <w:bookmarkStart w:id="172" w:name="what-makes-the-project-quantitative"/>
    <w:p>
      <w:pPr>
        <w:pStyle w:val="Heading2"/>
      </w:pPr>
      <w:r>
        <w:rPr>
          <w:rStyle w:val="SectionNumber"/>
        </w:rPr>
        <w:t xml:space="preserve">1.28</w:t>
      </w:r>
      <w:r>
        <w:tab/>
      </w:r>
      <w:r>
        <w:t xml:space="preserve">28. What Makes the Project Quantitative?</w:t>
      </w:r>
    </w:p>
    <w:p>
      <w:pPr>
        <w:pStyle w:val="FirstParagraph"/>
      </w:pPr>
      <w:r>
        <w:t xml:space="preserve">This project is quantitative because decisions are made using measurable variables, formulas, and repeatable rules rather than subjective opinion.</w:t>
      </w:r>
    </w:p>
    <w:p>
      <w:pPr>
        <w:pStyle w:val="BodyText"/>
      </w:pPr>
      <w:r>
        <w:t xml:space="preserve">Examples: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 Component</w:t>
            </w:r>
          </w:p>
        </w:tc>
        <w:tc>
          <w:tcPr/>
          <w:p>
            <w:pPr>
              <w:pStyle w:val="Compact"/>
              <w:jc w:val="left"/>
            </w:pPr>
            <w:r>
              <w:t xml:space="preserve">Quantitative Basis</w:t>
            </w:r>
          </w:p>
        </w:tc>
      </w:tr>
      <w:tr>
        <w:tc>
          <w:tcPr/>
          <w:p>
            <w:pPr>
              <w:pStyle w:val="Compact"/>
              <w:jc w:val="left"/>
            </w:pPr>
            <w:r>
              <w:t xml:space="preserve">Returns</w:t>
            </w:r>
          </w:p>
        </w:tc>
        <w:tc>
          <w:tcPr/>
          <w:p>
            <w:pPr>
              <w:pStyle w:val="Compact"/>
              <w:jc w:val="left"/>
            </w:pPr>
            <w:r>
              <w:t xml:space="preserve">Price ratios/log returns</w:t>
            </w:r>
          </w:p>
        </w:tc>
      </w:tr>
      <w:tr>
        <w:tc>
          <w:tcPr/>
          <w:p>
            <w:pPr>
              <w:pStyle w:val="Compact"/>
              <w:jc w:val="left"/>
            </w:pPr>
            <w:r>
              <w:t xml:space="preserve">Volatility</w:t>
            </w:r>
          </w:p>
        </w:tc>
        <w:tc>
          <w:tcPr/>
          <w:p>
            <w:pPr>
              <w:pStyle w:val="Compact"/>
              <w:jc w:val="left"/>
            </w:pPr>
            <w:r>
              <w:t xml:space="preserve">Standard deviation</w:t>
            </w:r>
          </w:p>
        </w:tc>
      </w:tr>
      <w:tr>
        <w:tc>
          <w:tcPr/>
          <w:p>
            <w:pPr>
              <w:pStyle w:val="Compact"/>
              <w:jc w:val="left"/>
            </w:pPr>
            <w:r>
              <w:t xml:space="preserve">Covariance</w:t>
            </w:r>
          </w:p>
        </w:tc>
        <w:tc>
          <w:tcPr/>
          <w:p>
            <w:pPr>
              <w:pStyle w:val="Compact"/>
              <w:jc w:val="left"/>
            </w:pPr>
            <w:r>
              <w:t xml:space="preserve">Co-movement of asset returns</w:t>
            </w:r>
          </w:p>
        </w:tc>
      </w:tr>
      <w:tr>
        <w:tc>
          <w:tcPr/>
          <w:p>
            <w:pPr>
              <w:pStyle w:val="Compact"/>
              <w:jc w:val="left"/>
            </w:pPr>
            <w:r>
              <w:t xml:space="preserve">Correlation</w:t>
            </w:r>
          </w:p>
        </w:tc>
        <w:tc>
          <w:tcPr/>
          <w:p>
            <w:pPr>
              <w:pStyle w:val="Compact"/>
              <w:jc w:val="left"/>
            </w:pPr>
            <w:r>
              <w:t xml:space="preserve">Standardized covariance</w:t>
            </w:r>
          </w:p>
        </w:tc>
      </w:tr>
      <w:tr>
        <w:tc>
          <w:tcPr/>
          <w:p>
            <w:pPr>
              <w:pStyle w:val="Compact"/>
              <w:jc w:val="left"/>
            </w:pPr>
            <w:r>
              <w:t xml:space="preserve">Clustering</w:t>
            </w:r>
          </w:p>
        </w:tc>
        <w:tc>
          <w:tcPr/>
          <w:p>
            <w:pPr>
              <w:pStyle w:val="Compact"/>
              <w:jc w:val="left"/>
            </w:pPr>
            <w:r>
              <w:t xml:space="preserve">Distance matrix from correlations</w:t>
            </w:r>
          </w:p>
        </w:tc>
      </w:tr>
      <w:tr>
        <w:tc>
          <w:tcPr/>
          <w:p>
            <w:pPr>
              <w:pStyle w:val="Compact"/>
              <w:jc w:val="left"/>
            </w:pPr>
            <w:r>
              <w:t xml:space="preserve">HRP</w:t>
            </w:r>
          </w:p>
        </w:tc>
        <w:tc>
          <w:tcPr/>
          <w:p>
            <w:pPr>
              <w:pStyle w:val="Compact"/>
              <w:jc w:val="left"/>
            </w:pPr>
            <w:r>
              <w:t xml:space="preserve">Recursive allocation by cluster variance</w:t>
            </w:r>
          </w:p>
        </w:tc>
      </w:tr>
      <w:tr>
        <w:tc>
          <w:tcPr/>
          <w:p>
            <w:pPr>
              <w:pStyle w:val="Compact"/>
              <w:jc w:val="left"/>
            </w:pPr>
            <w:r>
              <w:t xml:space="preserve">HERC</w:t>
            </w:r>
          </w:p>
        </w:tc>
        <w:tc>
          <w:tcPr/>
          <w:p>
            <w:pPr>
              <w:pStyle w:val="Compact"/>
              <w:jc w:val="left"/>
            </w:pPr>
            <w:r>
              <w:t xml:space="preserve">Recursive allocation by branch risk</w:t>
            </w:r>
          </w:p>
        </w:tc>
      </w:tr>
      <w:tr>
        <w:tc>
          <w:tcPr/>
          <w:p>
            <w:pPr>
              <w:pStyle w:val="Compact"/>
              <w:jc w:val="left"/>
            </w:pPr>
            <w:r>
              <w:t xml:space="preserve">Backtesting</w:t>
            </w:r>
          </w:p>
        </w:tc>
        <w:tc>
          <w:tcPr/>
          <w:p>
            <w:pPr>
              <w:pStyle w:val="Compact"/>
              <w:jc w:val="left"/>
            </w:pPr>
            <w:r>
              <w:t xml:space="preserve">Historical simulation using rules</w:t>
            </w:r>
          </w:p>
        </w:tc>
      </w:tr>
      <w:tr>
        <w:tc>
          <w:tcPr/>
          <w:p>
            <w:pPr>
              <w:pStyle w:val="Compact"/>
              <w:jc w:val="left"/>
            </w:pPr>
            <w:r>
              <w:t xml:space="preserve">Transaction costs</w:t>
            </w:r>
          </w:p>
        </w:tc>
        <w:tc>
          <w:tcPr/>
          <w:p>
            <w:pPr>
              <w:pStyle w:val="Compact"/>
              <w:jc w:val="left"/>
            </w:pPr>
            <w:r>
              <w:t xml:space="preserve">Turnover × cost rate</w:t>
            </w:r>
          </w:p>
        </w:tc>
      </w:tr>
      <w:tr>
        <w:tc>
          <w:tcPr/>
          <w:p>
            <w:pPr>
              <w:pStyle w:val="Compact"/>
              <w:jc w:val="left"/>
            </w:pPr>
            <w:r>
              <w:t xml:space="preserve">Vol targeting</w:t>
            </w:r>
          </w:p>
        </w:tc>
        <w:tc>
          <w:tcPr/>
          <w:p>
            <w:pPr>
              <w:pStyle w:val="Compact"/>
              <w:jc w:val="left"/>
            </w:pPr>
            <w:r>
              <w:t xml:space="preserve">Target vol / realized vol</w:t>
            </w:r>
          </w:p>
        </w:tc>
      </w:tr>
      <w:tr>
        <w:tc>
          <w:tcPr/>
          <w:p>
            <w:pPr>
              <w:pStyle w:val="Compact"/>
              <w:jc w:val="left"/>
            </w:pPr>
            <w:r>
              <w:t xml:space="preserve">Ranking</w:t>
            </w:r>
          </w:p>
        </w:tc>
        <w:tc>
          <w:tcPr/>
          <w:p>
            <w:pPr>
              <w:pStyle w:val="Compact"/>
              <w:jc w:val="left"/>
            </w:pPr>
            <w:r>
              <w:t xml:space="preserve">Objective metric such as Calmar</w:t>
            </w:r>
          </w:p>
        </w:tc>
      </w:tr>
    </w:tbl>
    <w:p>
      <w:pPr>
        <w:pStyle w:val="BodyText"/>
      </w:pPr>
      <w:r>
        <w:t xml:space="preserve">Good viva line:</w:t>
      </w:r>
    </w:p>
    <w:p>
      <w:pPr>
        <w:pStyle w:val="BlockText"/>
      </w:pPr>
      <w:r>
        <w:t xml:space="preserve">The project is quantitative because every allocation and ranking decision is generated by explicit mathematical rules applied to market data, not by discretionary stock picking.</w:t>
      </w:r>
    </w:p>
    <w:p>
      <w:r>
        <w:pict>
          <v:rect style="width:0;height:1.5pt" o:hralign="center" o:hrstd="t" o:hr="t"/>
        </w:pict>
      </w:r>
    </w:p>
    <w:bookmarkEnd w:id="172"/>
    <w:bookmarkStart w:id="173" w:name="how-to-explain-the-project-in-60-seconds"/>
    <w:p>
      <w:pPr>
        <w:pStyle w:val="Heading2"/>
      </w:pPr>
      <w:r>
        <w:rPr>
          <w:rStyle w:val="SectionNumber"/>
        </w:rPr>
        <w:t xml:space="preserve">1.29</w:t>
      </w:r>
      <w:r>
        <w:tab/>
      </w:r>
      <w:r>
        <w:t xml:space="preserve">29. How to Explain the Project in 60 Seconds</w:t>
      </w:r>
    </w:p>
    <w:p>
      <w:pPr>
        <w:pStyle w:val="FirstParagraph"/>
      </w:pPr>
      <w:r>
        <w:t xml:space="preserve">Use this in viva or presentation:</w:t>
      </w:r>
    </w:p>
    <w:p>
      <w:pPr>
        <w:pStyle w:val="BlockText"/>
      </w:pPr>
      <w:r>
        <w:t xml:space="preserve">Our project, Adaptive Portfolio Risk Analytics, is a risk-aware portfolio analytics platform for Indian assets. It starts by downloading adjusted price data from Yahoo Finance, cleaning it, and converting prices into simple and log returns. Then it estimates risk through volatility, covariance, correlation, and correlation distance. Using this structure, it builds portfolios through Equal Weight, Inverse Volatility, Mean-Variance, HRP, and HERC. The strategies are evaluated using rolling walk-forward backtests with rebalancing rules, turnover, transaction costs, drawdowns, and benchmark-relative metrics. We also added risk-contribution analytics to explain which assets drive portfolio risk, and a volatility-targeting overlay that dynamically shifts exposure between the risky strategy and a defensive sleeve based on lagged realized volatility. Finally, the dashboard supports experiment sensitivity analysis, where strategies can be ranked by a selected objective such as Calmar. The current system is a strong research prototype; full Markov regimes, NLP sentiment, CPCV, and production deployment are future work.</w:t>
      </w:r>
    </w:p>
    <w:p>
      <w:r>
        <w:pict>
          <v:rect style="width:0;height:1.5pt" o:hralign="center" o:hrstd="t" o:hr="t"/>
        </w:pict>
      </w:r>
    </w:p>
    <w:bookmarkEnd w:id="173"/>
    <w:bookmarkStart w:id="194" w:name="likely-viva-questions-and-strong-answers"/>
    <w:p>
      <w:pPr>
        <w:pStyle w:val="Heading2"/>
      </w:pPr>
      <w:r>
        <w:rPr>
          <w:rStyle w:val="SectionNumber"/>
        </w:rPr>
        <w:t xml:space="preserve">1.30</w:t>
      </w:r>
      <w:r>
        <w:tab/>
      </w:r>
      <w:r>
        <w:t xml:space="preserve">30. Likely Viva Questions and Strong Answers</w:t>
      </w:r>
    </w:p>
    <w:bookmarkStart w:id="174" w:name="X2c82b16a9e4caba7478a7cb131c4087f296aaca"/>
    <w:p>
      <w:pPr>
        <w:pStyle w:val="Heading3"/>
      </w:pPr>
      <w:r>
        <w:rPr>
          <w:rStyle w:val="SectionNumber"/>
        </w:rPr>
        <w:t xml:space="preserve">1.30.1</w:t>
      </w:r>
      <w:r>
        <w:tab/>
      </w:r>
      <w:r>
        <w:t xml:space="preserve">Q1. What is the main objective of your project?</w:t>
      </w:r>
    </w:p>
    <w:p>
      <w:pPr>
        <w:pStyle w:val="FirstParagraph"/>
      </w:pPr>
      <w:r>
        <w:rPr>
          <w:b/>
          <w:bCs/>
        </w:rPr>
        <w:t xml:space="preserve">Answer:</w:t>
      </w:r>
      <w:r>
        <w:br/>
      </w:r>
      <w:r>
        <w:t xml:space="preserve">The objective is to build a risk-aware portfolio analytics platform that compares portfolio construction strategies under different covariance estimators, rebalancing rules, transaction-cost assumptions, and volatility-targeting overlays. It helps evaluate not only returns but also drawdowns, risk contribution, turnover, and robustness.</w:t>
      </w:r>
    </w:p>
    <w:bookmarkEnd w:id="174"/>
    <w:bookmarkStart w:id="175" w:name="Xe17c5cf3806240d588e7cd70c185dee66842566"/>
    <w:p>
      <w:pPr>
        <w:pStyle w:val="Heading3"/>
      </w:pPr>
      <w:r>
        <w:rPr>
          <w:rStyle w:val="SectionNumber"/>
        </w:rPr>
        <w:t xml:space="preserve">1.30.2</w:t>
      </w:r>
      <w:r>
        <w:tab/>
      </w:r>
      <w:r>
        <w:t xml:space="preserve">Q2. Why did you use adjusted close prices?</w:t>
      </w:r>
    </w:p>
    <w:p>
      <w:pPr>
        <w:pStyle w:val="FirstParagraph"/>
      </w:pPr>
      <w:r>
        <w:rPr>
          <w:b/>
          <w:bCs/>
        </w:rPr>
        <w:t xml:space="preserve">Answer:</w:t>
      </w:r>
      <w:r>
        <w:br/>
      </w:r>
      <w:r>
        <w:t xml:space="preserve">Adjusted close accounts for corporate actions like dividends, splits, and bonuses. If we use raw close prices, returns may show artificial jumps around corporate actions, which would distort volatility, covariance, and portfolio weights.</w:t>
      </w:r>
    </w:p>
    <w:bookmarkEnd w:id="175"/>
    <w:bookmarkStart w:id="176" w:name="X6fee525e445799d84f05b386841dee58536a2c6"/>
    <w:p>
      <w:pPr>
        <w:pStyle w:val="Heading3"/>
      </w:pPr>
      <w:r>
        <w:rPr>
          <w:rStyle w:val="SectionNumber"/>
        </w:rPr>
        <w:t xml:space="preserve">1.30.3</w:t>
      </w:r>
      <w:r>
        <w:tab/>
      </w:r>
      <w:r>
        <w:t xml:space="preserve">Q3. Why do you calculate returns instead of using prices directly?</w:t>
      </w:r>
    </w:p>
    <w:p>
      <w:pPr>
        <w:pStyle w:val="FirstParagraph"/>
      </w:pPr>
      <w:r>
        <w:rPr>
          <w:b/>
          <w:bCs/>
        </w:rPr>
        <w:t xml:space="preserve">Answer:</w:t>
      </w:r>
      <w:r>
        <w:br/>
      </w:r>
      <w:r>
        <w:t xml:space="preserve">Prices are not comparable across assets because each asset has a different price scale. Returns measure percentage change, making assets comparable for risk and performance analysis.</w:t>
      </w:r>
    </w:p>
    <w:bookmarkEnd w:id="176"/>
    <w:bookmarkStart w:id="177" w:name="Xd29c57e467c1206f65f523d335e16e00e19688a"/>
    <w:p>
      <w:pPr>
        <w:pStyle w:val="Heading3"/>
      </w:pPr>
      <w:r>
        <w:rPr>
          <w:rStyle w:val="SectionNumber"/>
        </w:rPr>
        <w:t xml:space="preserve">1.30.4</w:t>
      </w:r>
      <w:r>
        <w:tab/>
      </w:r>
      <w:r>
        <w:t xml:space="preserve">Q4. What is the difference between covariance and correlation?</w:t>
      </w:r>
    </w:p>
    <w:p>
      <w:pPr>
        <w:pStyle w:val="FirstParagraph"/>
      </w:pPr>
      <w:r>
        <w:rPr>
          <w:b/>
          <w:bCs/>
        </w:rPr>
        <w:t xml:space="preserve">Answer:</w:t>
      </w:r>
      <w:r>
        <w:br/>
      </w:r>
      <w:r>
        <w:t xml:space="preserve">Covariance measures co-movement in return units, while correlation standardizes covariance between -1 and +1. Correlation is easier to interpret and is used to convert asset relationships into distances for clustering.</w:t>
      </w:r>
    </w:p>
    <w:bookmarkEnd w:id="177"/>
    <w:bookmarkStart w:id="178" w:name="Xb2c5e0a83ca63e7d8fe24e95812bfef8ab1f95b"/>
    <w:p>
      <w:pPr>
        <w:pStyle w:val="Heading3"/>
      </w:pPr>
      <w:r>
        <w:rPr>
          <w:rStyle w:val="SectionNumber"/>
        </w:rPr>
        <w:t xml:space="preserve">1.30.5</w:t>
      </w:r>
      <w:r>
        <w:tab/>
      </w:r>
      <w:r>
        <w:t xml:space="preserve">Q5. Why is covariance important for portfolio risk?</w:t>
      </w:r>
    </w:p>
    <w:p>
      <w:pPr>
        <w:pStyle w:val="FirstParagraph"/>
      </w:pPr>
      <w:r>
        <w:rPr>
          <w:b/>
          <w:bCs/>
        </w:rPr>
        <w:t xml:space="preserve">Answer:</w:t>
      </w:r>
      <w:r>
        <w:br/>
      </w:r>
      <w:r>
        <w:t xml:space="preserve">Portfolio risk depends not only on individual asset volatility but also on how assets move together. Even if individual assets are risky, the portfolio can be diversified if their correlations are low or negative.</w:t>
      </w:r>
    </w:p>
    <w:bookmarkEnd w:id="178"/>
    <w:bookmarkStart w:id="179" w:name="X4a06dbc3a55b29816e5c1c25a16f179f34371fa"/>
    <w:p>
      <w:pPr>
        <w:pStyle w:val="Heading3"/>
      </w:pPr>
      <w:r>
        <w:rPr>
          <w:rStyle w:val="SectionNumber"/>
        </w:rPr>
        <w:t xml:space="preserve">1.30.6</w:t>
      </w:r>
      <w:r>
        <w:tab/>
      </w:r>
      <w:r>
        <w:t xml:space="preserve">Q6. Why did you include multiple covariance estimators?</w:t>
      </w:r>
    </w:p>
    <w:p>
      <w:pPr>
        <w:pStyle w:val="FirstParagraph"/>
      </w:pPr>
      <w:r>
        <w:rPr>
          <w:b/>
          <w:bCs/>
        </w:rPr>
        <w:t xml:space="preserve">Answer:</w:t>
      </w:r>
      <w:r>
        <w:br/>
      </w:r>
      <w:r>
        <w:t xml:space="preserve">Sample covariance can be noisy. Ledoit-Wolf improves stability through shrinkage. EWMA gives more importance to recent observations. EWMA + Ledoit-Wolf combines recency sensitivity with regularization. Testing all four helps us understand sensitivity to risk-estimation assumptions.</w:t>
      </w:r>
    </w:p>
    <w:bookmarkEnd w:id="179"/>
    <w:bookmarkStart w:id="180" w:name="q7.-what-is-hrp"/>
    <w:p>
      <w:pPr>
        <w:pStyle w:val="Heading3"/>
      </w:pPr>
      <w:r>
        <w:rPr>
          <w:rStyle w:val="SectionNumber"/>
        </w:rPr>
        <w:t xml:space="preserve">1.30.7</w:t>
      </w:r>
      <w:r>
        <w:tab/>
      </w:r>
      <w:r>
        <w:t xml:space="preserve">Q7. What is HRP?</w:t>
      </w:r>
    </w:p>
    <w:p>
      <w:pPr>
        <w:pStyle w:val="FirstParagraph"/>
      </w:pPr>
      <w:r>
        <w:rPr>
          <w:b/>
          <w:bCs/>
        </w:rPr>
        <w:t xml:space="preserve">Answer:</w:t>
      </w:r>
      <w:r>
        <w:br/>
      </w:r>
      <w:r>
        <w:t xml:space="preserve">HRP stands for Hierarchical Risk Parity. It clusters assets based on correlation distance and allocates capital recursively based on cluster variance. It avoids direct expected-return forecasting and is usually more stable than unconstrained mean-variance optimization.</w:t>
      </w:r>
    </w:p>
    <w:bookmarkEnd w:id="180"/>
    <w:bookmarkStart w:id="181" w:name="q8.-what-is-herc"/>
    <w:p>
      <w:pPr>
        <w:pStyle w:val="Heading3"/>
      </w:pPr>
      <w:r>
        <w:rPr>
          <w:rStyle w:val="SectionNumber"/>
        </w:rPr>
        <w:t xml:space="preserve">1.30.8</w:t>
      </w:r>
      <w:r>
        <w:tab/>
      </w:r>
      <w:r>
        <w:t xml:space="preserve">Q8. What is HERC?</w:t>
      </w:r>
    </w:p>
    <w:p>
      <w:pPr>
        <w:pStyle w:val="FirstParagraph"/>
      </w:pPr>
      <w:r>
        <w:rPr>
          <w:b/>
          <w:bCs/>
        </w:rPr>
        <w:t xml:space="preserve">Answer:</w:t>
      </w:r>
      <w:r>
        <w:br/>
      </w:r>
      <w:r>
        <w:t xml:space="preserve">HERC stands for Hierarchical Equal Risk Contribution. It also uses hierarchical clustering, but instead of only recursive bisection by cluster variance, it traverses the tree and allocates capital to equalize risk contribution across sibling branches.</w:t>
      </w:r>
    </w:p>
    <w:bookmarkEnd w:id="181"/>
    <w:bookmarkStart w:id="182" w:name="q9.-difference-between-hrp-and-herc"/>
    <w:p>
      <w:pPr>
        <w:pStyle w:val="Heading3"/>
      </w:pPr>
      <w:r>
        <w:rPr>
          <w:rStyle w:val="SectionNumber"/>
        </w:rPr>
        <w:t xml:space="preserve">1.30.9</w:t>
      </w:r>
      <w:r>
        <w:tab/>
      </w:r>
      <w:r>
        <w:t xml:space="preserve">Q9. Difference between HRP and HERC?</w:t>
      </w:r>
    </w:p>
    <w:p>
      <w:pPr>
        <w:pStyle w:val="FirstParagraph"/>
      </w:pPr>
      <w:r>
        <w:rPr>
          <w:b/>
          <w:bCs/>
        </w:rPr>
        <w:t xml:space="preserve">Answer:</w:t>
      </w:r>
      <w:r>
        <w:br/>
      </w:r>
      <w:r>
        <w:t xml:space="preserve">HRP allocates recursively using cluster variance after quasi-diagonal ordering. HERC uses the explicit hierarchy and allocates sibling branch weights based on branch risk, aiming for more direct hierarchical risk budgeting.</w:t>
      </w:r>
    </w:p>
    <w:bookmarkEnd w:id="182"/>
    <w:bookmarkStart w:id="183" w:name="Xb4b74b7fb3b74dd3b8d9de26ce87cf4f284d342"/>
    <w:p>
      <w:pPr>
        <w:pStyle w:val="Heading3"/>
      </w:pPr>
      <w:r>
        <w:rPr>
          <w:rStyle w:val="SectionNumber"/>
        </w:rPr>
        <w:t xml:space="preserve">1.30.10</w:t>
      </w:r>
      <w:r>
        <w:tab/>
      </w:r>
      <w:r>
        <w:t xml:space="preserve">Q10. Why is Equal Weight used as benchmark?</w:t>
      </w:r>
    </w:p>
    <w:p>
      <w:pPr>
        <w:pStyle w:val="FirstParagraph"/>
      </w:pPr>
      <w:r>
        <w:rPr>
          <w:b/>
          <w:bCs/>
        </w:rPr>
        <w:t xml:space="preserve">Answer:</w:t>
      </w:r>
      <w:r>
        <w:br/>
      </w:r>
      <w:r>
        <w:t xml:space="preserve">Equal Weight is simple, transparent, and hard to overfit. Any sophisticated strategy should justify its complexity by outperforming or improving risk-adjusted metrics relative to Equal Weight.</w:t>
      </w:r>
    </w:p>
    <w:bookmarkEnd w:id="183"/>
    <w:bookmarkStart w:id="184" w:name="q11.-what-does-volatility-targeting-do"/>
    <w:p>
      <w:pPr>
        <w:pStyle w:val="Heading3"/>
      </w:pPr>
      <w:r>
        <w:rPr>
          <w:rStyle w:val="SectionNumber"/>
        </w:rPr>
        <w:t xml:space="preserve">1.30.11</w:t>
      </w:r>
      <w:r>
        <w:tab/>
      </w:r>
      <w:r>
        <w:t xml:space="preserve">Q11. What does volatility targeting do?</w:t>
      </w:r>
    </w:p>
    <w:p>
      <w:pPr>
        <w:pStyle w:val="FirstParagraph"/>
      </w:pPr>
      <w:r>
        <w:rPr>
          <w:b/>
          <w:bCs/>
        </w:rPr>
        <w:t xml:space="preserve">Answer:</w:t>
      </w:r>
      <w:r>
        <w:br/>
      </w:r>
      <w:r>
        <w:t xml:space="preserve">Volatility targeting adjusts exposure to the risky strategy based on lagged realized volatility. When realized volatility is high, exposure is reduced and more capital moves into a defensive sleeve. When realized volatility is low, exposure can increase.</w:t>
      </w:r>
    </w:p>
    <w:bookmarkEnd w:id="184"/>
    <w:bookmarkStart w:id="185" w:name="Xfe4485ff06d137126f037a42ba90982219a106e"/>
    <w:p>
      <w:pPr>
        <w:pStyle w:val="Heading3"/>
      </w:pPr>
      <w:r>
        <w:rPr>
          <w:rStyle w:val="SectionNumber"/>
        </w:rPr>
        <w:t xml:space="preserve">1.30.12</w:t>
      </w:r>
      <w:r>
        <w:tab/>
      </w:r>
      <w:r>
        <w:t xml:space="preserve">Q12. How do you avoid look-ahead bias in volatility targeting?</w:t>
      </w:r>
    </w:p>
    <w:p>
      <w:pPr>
        <w:pStyle w:val="FirstParagraph"/>
      </w:pPr>
      <w:r>
        <w:rPr>
          <w:b/>
          <w:bCs/>
        </w:rPr>
        <w:t xml:space="preserve">Answer:</w:t>
      </w:r>
      <w:r>
        <w:br/>
      </w:r>
      <w:r>
        <w:t xml:space="preserve">The realized volatility signal is shifted by one day. Exposure at day</w:t>
      </w:r>
      <w:r>
        <w:t xml:space="preserve"> </w:t>
      </w:r>
      <w:r>
        <w:rPr>
          <w:rStyle w:val="VerbatimChar"/>
        </w:rPr>
        <w:t xml:space="preserve">t</w:t>
      </w:r>
      <w:r>
        <w:t xml:space="preserve"> </w:t>
      </w:r>
      <w:r>
        <w:t xml:space="preserve">is based only on information available up to day</w:t>
      </w:r>
      <w:r>
        <w:t xml:space="preserve"> </w:t>
      </w:r>
      <w:r>
        <w:rPr>
          <w:rStyle w:val="VerbatimChar"/>
        </w:rPr>
        <w:t xml:space="preserve">t-1</w:t>
      </w:r>
      <w:r>
        <w:t xml:space="preserve">. Regime classification also uses lagged realized volatility.</w:t>
      </w:r>
    </w:p>
    <w:bookmarkEnd w:id="185"/>
    <w:bookmarkStart w:id="186" w:name="X537b76756f25c11a4bfc465d8fe98e77d1a287d"/>
    <w:p>
      <w:pPr>
        <w:pStyle w:val="Heading3"/>
      </w:pPr>
      <w:r>
        <w:rPr>
          <w:rStyle w:val="SectionNumber"/>
        </w:rPr>
        <w:t xml:space="preserve">1.30.13</w:t>
      </w:r>
      <w:r>
        <w:tab/>
      </w:r>
      <w:r>
        <w:t xml:space="preserve">Q13. What is Calmar ratio and why is it default?</w:t>
      </w:r>
    </w:p>
    <w:p>
      <w:pPr>
        <w:pStyle w:val="FirstParagraph"/>
      </w:pPr>
      <w:r>
        <w:rPr>
          <w:b/>
          <w:bCs/>
        </w:rPr>
        <w:t xml:space="preserve">Answer:</w:t>
      </w:r>
      <w:r>
        <w:br/>
      </w:r>
      <w:r>
        <w:t xml:space="preserve">Calmar is CAGR divided by absolute maximum drawdown. It rewards strategies that generate growth while controlling worst peak-to-trough loss. It is the default dashboard objective because the objective selectbox defaults to the fourth option, which is Calmar.</w:t>
      </w:r>
    </w:p>
    <w:bookmarkEnd w:id="186"/>
    <w:bookmarkStart w:id="187" w:name="X3dc6ae0b1d67615495847f0c0d35de455570544"/>
    <w:p>
      <w:pPr>
        <w:pStyle w:val="Heading3"/>
      </w:pPr>
      <w:r>
        <w:rPr>
          <w:rStyle w:val="SectionNumber"/>
        </w:rPr>
        <w:t xml:space="preserve">1.30.14</w:t>
      </w:r>
      <w:r>
        <w:tab/>
      </w:r>
      <w:r>
        <w:t xml:space="preserve">Q14. Are multiple attributes weighted to choose the best strategy?</w:t>
      </w:r>
    </w:p>
    <w:p>
      <w:pPr>
        <w:pStyle w:val="FirstParagraph"/>
      </w:pPr>
      <w:r>
        <w:rPr>
          <w:b/>
          <w:bCs/>
        </w:rPr>
        <w:t xml:space="preserve">Answer:</w:t>
      </w:r>
      <w:r>
        <w:br/>
      </w:r>
      <w:r>
        <w:t xml:space="preserve">No. The current experiment framework uses single-objective ranking. The user selects one objective such as CAGR, Sharpe, Sortino, Calmar, Max Drawdown, or Final Value. Turnover and transaction costs are recorded as diagnostics but are not explicitly weighted in the ranking unless they affect the selected objective.</w:t>
      </w:r>
    </w:p>
    <w:bookmarkEnd w:id="187"/>
    <w:bookmarkStart w:id="188" w:name="q15.-is-the-system-production-ready"/>
    <w:p>
      <w:pPr>
        <w:pStyle w:val="Heading3"/>
      </w:pPr>
      <w:r>
        <w:rPr>
          <w:rStyle w:val="SectionNumber"/>
        </w:rPr>
        <w:t xml:space="preserve">1.30.15</w:t>
      </w:r>
      <w:r>
        <w:tab/>
      </w:r>
      <w:r>
        <w:t xml:space="preserve">Q15. Is the system production-ready?</w:t>
      </w:r>
    </w:p>
    <w:p>
      <w:pPr>
        <w:pStyle w:val="FirstParagraph"/>
      </w:pPr>
      <w:r>
        <w:rPr>
          <w:b/>
          <w:bCs/>
        </w:rPr>
        <w:t xml:space="preserve">Answer:</w:t>
      </w:r>
      <w:r>
        <w:br/>
      </w:r>
      <w:r>
        <w:t xml:space="preserve">No. It is a research prototype. It has strong portfolio analytics and backtesting functionality, but production readiness would require data governance, persistent data snapshots, monitoring, deployment, liquidity-aware costs, market impact modeling, and stronger validation like CPCV.</w:t>
      </w:r>
    </w:p>
    <w:bookmarkEnd w:id="188"/>
    <w:bookmarkStart w:id="189" w:name="q16.-is-regime-detection-implemented"/>
    <w:p>
      <w:pPr>
        <w:pStyle w:val="Heading3"/>
      </w:pPr>
      <w:r>
        <w:rPr>
          <w:rStyle w:val="SectionNumber"/>
        </w:rPr>
        <w:t xml:space="preserve">1.30.16</w:t>
      </w:r>
      <w:r>
        <w:tab/>
      </w:r>
      <w:r>
        <w:t xml:space="preserve">Q16. Is regime detection implemented?</w:t>
      </w:r>
    </w:p>
    <w:p>
      <w:pPr>
        <w:pStyle w:val="FirstParagraph"/>
      </w:pPr>
      <w:r>
        <w:rPr>
          <w:b/>
          <w:bCs/>
        </w:rPr>
        <w:t xml:space="preserve">Answer:</w:t>
      </w:r>
      <w:r>
        <w:br/>
      </w:r>
      <w:r>
        <w:t xml:space="preserve">Full Markov-switching regime detection is future work. The current volatility-targeting overlay uses realized-volatility percentile regimes, which are rule-based and lagged, but not a full macro/Markov regime model.</w:t>
      </w:r>
    </w:p>
    <w:bookmarkEnd w:id="189"/>
    <w:bookmarkStart w:id="190" w:name="q17.-is-nlp-sentiment-implemented"/>
    <w:p>
      <w:pPr>
        <w:pStyle w:val="Heading3"/>
      </w:pPr>
      <w:r>
        <w:rPr>
          <w:rStyle w:val="SectionNumber"/>
        </w:rPr>
        <w:t xml:space="preserve">1.30.17</w:t>
      </w:r>
      <w:r>
        <w:tab/>
      </w:r>
      <w:r>
        <w:t xml:space="preserve">Q17. Is NLP sentiment implemented?</w:t>
      </w:r>
    </w:p>
    <w:p>
      <w:pPr>
        <w:pStyle w:val="FirstParagraph"/>
      </w:pPr>
      <w:r>
        <w:rPr>
          <w:b/>
          <w:bCs/>
        </w:rPr>
        <w:t xml:space="preserve">Answer:</w:t>
      </w:r>
      <w:r>
        <w:br/>
      </w:r>
      <w:r>
        <w:t xml:space="preserve">No, not as a full working pipeline. NLP for RBI policy text, earnings calls, and uncertainty scoring is future work or scaffolding. We should not overclaim it.</w:t>
      </w:r>
    </w:p>
    <w:bookmarkEnd w:id="190"/>
    <w:bookmarkStart w:id="191" w:name="Xeba4e32dcd142e9e7429206596345eedf46602f"/>
    <w:p>
      <w:pPr>
        <w:pStyle w:val="Heading3"/>
      </w:pPr>
      <w:r>
        <w:rPr>
          <w:rStyle w:val="SectionNumber"/>
        </w:rPr>
        <w:t xml:space="preserve">1.30.18</w:t>
      </w:r>
      <w:r>
        <w:tab/>
      </w:r>
      <w:r>
        <w:t xml:space="preserve">Q18. What is the most important limitation?</w:t>
      </w:r>
    </w:p>
    <w:p>
      <w:pPr>
        <w:pStyle w:val="FirstParagraph"/>
      </w:pPr>
      <w:r>
        <w:rPr>
          <w:b/>
          <w:bCs/>
        </w:rPr>
        <w:t xml:space="preserve">Answer:</w:t>
      </w:r>
      <w:r>
        <w:br/>
      </w:r>
      <w:r>
        <w:t xml:space="preserve">The biggest limitation is that the project is still a research prototype. It relies on Yahoo Finance data, uses simplified transaction costs, does not yet include CPCV, does not model market impact/taxes, and does not yet implement full regime or NLP-driven allocation.</w:t>
      </w:r>
    </w:p>
    <w:bookmarkEnd w:id="191"/>
    <w:bookmarkStart w:id="192" w:name="Xbce9df4ff7725a7b61dcc5634e13f5aa836e900"/>
    <w:p>
      <w:pPr>
        <w:pStyle w:val="Heading3"/>
      </w:pPr>
      <w:r>
        <w:rPr>
          <w:rStyle w:val="SectionNumber"/>
        </w:rPr>
        <w:t xml:space="preserve">1.30.19</w:t>
      </w:r>
      <w:r>
        <w:tab/>
      </w:r>
      <w:r>
        <w:t xml:space="preserve">Q19. What is the strongest part of the project?</w:t>
      </w:r>
    </w:p>
    <w:p>
      <w:pPr>
        <w:pStyle w:val="FirstParagraph"/>
      </w:pPr>
      <w:r>
        <w:rPr>
          <w:b/>
          <w:bCs/>
        </w:rPr>
        <w:t xml:space="preserve">Answer:</w:t>
      </w:r>
      <w:r>
        <w:br/>
      </w:r>
      <w:r>
        <w:t xml:space="preserve">The strongest part is the end-to-end research workflow: data cleaning, covariance estimation, hierarchical allocation, rolling backtesting, transaction costs, risk contribution, benchmark comparison, volatility targeting, and sensitivity experiments are connected into one platform.</w:t>
      </w:r>
    </w:p>
    <w:bookmarkEnd w:id="192"/>
    <w:bookmarkStart w:id="193" w:name="q20.-what-would-you-improve-next"/>
    <w:p>
      <w:pPr>
        <w:pStyle w:val="Heading3"/>
      </w:pPr>
      <w:r>
        <w:rPr>
          <w:rStyle w:val="SectionNumber"/>
        </w:rPr>
        <w:t xml:space="preserve">1.30.20</w:t>
      </w:r>
      <w:r>
        <w:tab/>
      </w:r>
      <w:r>
        <w:t xml:space="preserve">Q20. What would you improve next?</w:t>
      </w:r>
    </w:p>
    <w:p>
      <w:pPr>
        <w:pStyle w:val="FirstParagraph"/>
      </w:pPr>
      <w:r>
        <w:rPr>
          <w:b/>
          <w:bCs/>
        </w:rPr>
        <w:t xml:space="preserve">Answer:</w:t>
      </w:r>
      <w:r>
        <w:br/>
      </w:r>
      <w:r>
        <w:t xml:space="preserve">First, add CPCV/walk-forward robustness validation to reduce overfitting risk. Then use that validation layer to test regime detection and NLP sentiment signals. This order keeps the research scientifically defensible.</w:t>
      </w:r>
    </w:p>
    <w:p>
      <w:r>
        <w:pict>
          <v:rect style="width:0;height:1.5pt" o:hralign="center" o:hrstd="t" o:hr="t"/>
        </w:pict>
      </w:r>
    </w:p>
    <w:bookmarkEnd w:id="193"/>
    <w:bookmarkEnd w:id="194"/>
    <w:bookmarkStart w:id="200" w:name="X3cbb84e285c48b5b98c9705ec9d7e7e1135389c"/>
    <w:p>
      <w:pPr>
        <w:pStyle w:val="Heading2"/>
      </w:pPr>
      <w:r>
        <w:rPr>
          <w:rStyle w:val="SectionNumber"/>
        </w:rPr>
        <w:t xml:space="preserve">1.31</w:t>
      </w:r>
      <w:r>
        <w:tab/>
      </w:r>
      <w:r>
        <w:t xml:space="preserve">31. Common Mistakes to Avoid While Presenting</w:t>
      </w:r>
    </w:p>
    <w:bookmarkStart w:id="195" w:name="mistake-1-saying-it-is-fully-ai-based"/>
    <w:p>
      <w:pPr>
        <w:pStyle w:val="Heading3"/>
      </w:pPr>
      <w:r>
        <w:rPr>
          <w:rStyle w:val="SectionNumber"/>
        </w:rPr>
        <w:t xml:space="preserve">1.31.1</w:t>
      </w:r>
      <w:r>
        <w:tab/>
      </w:r>
      <w:r>
        <w:t xml:space="preserve">Mistake 1: Saying It Is Fully AI-Based</w:t>
      </w:r>
    </w:p>
    <w:p>
      <w:pPr>
        <w:pStyle w:val="FirstParagraph"/>
      </w:pPr>
      <w:r>
        <w:t xml:space="preserve">Avoid:</w:t>
      </w:r>
    </w:p>
    <w:p>
      <w:pPr>
        <w:pStyle w:val="SourceCode"/>
      </w:pPr>
      <w:r>
        <w:rPr>
          <w:rStyle w:val="VerbatimChar"/>
        </w:rPr>
        <w:t xml:space="preserve">This is a full AI-powered trading system.</w:t>
      </w:r>
    </w:p>
    <w:p>
      <w:pPr>
        <w:pStyle w:val="FirstParagraph"/>
      </w:pPr>
      <w:r>
        <w:t xml:space="preserve">Say:</w:t>
      </w:r>
    </w:p>
    <w:p>
      <w:pPr>
        <w:pStyle w:val="SourceCode"/>
      </w:pPr>
      <w:r>
        <w:rPr>
          <w:rStyle w:val="VerbatimChar"/>
        </w:rPr>
        <w:t xml:space="preserve">This is a quantitative portfolio analytics and backtesting platform with planned AI/NLP extensions.</w:t>
      </w:r>
    </w:p>
    <w:bookmarkEnd w:id="195"/>
    <w:bookmarkStart w:id="196" w:name="Xeb528c3fa654673dd27f1bca48f13e5810586e1"/>
    <w:p>
      <w:pPr>
        <w:pStyle w:val="Heading3"/>
      </w:pPr>
      <w:r>
        <w:rPr>
          <w:rStyle w:val="SectionNumber"/>
        </w:rPr>
        <w:t xml:space="preserve">1.31.2</w:t>
      </w:r>
      <w:r>
        <w:tab/>
      </w:r>
      <w:r>
        <w:t xml:space="preserve">Mistake 2: Saying Regime Detection Is Complete</w:t>
      </w:r>
    </w:p>
    <w:p>
      <w:pPr>
        <w:pStyle w:val="FirstParagraph"/>
      </w:pPr>
      <w:r>
        <w:t xml:space="preserve">Avoid:</w:t>
      </w:r>
    </w:p>
    <w:p>
      <w:pPr>
        <w:pStyle w:val="SourceCode"/>
      </w:pPr>
      <w:r>
        <w:rPr>
          <w:rStyle w:val="VerbatimChar"/>
        </w:rPr>
        <w:t xml:space="preserve">We implemented Markov-switching regimes.</w:t>
      </w:r>
    </w:p>
    <w:p>
      <w:pPr>
        <w:pStyle w:val="FirstParagraph"/>
      </w:pPr>
      <w:r>
        <w:t xml:space="preserve">Say:</w:t>
      </w:r>
    </w:p>
    <w:p>
      <w:pPr>
        <w:pStyle w:val="SourceCode"/>
      </w:pPr>
      <w:r>
        <w:rPr>
          <w:rStyle w:val="VerbatimChar"/>
        </w:rPr>
        <w:t xml:space="preserve">The current volatility-targeting overlay uses rule-based realized-volatility regimes. Full Markov-switching regimes are future work.</w:t>
      </w:r>
    </w:p>
    <w:bookmarkEnd w:id="196"/>
    <w:bookmarkStart w:id="197" w:name="Xe5ac5aeacdce00e15759818aff6b6d3887cb595"/>
    <w:p>
      <w:pPr>
        <w:pStyle w:val="Heading3"/>
      </w:pPr>
      <w:r>
        <w:rPr>
          <w:rStyle w:val="SectionNumber"/>
        </w:rPr>
        <w:t xml:space="preserve">1.31.3</w:t>
      </w:r>
      <w:r>
        <w:tab/>
      </w:r>
      <w:r>
        <w:t xml:space="preserve">Mistake 3: Saying Turnover Is Weighted in Ranking</w:t>
      </w:r>
    </w:p>
    <w:p>
      <w:pPr>
        <w:pStyle w:val="FirstParagraph"/>
      </w:pPr>
      <w:r>
        <w:t xml:space="preserve">Avoid:</w:t>
      </w:r>
    </w:p>
    <w:p>
      <w:pPr>
        <w:pStyle w:val="SourceCode"/>
      </w:pPr>
      <w:r>
        <w:rPr>
          <w:rStyle w:val="VerbatimChar"/>
        </w:rPr>
        <w:t xml:space="preserve">The best strategy is selected using weighted turnover, CAGR, Sharpe, and drawdown.</w:t>
      </w:r>
    </w:p>
    <w:p>
      <w:pPr>
        <w:pStyle w:val="FirstParagraph"/>
      </w:pPr>
      <w:r>
        <w:t xml:space="preserve">Say:</w:t>
      </w:r>
    </w:p>
    <w:p>
      <w:pPr>
        <w:pStyle w:val="SourceCode"/>
      </w:pPr>
      <w:r>
        <w:rPr>
          <w:rStyle w:val="VerbatimChar"/>
        </w:rPr>
        <w:t xml:space="preserve">The current ranking is single-objective. Turnover and transaction costs are diagnostics, not explicitly weighted decision attributes.</w:t>
      </w:r>
    </w:p>
    <w:bookmarkEnd w:id="197"/>
    <w:bookmarkStart w:id="198" w:name="X4f394bfc7c04a2974ce77178757079a58a8daca"/>
    <w:p>
      <w:pPr>
        <w:pStyle w:val="Heading3"/>
      </w:pPr>
      <w:r>
        <w:rPr>
          <w:rStyle w:val="SectionNumber"/>
        </w:rPr>
        <w:t xml:space="preserve">1.31.4</w:t>
      </w:r>
      <w:r>
        <w:tab/>
      </w:r>
      <w:r>
        <w:t xml:space="preserve">Mistake 4: Saying All Metrics Are Fully Net of Costs</w:t>
      </w:r>
    </w:p>
    <w:p>
      <w:pPr>
        <w:pStyle w:val="FirstParagraph"/>
      </w:pPr>
      <w:r>
        <w:t xml:space="preserve">Avoid:</w:t>
      </w:r>
    </w:p>
    <w:p>
      <w:pPr>
        <w:pStyle w:val="SourceCode"/>
      </w:pPr>
      <w:r>
        <w:rPr>
          <w:rStyle w:val="VerbatimChar"/>
        </w:rPr>
        <w:t xml:space="preserve">Every metric is fully daily net-of-cost.</w:t>
      </w:r>
    </w:p>
    <w:p>
      <w:pPr>
        <w:pStyle w:val="FirstParagraph"/>
      </w:pPr>
      <w:r>
        <w:t xml:space="preserve">Say:</w:t>
      </w:r>
    </w:p>
    <w:p>
      <w:pPr>
        <w:pStyle w:val="SourceCode"/>
      </w:pPr>
      <w:r>
        <w:rPr>
          <w:rStyle w:val="VerbatimChar"/>
        </w:rPr>
        <w:t xml:space="preserve">Gross and net values are tracked, and costs reduce net final value. Some return-stream metrics should be interpreted carefully because daily net-return reconstruction is not fully applied everywhere.</w:t>
      </w:r>
    </w:p>
    <w:bookmarkEnd w:id="198"/>
    <w:bookmarkStart w:id="199" w:name="X8fb40ed84ad076d9cea3a55e4e3a4d5ddd3f5cb"/>
    <w:p>
      <w:pPr>
        <w:pStyle w:val="Heading3"/>
      </w:pPr>
      <w:r>
        <w:rPr>
          <w:rStyle w:val="SectionNumber"/>
        </w:rPr>
        <w:t xml:space="preserve">1.31.5</w:t>
      </w:r>
      <w:r>
        <w:tab/>
      </w:r>
      <w:r>
        <w:t xml:space="preserve">Mistake 5: Claiming a Final Winning Strategy Without Verified Export</w:t>
      </w:r>
    </w:p>
    <w:p>
      <w:pPr>
        <w:pStyle w:val="FirstParagraph"/>
      </w:pPr>
      <w:r>
        <w:t xml:space="preserve">Avoid:</w:t>
      </w:r>
    </w:p>
    <w:p>
      <w:pPr>
        <w:pStyle w:val="SourceCode"/>
      </w:pPr>
      <w:r>
        <w:rPr>
          <w:rStyle w:val="VerbatimChar"/>
        </w:rPr>
        <w:t xml:space="preserve">This strategy is definitely the best.</w:t>
      </w:r>
    </w:p>
    <w:p>
      <w:pPr>
        <w:pStyle w:val="FirstParagraph"/>
      </w:pPr>
      <w:r>
        <w:t xml:space="preserve">Say:</w:t>
      </w:r>
    </w:p>
    <w:p>
      <w:pPr>
        <w:pStyle w:val="SourceCode"/>
      </w:pPr>
      <w:r>
        <w:rPr>
          <w:rStyle w:val="VerbatimChar"/>
        </w:rPr>
        <w:t xml:space="preserve">The framework ranks strategies by the selected objective. We should state the winner only after verifying the specific experiment run and export.</w:t>
      </w:r>
    </w:p>
    <w:p>
      <w:r>
        <w:pict>
          <v:rect style="width:0;height:1.5pt" o:hralign="center" o:hrstd="t" o:hr="t"/>
        </w:pict>
      </w:r>
    </w:p>
    <w:bookmarkEnd w:id="199"/>
    <w:bookmarkEnd w:id="200"/>
    <w:bookmarkStart w:id="234" w:name="formula-sheet"/>
    <w:p>
      <w:pPr>
        <w:pStyle w:val="Heading2"/>
      </w:pPr>
      <w:r>
        <w:rPr>
          <w:rStyle w:val="SectionNumber"/>
        </w:rPr>
        <w:t xml:space="preserve">1.32</w:t>
      </w:r>
      <w:r>
        <w:tab/>
      </w:r>
      <w:r>
        <w:t xml:space="preserve">32. Formula Sheet</w:t>
      </w:r>
    </w:p>
    <w:bookmarkStart w:id="201" w:name="returns"/>
    <w:p>
      <w:pPr>
        <w:pStyle w:val="Heading3"/>
      </w:pPr>
      <w:r>
        <w:rPr>
          <w:rStyle w:val="SectionNumber"/>
        </w:rPr>
        <w:t xml:space="preserve">1.32.1</w:t>
      </w:r>
      <w:r>
        <w:tab/>
      </w:r>
      <w:r>
        <w:t xml:space="preserve">Returns</w:t>
      </w:r>
    </w:p>
    <w:p>
      <w:pPr>
        <w:pStyle w:val="FirstParagraph"/>
      </w:pPr>
      <m:oMathPara>
        <m:oMathParaPr>
          <m:jc m:val="center"/>
        </m:oMathParaPr>
        <m:oMath>
          <m:sSub>
            <m:e>
              <m:r>
                <m:rPr>
                  <m:nor/>
                  <m:sty m:val="p"/>
                </m:rPr>
                <m:t>simple return</m:t>
              </m:r>
            </m:e>
            <m:sub>
              <m:r>
                <m:t>t</m:t>
              </m:r>
            </m:sub>
          </m:sSub>
          <m:r>
            <m:rPr>
              <m:sty m:val="p"/>
            </m:rPr>
            <m:t>=</m:t>
          </m:r>
          <m:f>
            <m:fPr>
              <m:type m:val="bar"/>
            </m:fPr>
            <m:num>
              <m:sSub>
                <m:e>
                  <m:r>
                    <m:t>P</m:t>
                  </m:r>
                </m:e>
                <m:sub>
                  <m:r>
                    <m:t>t</m:t>
                  </m:r>
                </m:sub>
              </m:sSub>
            </m:num>
            <m:den>
              <m:sSub>
                <m:e>
                  <m:r>
                    <m:t>P</m:t>
                  </m:r>
                </m:e>
                <m:sub>
                  <m:r>
                    <m:t>t</m:t>
                  </m:r>
                  <m:r>
                    <m:rPr>
                      <m:sty m:val="p"/>
                    </m:rPr>
                    <m:t>−</m:t>
                  </m:r>
                  <m:r>
                    <m:t>1</m:t>
                  </m:r>
                </m:sub>
              </m:sSub>
            </m:den>
          </m:f>
          <m:r>
            <m:rPr>
              <m:sty m:val="p"/>
            </m:rPr>
            <m:t>−</m:t>
          </m:r>
          <m:r>
            <m:t>1</m:t>
          </m:r>
        </m:oMath>
      </m:oMathPara>
    </w:p>
    <w:p>
      <w:pPr>
        <w:pStyle w:val="FirstParagraph"/>
      </w:pPr>
      <m:oMathPara>
        <m:oMathParaPr>
          <m:jc m:val="center"/>
        </m:oMathParaPr>
        <m:oMath>
          <m:sSub>
            <m:e>
              <m:r>
                <m:rPr>
                  <m:nor/>
                  <m:sty m:val="p"/>
                </m:rPr>
                <m:t>log return</m:t>
              </m:r>
            </m:e>
            <m:sub>
              <m:r>
                <m:t>t</m:t>
              </m:r>
            </m:sub>
          </m:sSub>
          <m:r>
            <m:rPr>
              <m:sty m:val="p"/>
            </m:rPr>
            <m:t>=</m:t>
          </m:r>
          <m:r>
            <m:rPr>
              <m:sty m:val="p"/>
            </m:rPr>
            <m:t>log</m:t>
          </m:r>
          <m:d>
            <m:dPr>
              <m:begChr m:val="("/>
              <m:endChr m:val=")"/>
              <m:sepChr m:val=""/>
              <m:grow/>
            </m:dPr>
            <m:e>
              <m:f>
                <m:fPr>
                  <m:type m:val="bar"/>
                </m:fPr>
                <m:num>
                  <m:sSub>
                    <m:e>
                      <m:r>
                        <m:t>P</m:t>
                      </m:r>
                    </m:e>
                    <m:sub>
                      <m:r>
                        <m:t>t</m:t>
                      </m:r>
                    </m:sub>
                  </m:sSub>
                </m:num>
                <m:den>
                  <m:sSub>
                    <m:e>
                      <m:r>
                        <m:t>P</m:t>
                      </m:r>
                    </m:e>
                    <m:sub>
                      <m:r>
                        <m:t>t</m:t>
                      </m:r>
                      <m:r>
                        <m:rPr>
                          <m:sty m:val="p"/>
                        </m:rPr>
                        <m:t>−</m:t>
                      </m:r>
                      <m:r>
                        <m:t>1</m:t>
                      </m:r>
                    </m:sub>
                  </m:sSub>
                </m:den>
              </m:f>
            </m:e>
          </m:d>
        </m:oMath>
      </m:oMathPara>
    </w:p>
    <w:bookmarkEnd w:id="201"/>
    <w:bookmarkStart w:id="202" w:name="annualized-volatility-2"/>
    <w:p>
      <w:pPr>
        <w:pStyle w:val="Heading3"/>
      </w:pPr>
      <w:r>
        <w:rPr>
          <w:rStyle w:val="SectionNumber"/>
        </w:rPr>
        <w:t xml:space="preserve">1.32.2</w:t>
      </w:r>
      <w:r>
        <w:tab/>
      </w:r>
      <w:r>
        <w:t xml:space="preserve">Annualized Volatility</w:t>
      </w:r>
    </w:p>
    <w:p>
      <w:pPr>
        <w:pStyle w:val="FirstParagraph"/>
      </w:pPr>
      <m:oMathPara>
        <m:oMathParaPr>
          <m:jc m:val="center"/>
        </m:oMathParaPr>
        <m:oMath>
          <m:r>
            <m:rPr>
              <m:nor/>
              <m:sty m:val="p"/>
            </m:rPr>
            <m:t>annualized volatility</m:t>
          </m:r>
          <m:r>
            <m:rPr>
              <m:sty m:val="p"/>
            </m:rPr>
            <m:t>=</m:t>
          </m:r>
          <m:r>
            <m:rPr>
              <m:sty m:val="p"/>
            </m:rPr>
            <m:t>std</m:t>
          </m:r>
          <m:d>
            <m:dPr>
              <m:begChr m:val="("/>
              <m:endChr m:val=")"/>
              <m:sepChr m:val=""/>
              <m:grow/>
            </m:dPr>
            <m:e>
              <m:r>
                <m:rPr>
                  <m:nor/>
                  <m:sty m:val="p"/>
                </m:rPr>
                <m:t>daily returns</m:t>
              </m:r>
            </m:e>
          </m:d>
          <m:r>
            <m:rPr>
              <m:sty m:val="p"/>
            </m:rPr>
            <m:t>×</m:t>
          </m:r>
          <m:rad>
            <m:radPr>
              <m:degHide m:val="on"/>
            </m:radPr>
            <m:deg/>
            <m:e>
              <m:r>
                <m:t>252</m:t>
              </m:r>
            </m:e>
          </m:rad>
        </m:oMath>
      </m:oMathPara>
    </w:p>
    <w:bookmarkEnd w:id="202"/>
    <w:bookmarkStart w:id="203" w:name="covariance-1"/>
    <w:p>
      <w:pPr>
        <w:pStyle w:val="Heading3"/>
      </w:pPr>
      <w:r>
        <w:rPr>
          <w:rStyle w:val="SectionNumber"/>
        </w:rPr>
        <w:t xml:space="preserve">1.32.3</w:t>
      </w:r>
      <w:r>
        <w:tab/>
      </w:r>
      <w:r>
        <w:t xml:space="preserve">Covariance</w:t>
      </w:r>
    </w:p>
    <w:p>
      <w:pPr>
        <w:pStyle w:val="FirstParagraph"/>
      </w:pPr>
      <m:oMathPara>
        <m:oMathParaPr>
          <m:jc m:val="center"/>
        </m:oMathParaPr>
        <m:oMath>
          <m:sSub>
            <m:e>
              <m:r>
                <m:t>Σ</m:t>
              </m:r>
            </m:e>
            <m:sub>
              <m:r>
                <m:t>i</m:t>
              </m:r>
              <m:r>
                <m:t>j</m:t>
              </m:r>
            </m:sub>
          </m:sSub>
          <m:r>
            <m:rPr>
              <m:sty m:val="p"/>
            </m:rPr>
            <m:t>=</m:t>
          </m:r>
          <m:r>
            <m:rPr>
              <m:sty m:val="p"/>
            </m:rPr>
            <m:t>cov</m:t>
          </m:r>
          <m:d>
            <m:dPr>
              <m:begChr m:val="("/>
              <m:endChr m:val=")"/>
              <m:sepChr m:val=""/>
              <m:grow/>
            </m:dPr>
            <m:e>
              <m:sSub>
                <m:e>
                  <m:r>
                    <m:t>r</m:t>
                  </m:r>
                </m:e>
                <m:sub>
                  <m:r>
                    <m:t>i</m:t>
                  </m:r>
                </m:sub>
              </m:sSub>
              <m:r>
                <m:rPr>
                  <m:sty m:val="p"/>
                </m:rPr>
                <m:t>,</m:t>
              </m:r>
              <m:sSub>
                <m:e>
                  <m:r>
                    <m:t>r</m:t>
                  </m:r>
                </m:e>
                <m:sub>
                  <m:r>
                    <m:t>j</m:t>
                  </m:r>
                </m:sub>
              </m:sSub>
            </m:e>
          </m:d>
        </m:oMath>
      </m:oMathPara>
    </w:p>
    <w:bookmarkEnd w:id="203"/>
    <w:bookmarkStart w:id="204" w:name="correlation-1"/>
    <w:p>
      <w:pPr>
        <w:pStyle w:val="Heading3"/>
      </w:pPr>
      <w:r>
        <w:rPr>
          <w:rStyle w:val="SectionNumber"/>
        </w:rPr>
        <w:t xml:space="preserve">1.32.4</w:t>
      </w:r>
      <w:r>
        <w:tab/>
      </w:r>
      <w:r>
        <w:t xml:space="preserve">Correlation</w:t>
      </w:r>
    </w:p>
    <w:p>
      <w:pPr>
        <w:pStyle w:val="FirstParagraph"/>
      </w:pPr>
      <m:oMathPara>
        <m:oMathParaPr>
          <m:jc m:val="center"/>
        </m:oMathParaPr>
        <m:oMath>
          <m:sSub>
            <m:e>
              <m:r>
                <m:t>ρ</m:t>
              </m:r>
            </m:e>
            <m:sub>
              <m:r>
                <m:t>i</m:t>
              </m:r>
              <m:r>
                <m:t>j</m:t>
              </m:r>
            </m:sub>
          </m:sSub>
          <m:r>
            <m:rPr>
              <m:sty m:val="p"/>
            </m:rPr>
            <m:t>=</m:t>
          </m:r>
          <m:f>
            <m:fPr>
              <m:type m:val="bar"/>
            </m:fPr>
            <m:num>
              <m:sSub>
                <m:e>
                  <m:r>
                    <m:t>Σ</m:t>
                  </m:r>
                </m:e>
                <m:sub>
                  <m:r>
                    <m:t>i</m:t>
                  </m:r>
                  <m:r>
                    <m:t>j</m:t>
                  </m:r>
                </m:sub>
              </m:sSub>
            </m:num>
            <m:den>
              <m:sSub>
                <m:e>
                  <m:r>
                    <m:t>σ</m:t>
                  </m:r>
                </m:e>
                <m:sub>
                  <m:r>
                    <m:t>i</m:t>
                  </m:r>
                </m:sub>
              </m:sSub>
              <m:sSub>
                <m:e>
                  <m:r>
                    <m:t>σ</m:t>
                  </m:r>
                </m:e>
                <m:sub>
                  <m:r>
                    <m:t>j</m:t>
                  </m:r>
                </m:sub>
              </m:sSub>
            </m:den>
          </m:f>
        </m:oMath>
      </m:oMathPara>
    </w:p>
    <w:bookmarkEnd w:id="204"/>
    <w:bookmarkStart w:id="205" w:name="correlation-distance"/>
    <w:p>
      <w:pPr>
        <w:pStyle w:val="Heading3"/>
      </w:pPr>
      <w:r>
        <w:rPr>
          <w:rStyle w:val="SectionNumber"/>
        </w:rPr>
        <w:t xml:space="preserve">1.32.5</w:t>
      </w:r>
      <w:r>
        <w:tab/>
      </w:r>
      <w:r>
        <w:t xml:space="preserve">Correlation Distance</w:t>
      </w:r>
    </w:p>
    <w:p>
      <w:pPr>
        <w:pStyle w:val="FirstParagraph"/>
      </w:pPr>
      <m:oMathPara>
        <m:oMathParaPr>
          <m:jc m:val="center"/>
        </m:oMathParaPr>
        <m:oMath>
          <m:sSub>
            <m:e>
              <m:r>
                <m:t>d</m:t>
              </m:r>
            </m:e>
            <m:sub>
              <m:r>
                <m:t>i</m:t>
              </m:r>
              <m:r>
                <m:t>j</m:t>
              </m:r>
            </m:sub>
          </m:sSub>
          <m:r>
            <m:rPr>
              <m:sty m:val="p"/>
            </m:rPr>
            <m:t>=</m:t>
          </m:r>
          <m:rad>
            <m:radPr>
              <m:degHide m:val="on"/>
            </m:radPr>
            <m:deg/>
            <m:e>
              <m:f>
                <m:fPr>
                  <m:type m:val="bar"/>
                </m:fPr>
                <m:num>
                  <m:r>
                    <m:t>1</m:t>
                  </m:r>
                  <m:r>
                    <m:rPr>
                      <m:sty m:val="p"/>
                    </m:rPr>
                    <m:t>−</m:t>
                  </m:r>
                  <m:sSub>
                    <m:e>
                      <m:r>
                        <m:t>ρ</m:t>
                      </m:r>
                    </m:e>
                    <m:sub>
                      <m:r>
                        <m:t>i</m:t>
                      </m:r>
                      <m:r>
                        <m:t>j</m:t>
                      </m:r>
                    </m:sub>
                  </m:sSub>
                </m:num>
                <m:den>
                  <m:r>
                    <m:t>2</m:t>
                  </m:r>
                </m:den>
              </m:f>
            </m:e>
          </m:rad>
        </m:oMath>
      </m:oMathPara>
    </w:p>
    <w:bookmarkEnd w:id="205"/>
    <w:bookmarkStart w:id="206" w:name="portfolio-return-1"/>
    <w:p>
      <w:pPr>
        <w:pStyle w:val="Heading3"/>
      </w:pPr>
      <w:r>
        <w:rPr>
          <w:rStyle w:val="SectionNumber"/>
        </w:rPr>
        <w:t xml:space="preserve">1.32.6</w:t>
      </w:r>
      <w:r>
        <w:tab/>
      </w:r>
      <w:r>
        <w:t xml:space="preserve">Portfolio Return</w:t>
      </w:r>
    </w:p>
    <w:p>
      <w:pPr>
        <w:pStyle w:val="FirstParagraph"/>
      </w:pPr>
      <m:oMathPara>
        <m:oMathParaPr>
          <m:jc m:val="center"/>
        </m:oMathParaPr>
        <m:oMath>
          <m:sSub>
            <m:e>
              <m:r>
                <m:t>r</m:t>
              </m:r>
            </m:e>
            <m:sub>
              <m:r>
                <m:t>p</m:t>
              </m:r>
              <m:r>
                <m:rPr>
                  <m:sty m:val="p"/>
                </m:rPr>
                <m:t>,</m:t>
              </m:r>
              <m:r>
                <m:t>t</m:t>
              </m:r>
            </m:sub>
          </m:sSub>
          <m:r>
            <m:rPr>
              <m:sty m:val="p"/>
            </m:rPr>
            <m:t>=</m:t>
          </m:r>
          <m:sSubSup>
            <m:e>
              <m:r>
                <m:t>w</m:t>
              </m:r>
            </m:e>
            <m:sub>
              <m:r>
                <m:t>t</m:t>
              </m:r>
              <m:r>
                <m:rPr>
                  <m:sty m:val="p"/>
                </m:rPr>
                <m:t>−</m:t>
              </m:r>
              <m:r>
                <m:t>1</m:t>
              </m:r>
            </m:sub>
            <m:sup>
              <m:r>
                <m:rPr>
                  <m:sty m:val="p"/>
                </m:rPr>
                <m:t>⊤</m:t>
              </m:r>
            </m:sup>
          </m:sSubSup>
          <m:sSub>
            <m:e>
              <m:r>
                <m:t>r</m:t>
              </m:r>
            </m:e>
            <m:sub>
              <m:r>
                <m:t>t</m:t>
              </m:r>
            </m:sub>
          </m:sSub>
        </m:oMath>
      </m:oMathPara>
    </w:p>
    <w:bookmarkEnd w:id="206"/>
    <w:bookmarkStart w:id="207" w:name="portfolio-variance"/>
    <w:p>
      <w:pPr>
        <w:pStyle w:val="Heading3"/>
      </w:pPr>
      <w:r>
        <w:rPr>
          <w:rStyle w:val="SectionNumber"/>
        </w:rPr>
        <w:t xml:space="preserve">1.32.7</w:t>
      </w:r>
      <w:r>
        <w:tab/>
      </w:r>
      <w:r>
        <w:t xml:space="preserve">Portfolio Variance</w:t>
      </w:r>
    </w:p>
    <w:p>
      <w:pPr>
        <w:pStyle w:val="FirstParagraph"/>
      </w:pPr>
      <m:oMathPara>
        <m:oMathParaPr>
          <m:jc m:val="center"/>
        </m:oMathParaPr>
        <m:oMath>
          <m:sSubSup>
            <m:e>
              <m:r>
                <m:t>σ</m:t>
              </m:r>
            </m:e>
            <m:sub>
              <m:r>
                <m:t>p</m:t>
              </m:r>
            </m:sub>
            <m:sup>
              <m:r>
                <m:t>2</m:t>
              </m:r>
            </m:sup>
          </m:sSubSup>
          <m:r>
            <m:rPr>
              <m:sty m:val="p"/>
            </m:rPr>
            <m:t>=</m:t>
          </m:r>
          <m:sSup>
            <m:e>
              <m:r>
                <m:t>w</m:t>
              </m:r>
            </m:e>
            <m:sup>
              <m:r>
                <m:rPr>
                  <m:sty m:val="p"/>
                </m:rPr>
                <m:t>⊤</m:t>
              </m:r>
            </m:sup>
          </m:sSup>
          <m:r>
            <m:t>Σ</m:t>
          </m:r>
          <m:r>
            <m:t>w</m:t>
          </m:r>
        </m:oMath>
      </m:oMathPara>
    </w:p>
    <w:bookmarkEnd w:id="207"/>
    <w:bookmarkStart w:id="208" w:name="portfolio-volatility-1"/>
    <w:p>
      <w:pPr>
        <w:pStyle w:val="Heading3"/>
      </w:pPr>
      <w:r>
        <w:rPr>
          <w:rStyle w:val="SectionNumber"/>
        </w:rPr>
        <w:t xml:space="preserve">1.32.8</w:t>
      </w:r>
      <w:r>
        <w:tab/>
      </w:r>
      <w:r>
        <w:t xml:space="preserve">Portfolio Volatility</w:t>
      </w:r>
    </w:p>
    <w:p>
      <w:pPr>
        <w:pStyle w:val="FirstParagraph"/>
      </w:pPr>
      <m:oMathPara>
        <m:oMathParaPr>
          <m:jc m:val="center"/>
        </m:oMathParaPr>
        <m:oMath>
          <m:sSub>
            <m:e>
              <m:r>
                <m:t>σ</m:t>
              </m:r>
            </m:e>
            <m:sub>
              <m:r>
                <m:t>p</m:t>
              </m:r>
            </m:sub>
          </m:sSub>
          <m:r>
            <m:rPr>
              <m:sty m:val="p"/>
            </m:rPr>
            <m:t>=</m:t>
          </m:r>
          <m:rad>
            <m:radPr>
              <m:degHide m:val="on"/>
            </m:radPr>
            <m:deg/>
            <m:e>
              <m:sSup>
                <m:e>
                  <m:r>
                    <m:t>w</m:t>
                  </m:r>
                </m:e>
                <m:sup>
                  <m:r>
                    <m:rPr>
                      <m:sty m:val="p"/>
                    </m:rPr>
                    <m:t>⊤</m:t>
                  </m:r>
                </m:sup>
              </m:sSup>
              <m:r>
                <m:t>Σ</m:t>
              </m:r>
              <m:r>
                <m:t>w</m:t>
              </m:r>
            </m:e>
          </m:rad>
        </m:oMath>
      </m:oMathPara>
    </w:p>
    <w:bookmarkEnd w:id="208"/>
    <w:bookmarkStart w:id="209" w:name="equal-weight"/>
    <w:p>
      <w:pPr>
        <w:pStyle w:val="Heading3"/>
      </w:pPr>
      <w:r>
        <w:rPr>
          <w:rStyle w:val="SectionNumber"/>
        </w:rPr>
        <w:t xml:space="preserve">1.32.9</w:t>
      </w:r>
      <w:r>
        <w:tab/>
      </w:r>
      <w:r>
        <w:t xml:space="preserve">Equal Weight</w:t>
      </w:r>
    </w:p>
    <w:p>
      <w:pPr>
        <w:pStyle w:val="FirstParagraph"/>
      </w:pPr>
      <m:oMathPara>
        <m:oMathParaPr>
          <m:jc m:val="center"/>
        </m:oMathParaPr>
        <m:oMath>
          <m:sSub>
            <m:e>
              <m:r>
                <m:t>w</m:t>
              </m:r>
            </m:e>
            <m:sub>
              <m:r>
                <m:t>i</m:t>
              </m:r>
            </m:sub>
          </m:sSub>
          <m:r>
            <m:rPr>
              <m:sty m:val="p"/>
            </m:rPr>
            <m:t>=</m:t>
          </m:r>
          <m:f>
            <m:fPr>
              <m:type m:val="bar"/>
            </m:fPr>
            <m:num>
              <m:r>
                <m:t>1</m:t>
              </m:r>
            </m:num>
            <m:den>
              <m:r>
                <m:t>N</m:t>
              </m:r>
            </m:den>
          </m:f>
        </m:oMath>
      </m:oMathPara>
    </w:p>
    <w:bookmarkEnd w:id="209"/>
    <w:bookmarkStart w:id="210" w:name="inverse-volatility"/>
    <w:p>
      <w:pPr>
        <w:pStyle w:val="Heading3"/>
      </w:pPr>
      <w:r>
        <w:rPr>
          <w:rStyle w:val="SectionNumber"/>
        </w:rPr>
        <w:t xml:space="preserve">1.32.10</w:t>
      </w:r>
      <w:r>
        <w:tab/>
      </w:r>
      <w:r>
        <w:t xml:space="preserve">Inverse Volatility</w:t>
      </w:r>
    </w:p>
    <w:p>
      <w:pPr>
        <w:pStyle w:val="FirstParagraph"/>
      </w:pPr>
      <m:oMathPara>
        <m:oMathParaPr>
          <m:jc m:val="center"/>
        </m:oMathParaPr>
        <m:oMath>
          <m:sSub>
            <m:e>
              <m:r>
                <m:t>w</m:t>
              </m:r>
            </m:e>
            <m:sub>
              <m:r>
                <m:t>i</m:t>
              </m:r>
            </m:sub>
          </m:sSub>
          <m:r>
            <m:rPr>
              <m:sty m:val="p"/>
            </m:rPr>
            <m:t>=</m:t>
          </m:r>
          <m:f>
            <m:fPr>
              <m:type m:val="bar"/>
            </m:fPr>
            <m:num>
              <m:r>
                <m:t>1</m:t>
              </m:r>
              <m:r>
                <m:rPr>
                  <m:sty m:val="p"/>
                </m:rPr>
                <m:t>/</m:t>
              </m:r>
              <m:sSub>
                <m:e>
                  <m:r>
                    <m:t>σ</m:t>
                  </m:r>
                </m:e>
                <m:sub>
                  <m:r>
                    <m:t>i</m:t>
                  </m:r>
                </m:sub>
              </m:sSub>
            </m:num>
            <m:den>
              <m:nary>
                <m:naryPr>
                  <m:chr m:val="∑"/>
                  <m:limLoc m:val="undOvr"/>
                  <m:subHide m:val="off"/>
                  <m:supHide m:val="on"/>
                </m:naryPr>
                <m:sub>
                  <m:r>
                    <m:t>j</m:t>
                  </m:r>
                </m:sub>
                <m:sup>
                  <m:r>
                    <m:t>​</m:t>
                  </m:r>
                </m:sup>
                <m:e>
                  <m:r>
                    <m:t>1</m:t>
                  </m:r>
                </m:e>
              </m:nary>
              <m:r>
                <m:rPr>
                  <m:sty m:val="p"/>
                </m:rPr>
                <m:t>/</m:t>
              </m:r>
              <m:sSub>
                <m:e>
                  <m:r>
                    <m:t>σ</m:t>
                  </m:r>
                </m:e>
                <m:sub>
                  <m:r>
                    <m:t>j</m:t>
                  </m:r>
                </m:sub>
              </m:sSub>
            </m:den>
          </m:f>
        </m:oMath>
      </m:oMathPara>
    </w:p>
    <w:bookmarkEnd w:id="210"/>
    <w:bookmarkStart w:id="211" w:name="max-sharpe-objective-1"/>
    <w:p>
      <w:pPr>
        <w:pStyle w:val="Heading3"/>
      </w:pPr>
      <w:r>
        <w:rPr>
          <w:rStyle w:val="SectionNumber"/>
        </w:rPr>
        <w:t xml:space="preserve">1.32.11</w:t>
      </w:r>
      <w:r>
        <w:tab/>
      </w:r>
      <w:r>
        <w:t xml:space="preserve">Max-Sharpe Objective</w:t>
      </w:r>
    </w:p>
    <w:p>
      <w:pPr>
        <w:pStyle w:val="FirstParagraph"/>
      </w:pPr>
      <m:oMathPara>
        <m:oMathParaPr>
          <m:jc m:val="center"/>
        </m:oMathParaPr>
        <m:oMath>
          <m:limLow>
            <m:e>
              <m:r>
                <m:rPr>
                  <m:sty m:val="p"/>
                </m:rPr>
                <m:t>max</m:t>
              </m:r>
            </m:e>
            <m:lim>
              <m:r>
                <m:t>w</m:t>
              </m:r>
            </m:lim>
          </m:limLow>
          <m:r>
            <m:t> </m:t>
          </m:r>
          <m:f>
            <m:fPr>
              <m:type m:val="bar"/>
            </m:fPr>
            <m:num>
              <m:sSup>
                <m:e>
                  <m:r>
                    <m:t>w</m:t>
                  </m:r>
                </m:e>
                <m:sup>
                  <m:r>
                    <m:rPr>
                      <m:sty m:val="p"/>
                    </m:rPr>
                    <m:t>⊤</m:t>
                  </m:r>
                </m:sup>
              </m:sSup>
              <m:r>
                <m:t>μ</m:t>
              </m:r>
              <m:r>
                <m:rPr>
                  <m:sty m:val="p"/>
                </m:rPr>
                <m:t>−</m:t>
              </m:r>
              <m:sSub>
                <m:e>
                  <m:r>
                    <m:t>r</m:t>
                  </m:r>
                </m:e>
                <m:sub>
                  <m:r>
                    <m:t>f</m:t>
                  </m:r>
                </m:sub>
              </m:sSub>
            </m:num>
            <m:den>
              <m:rad>
                <m:radPr>
                  <m:degHide m:val="on"/>
                </m:radPr>
                <m:deg/>
                <m:e>
                  <m:sSup>
                    <m:e>
                      <m:r>
                        <m:t>w</m:t>
                      </m:r>
                    </m:e>
                    <m:sup>
                      <m:r>
                        <m:rPr>
                          <m:sty m:val="p"/>
                        </m:rPr>
                        <m:t>⊤</m:t>
                      </m:r>
                    </m:sup>
                  </m:sSup>
                  <m:r>
                    <m:t>Σ</m:t>
                  </m:r>
                  <m:r>
                    <m:t>w</m:t>
                  </m:r>
                </m:e>
              </m:rad>
            </m:den>
          </m:f>
        </m:oMath>
      </m:oMathPara>
    </w:p>
    <w:bookmarkEnd w:id="211"/>
    <w:bookmarkStart w:id="212" w:name="hrp-cluster-variance"/>
    <w:p>
      <w:pPr>
        <w:pStyle w:val="Heading3"/>
      </w:pPr>
      <w:r>
        <w:rPr>
          <w:rStyle w:val="SectionNumber"/>
        </w:rPr>
        <w:t xml:space="preserve">1.32.12</w:t>
      </w:r>
      <w:r>
        <w:tab/>
      </w:r>
      <w:r>
        <w:t xml:space="preserve">HRP Cluster Variance</w:t>
      </w:r>
    </w:p>
    <w:p>
      <w:pPr>
        <w:pStyle w:val="FirstParagraph"/>
      </w:pPr>
      <m:oMathPara>
        <m:oMathParaPr>
          <m:jc m:val="center"/>
        </m:oMathParaPr>
        <m:oMath>
          <m:sSubSup>
            <m:e>
              <m:r>
                <m:t>σ</m:t>
              </m:r>
            </m:e>
            <m:sub>
              <m:r>
                <m:t>C</m:t>
              </m:r>
            </m:sub>
            <m:sup>
              <m:r>
                <m:t>2</m:t>
              </m:r>
            </m:sup>
          </m:sSubSup>
          <m:r>
            <m:rPr>
              <m:sty m:val="p"/>
            </m:rPr>
            <m:t>=</m:t>
          </m:r>
          <m:sSubSup>
            <m:e>
              <m:r>
                <m:t>w</m:t>
              </m:r>
            </m:e>
            <m:sub>
              <m:r>
                <m:rPr>
                  <m:nor/>
                  <m:sty m:val="p"/>
                </m:rPr>
                <m:t>IVP</m:t>
              </m:r>
              <m:r>
                <m:rPr>
                  <m:sty m:val="p"/>
                </m:rPr>
                <m:t>,</m:t>
              </m:r>
              <m:r>
                <m:t>C</m:t>
              </m:r>
            </m:sub>
            <m:sup>
              <m:r>
                <m:rPr>
                  <m:sty m:val="p"/>
                </m:rPr>
                <m:t>⊤</m:t>
              </m:r>
            </m:sup>
          </m:sSubSup>
          <m:sSub>
            <m:e>
              <m:r>
                <m:t>Σ</m:t>
              </m:r>
            </m:e>
            <m:sub>
              <m:r>
                <m:t>C</m:t>
              </m:r>
            </m:sub>
          </m:sSub>
          <m:sSub>
            <m:e>
              <m:r>
                <m:t>w</m:t>
              </m:r>
            </m:e>
            <m:sub>
              <m:r>
                <m:rPr>
                  <m:nor/>
                  <m:sty m:val="p"/>
                </m:rPr>
                <m:t>IVP</m:t>
              </m:r>
              <m:r>
                <m:rPr>
                  <m:sty m:val="p"/>
                </m:rPr>
                <m:t>,</m:t>
              </m:r>
              <m:r>
                <m:t>C</m:t>
              </m:r>
            </m:sub>
          </m:sSub>
        </m:oMath>
      </m:oMathPara>
    </w:p>
    <w:bookmarkEnd w:id="212"/>
    <w:bookmarkStart w:id="213" w:name="hrp-allocation"/>
    <w:p>
      <w:pPr>
        <w:pStyle w:val="Heading3"/>
      </w:pPr>
      <w:r>
        <w:rPr>
          <w:rStyle w:val="SectionNumber"/>
        </w:rPr>
        <w:t xml:space="preserve">1.32.13</w:t>
      </w:r>
      <w:r>
        <w:tab/>
      </w:r>
      <w:r>
        <w:t xml:space="preserve">HRP Allocation</w:t>
      </w:r>
    </w:p>
    <w:p>
      <w:pPr>
        <w:pStyle w:val="FirstParagraph"/>
      </w:pPr>
      <m:oMathPara>
        <m:oMathParaPr>
          <m:jc m:val="center"/>
        </m:oMathParaPr>
        <m:oMath>
          <m:sSub>
            <m:e>
              <m:r>
                <m:rPr>
                  <m:nor/>
                  <m:sty m:val="p"/>
                </m:rPr>
                <m:t>allocation</m:t>
              </m:r>
            </m:e>
            <m:sub>
              <m:r>
                <m:t>L</m:t>
              </m:r>
            </m:sub>
          </m:sSub>
          <m:r>
            <m:rPr>
              <m:sty m:val="p"/>
            </m:rPr>
            <m:t>=</m:t>
          </m:r>
          <m:f>
            <m:fPr>
              <m:type m:val="bar"/>
            </m:fPr>
            <m:num>
              <m:sSubSup>
                <m:e>
                  <m:r>
                    <m:t>σ</m:t>
                  </m:r>
                </m:e>
                <m:sub>
                  <m:r>
                    <m:t>R</m:t>
                  </m:r>
                </m:sub>
                <m:sup>
                  <m:r>
                    <m:t>2</m:t>
                  </m:r>
                </m:sup>
              </m:sSubSup>
            </m:num>
            <m:den>
              <m:sSubSup>
                <m:e>
                  <m:r>
                    <m:t>σ</m:t>
                  </m:r>
                </m:e>
                <m:sub>
                  <m:r>
                    <m:t>L</m:t>
                  </m:r>
                </m:sub>
                <m:sup>
                  <m:r>
                    <m:t>2</m:t>
                  </m:r>
                </m:sup>
              </m:sSubSup>
              <m:r>
                <m:rPr>
                  <m:sty m:val="p"/>
                </m:rPr>
                <m:t>+</m:t>
              </m:r>
              <m:sSubSup>
                <m:e>
                  <m:r>
                    <m:t>σ</m:t>
                  </m:r>
                </m:e>
                <m:sub>
                  <m:r>
                    <m:t>R</m:t>
                  </m:r>
                </m:sub>
                <m:sup>
                  <m:r>
                    <m:t>2</m:t>
                  </m:r>
                </m:sup>
              </m:sSubSup>
            </m:den>
          </m:f>
        </m:oMath>
      </m:oMathPara>
    </w:p>
    <w:p>
      <w:pPr>
        <w:pStyle w:val="FirstParagraph"/>
      </w:pPr>
      <m:oMathPara>
        <m:oMathParaPr>
          <m:jc m:val="center"/>
        </m:oMathParaPr>
        <m:oMath>
          <m:sSub>
            <m:e>
              <m:r>
                <m:rPr>
                  <m:nor/>
                  <m:sty m:val="p"/>
                </m:rPr>
                <m:t>allocation</m:t>
              </m:r>
            </m:e>
            <m:sub>
              <m:r>
                <m:t>R</m:t>
              </m:r>
            </m:sub>
          </m:sSub>
          <m:r>
            <m:rPr>
              <m:sty m:val="p"/>
            </m:rPr>
            <m:t>=</m:t>
          </m:r>
          <m:f>
            <m:fPr>
              <m:type m:val="bar"/>
            </m:fPr>
            <m:num>
              <m:sSubSup>
                <m:e>
                  <m:r>
                    <m:t>σ</m:t>
                  </m:r>
                </m:e>
                <m:sub>
                  <m:r>
                    <m:t>L</m:t>
                  </m:r>
                </m:sub>
                <m:sup>
                  <m:r>
                    <m:t>2</m:t>
                  </m:r>
                </m:sup>
              </m:sSubSup>
            </m:num>
            <m:den>
              <m:sSubSup>
                <m:e>
                  <m:r>
                    <m:t>σ</m:t>
                  </m:r>
                </m:e>
                <m:sub>
                  <m:r>
                    <m:t>L</m:t>
                  </m:r>
                </m:sub>
                <m:sup>
                  <m:r>
                    <m:t>2</m:t>
                  </m:r>
                </m:sup>
              </m:sSubSup>
              <m:r>
                <m:rPr>
                  <m:sty m:val="p"/>
                </m:rPr>
                <m:t>+</m:t>
              </m:r>
              <m:sSubSup>
                <m:e>
                  <m:r>
                    <m:t>σ</m:t>
                  </m:r>
                </m:e>
                <m:sub>
                  <m:r>
                    <m:t>R</m:t>
                  </m:r>
                </m:sub>
                <m:sup>
                  <m:r>
                    <m:t>2</m:t>
                  </m:r>
                </m:sup>
              </m:sSubSup>
            </m:den>
          </m:f>
        </m:oMath>
      </m:oMathPara>
    </w:p>
    <w:bookmarkEnd w:id="213"/>
    <w:bookmarkStart w:id="214" w:name="herc-cluster-risk-1"/>
    <w:p>
      <w:pPr>
        <w:pStyle w:val="Heading3"/>
      </w:pPr>
      <w:r>
        <w:rPr>
          <w:rStyle w:val="SectionNumber"/>
        </w:rPr>
        <w:t xml:space="preserve">1.32.14</w:t>
      </w:r>
      <w:r>
        <w:tab/>
      </w:r>
      <w:r>
        <w:t xml:space="preserve">HERC Cluster Risk</w:t>
      </w:r>
    </w:p>
    <w:p>
      <w:pPr>
        <w:pStyle w:val="FirstParagraph"/>
      </w:pPr>
      <m:oMathPara>
        <m:oMathParaPr>
          <m:jc m:val="center"/>
        </m:oMathParaPr>
        <m:oMath>
          <m:sSub>
            <m:e>
              <m:r>
                <m:t>σ</m:t>
              </m:r>
            </m:e>
            <m:sub>
              <m:r>
                <m:t>C</m:t>
              </m:r>
            </m:sub>
          </m:sSub>
          <m:r>
            <m:rPr>
              <m:sty m:val="p"/>
            </m:rPr>
            <m:t>=</m:t>
          </m:r>
          <m:rad>
            <m:radPr>
              <m:degHide m:val="on"/>
            </m:radPr>
            <m:deg/>
            <m:e>
              <m:sSubSup>
                <m:e>
                  <m:r>
                    <m:t>w</m:t>
                  </m:r>
                </m:e>
                <m:sub>
                  <m:r>
                    <m:rPr>
                      <m:nor/>
                      <m:sty m:val="p"/>
                    </m:rPr>
                    <m:t>IV</m:t>
                  </m:r>
                  <m:r>
                    <m:rPr>
                      <m:sty m:val="p"/>
                    </m:rPr>
                    <m:t>,</m:t>
                  </m:r>
                  <m:r>
                    <m:t>C</m:t>
                  </m:r>
                </m:sub>
                <m:sup>
                  <m:r>
                    <m:rPr>
                      <m:sty m:val="p"/>
                    </m:rPr>
                    <m:t>⊤</m:t>
                  </m:r>
                </m:sup>
              </m:sSubSup>
              <m:sSub>
                <m:e>
                  <m:r>
                    <m:t>Σ</m:t>
                  </m:r>
                </m:e>
                <m:sub>
                  <m:r>
                    <m:t>C</m:t>
                  </m:r>
                </m:sub>
              </m:sSub>
              <m:sSub>
                <m:e>
                  <m:r>
                    <m:t>w</m:t>
                  </m:r>
                </m:e>
                <m:sub>
                  <m:r>
                    <m:rPr>
                      <m:nor/>
                      <m:sty m:val="p"/>
                    </m:rPr>
                    <m:t>IV</m:t>
                  </m:r>
                  <m:r>
                    <m:rPr>
                      <m:sty m:val="p"/>
                    </m:rPr>
                    <m:t>,</m:t>
                  </m:r>
                  <m:r>
                    <m:t>C</m:t>
                  </m:r>
                </m:sub>
              </m:sSub>
            </m:e>
          </m:rad>
        </m:oMath>
      </m:oMathPara>
    </w:p>
    <w:bookmarkEnd w:id="214"/>
    <w:bookmarkStart w:id="215" w:name="herc-allocation"/>
    <w:p>
      <w:pPr>
        <w:pStyle w:val="Heading3"/>
      </w:pPr>
      <w:r>
        <w:rPr>
          <w:rStyle w:val="SectionNumber"/>
        </w:rPr>
        <w:t xml:space="preserve">1.32.15</w:t>
      </w:r>
      <w:r>
        <w:tab/>
      </w:r>
      <w:r>
        <w:t xml:space="preserve">HERC Allocation</w:t>
      </w:r>
    </w:p>
    <w:p>
      <w:pPr>
        <w:pStyle w:val="FirstParagraph"/>
      </w:pPr>
      <m:oMathPara>
        <m:oMathParaPr>
          <m:jc m:val="center"/>
        </m:oMathParaPr>
        <m:oMath>
          <m:sSub>
            <m:e>
              <m:r>
                <m:t>w</m:t>
              </m:r>
            </m:e>
            <m:sub>
              <m:r>
                <m:t>L</m:t>
              </m:r>
            </m:sub>
          </m:sSub>
          <m:r>
            <m:rPr>
              <m:sty m:val="p"/>
            </m:rPr>
            <m:t>=</m:t>
          </m:r>
          <m:sSub>
            <m:e>
              <m:r>
                <m:t>w</m:t>
              </m:r>
            </m:e>
            <m:sub>
              <m:r>
                <m:rPr>
                  <m:nor/>
                  <m:sty m:val="p"/>
                </m:rPr>
                <m:t>parent</m:t>
              </m:r>
            </m:sub>
          </m:sSub>
          <m:f>
            <m:fPr>
              <m:type m:val="bar"/>
            </m:fPr>
            <m:num>
              <m:sSub>
                <m:e>
                  <m:r>
                    <m:t>σ</m:t>
                  </m:r>
                </m:e>
                <m:sub>
                  <m:r>
                    <m:t>R</m:t>
                  </m:r>
                </m:sub>
              </m:sSub>
            </m:num>
            <m:den>
              <m:sSub>
                <m:e>
                  <m:r>
                    <m:t>σ</m:t>
                  </m:r>
                </m:e>
                <m:sub>
                  <m:r>
                    <m:t>L</m:t>
                  </m:r>
                </m:sub>
              </m:sSub>
              <m:r>
                <m:rPr>
                  <m:sty m:val="p"/>
                </m:rPr>
                <m:t>+</m:t>
              </m:r>
              <m:sSub>
                <m:e>
                  <m:r>
                    <m:t>σ</m:t>
                  </m:r>
                </m:e>
                <m:sub>
                  <m:r>
                    <m:t>R</m:t>
                  </m:r>
                </m:sub>
              </m:sSub>
            </m:den>
          </m:f>
        </m:oMath>
      </m:oMathPara>
    </w:p>
    <w:p>
      <w:pPr>
        <w:pStyle w:val="FirstParagraph"/>
      </w:pPr>
      <m:oMathPara>
        <m:oMathParaPr>
          <m:jc m:val="center"/>
        </m:oMathParaPr>
        <m:oMath>
          <m:sSub>
            <m:e>
              <m:r>
                <m:t>w</m:t>
              </m:r>
            </m:e>
            <m:sub>
              <m:r>
                <m:t>R</m:t>
              </m:r>
            </m:sub>
          </m:sSub>
          <m:r>
            <m:rPr>
              <m:sty m:val="p"/>
            </m:rPr>
            <m:t>=</m:t>
          </m:r>
          <m:sSub>
            <m:e>
              <m:r>
                <m:t>w</m:t>
              </m:r>
            </m:e>
            <m:sub>
              <m:r>
                <m:rPr>
                  <m:nor/>
                  <m:sty m:val="p"/>
                </m:rPr>
                <m:t>parent</m:t>
              </m:r>
            </m:sub>
          </m:sSub>
          <m:f>
            <m:fPr>
              <m:type m:val="bar"/>
            </m:fPr>
            <m:num>
              <m:sSub>
                <m:e>
                  <m:r>
                    <m:t>σ</m:t>
                  </m:r>
                </m:e>
                <m:sub>
                  <m:r>
                    <m:t>L</m:t>
                  </m:r>
                </m:sub>
              </m:sSub>
            </m:num>
            <m:den>
              <m:sSub>
                <m:e>
                  <m:r>
                    <m:t>σ</m:t>
                  </m:r>
                </m:e>
                <m:sub>
                  <m:r>
                    <m:t>L</m:t>
                  </m:r>
                </m:sub>
              </m:sSub>
              <m:r>
                <m:rPr>
                  <m:sty m:val="p"/>
                </m:rPr>
                <m:t>+</m:t>
              </m:r>
              <m:sSub>
                <m:e>
                  <m:r>
                    <m:t>σ</m:t>
                  </m:r>
                </m:e>
                <m:sub>
                  <m:r>
                    <m:t>R</m:t>
                  </m:r>
                </m:sub>
              </m:sSub>
            </m:den>
          </m:f>
        </m:oMath>
      </m:oMathPara>
    </w:p>
    <w:bookmarkEnd w:id="215"/>
    <w:bookmarkStart w:id="216" w:name="cumulative-return-1"/>
    <w:p>
      <w:pPr>
        <w:pStyle w:val="Heading3"/>
      </w:pPr>
      <w:r>
        <w:rPr>
          <w:rStyle w:val="SectionNumber"/>
        </w:rPr>
        <w:t xml:space="preserve">1.32.16</w:t>
      </w:r>
      <w:r>
        <w:tab/>
      </w:r>
      <w:r>
        <w:t xml:space="preserve">Cumulative Return</w:t>
      </w:r>
    </w:p>
    <w:p>
      <w:pPr>
        <w:pStyle w:val="FirstParagraph"/>
      </w:pPr>
      <m:oMathPara>
        <m:oMathParaPr>
          <m:jc m:val="center"/>
        </m:oMathParaPr>
        <m:oMath>
          <m:r>
            <m:rPr>
              <m:nor/>
              <m:sty m:val="p"/>
            </m:rPr>
            <m:t>cumulative return</m:t>
          </m:r>
          <m:r>
            <m:rPr>
              <m:sty m:val="p"/>
            </m:rPr>
            <m:t>=</m:t>
          </m:r>
          <m:nary>
            <m:naryPr>
              <m:chr m:val="∏"/>
              <m:limLoc m:val="undOvr"/>
              <m:subHide m:val="off"/>
              <m:supHide m:val="on"/>
            </m:naryPr>
            <m:sub>
              <m:r>
                <m:t>t</m:t>
              </m:r>
            </m:sub>
            <m:sup>
              <m:r>
                <m:t>​</m:t>
              </m:r>
            </m:sup>
            <m:e>
              <m:d>
                <m:dPr>
                  <m:begChr m:val="("/>
                  <m:endChr m:val=")"/>
                  <m:sepChr m:val=""/>
                  <m:grow/>
                </m:dPr>
                <m:e>
                  <m:r>
                    <m:t>1</m:t>
                  </m:r>
                  <m:r>
                    <m:rPr>
                      <m:sty m:val="p"/>
                    </m:rPr>
                    <m:t>+</m:t>
                  </m:r>
                  <m:sSub>
                    <m:e>
                      <m:r>
                        <m:t>r</m:t>
                      </m:r>
                    </m:e>
                    <m:sub>
                      <m:r>
                        <m:t>t</m:t>
                      </m:r>
                    </m:sub>
                  </m:sSub>
                </m:e>
              </m:d>
            </m:e>
          </m:nary>
          <m:r>
            <m:rPr>
              <m:sty m:val="p"/>
            </m:rPr>
            <m:t>−</m:t>
          </m:r>
          <m:r>
            <m:t>1</m:t>
          </m:r>
        </m:oMath>
      </m:oMathPara>
    </w:p>
    <w:bookmarkEnd w:id="216"/>
    <w:bookmarkStart w:id="217" w:name="cagr-1"/>
    <w:p>
      <w:pPr>
        <w:pStyle w:val="Heading3"/>
      </w:pPr>
      <w:r>
        <w:rPr>
          <w:rStyle w:val="SectionNumber"/>
        </w:rPr>
        <w:t xml:space="preserve">1.32.17</w:t>
      </w:r>
      <w:r>
        <w:tab/>
      </w:r>
      <w:r>
        <w:t xml:space="preserve">CAGR</w:t>
      </w:r>
    </w:p>
    <w:p>
      <w:pPr>
        <w:pStyle w:val="FirstParagraph"/>
      </w:pPr>
      <m:oMathPara>
        <m:oMathParaPr>
          <m:jc m:val="center"/>
        </m:oMathParaPr>
        <m:oMath>
          <m:r>
            <m:rPr>
              <m:nor/>
              <m:sty m:val="p"/>
            </m:rPr>
            <m:t>CAGR</m:t>
          </m:r>
          <m:r>
            <m:rPr>
              <m:sty m:val="p"/>
            </m:rPr>
            <m:t>=</m:t>
          </m:r>
          <m:sSup>
            <m:e>
              <m:d>
                <m:dPr>
                  <m:begChr m:val="("/>
                  <m:endChr m:val=")"/>
                  <m:sepChr m:val=""/>
                  <m:grow/>
                </m:dPr>
                <m:e>
                  <m:nary>
                    <m:naryPr>
                      <m:chr m:val="∏"/>
                      <m:limLoc m:val="undOvr"/>
                      <m:subHide m:val="off"/>
                      <m:supHide m:val="off"/>
                    </m:naryPr>
                    <m:sub>
                      <m:r>
                        <m:t>t</m:t>
                      </m:r>
                      <m:r>
                        <m:rPr>
                          <m:sty m:val="p"/>
                        </m:rPr>
                        <m:t>=</m:t>
                      </m:r>
                      <m:r>
                        <m:t>1</m:t>
                      </m:r>
                    </m:sub>
                    <m:sup>
                      <m:r>
                        <m:t>n</m:t>
                      </m:r>
                    </m:sup>
                    <m:e>
                      <m:d>
                        <m:dPr>
                          <m:begChr m:val="("/>
                          <m:endChr m:val=")"/>
                          <m:sepChr m:val=""/>
                          <m:grow/>
                        </m:dPr>
                        <m:e>
                          <m:r>
                            <m:t>1</m:t>
                          </m:r>
                          <m:r>
                            <m:rPr>
                              <m:sty m:val="p"/>
                            </m:rPr>
                            <m:t>+</m:t>
                          </m:r>
                          <m:sSub>
                            <m:e>
                              <m:r>
                                <m:t>r</m:t>
                              </m:r>
                            </m:e>
                            <m:sub>
                              <m:r>
                                <m:t>t</m:t>
                              </m:r>
                            </m:sub>
                          </m:sSub>
                        </m:e>
                      </m:d>
                    </m:e>
                  </m:nary>
                </m:e>
              </m:d>
            </m:e>
            <m:sup>
              <m:r>
                <m:t>252</m:t>
              </m:r>
              <m:r>
                <m:rPr>
                  <m:sty m:val="p"/>
                </m:rPr>
                <m:t>/</m:t>
              </m:r>
              <m:r>
                <m:t>n</m:t>
              </m:r>
            </m:sup>
          </m:sSup>
          <m:r>
            <m:rPr>
              <m:sty m:val="p"/>
            </m:rPr>
            <m:t>−</m:t>
          </m:r>
          <m:r>
            <m:t>1</m:t>
          </m:r>
        </m:oMath>
      </m:oMathPara>
    </w:p>
    <w:bookmarkEnd w:id="217"/>
    <w:bookmarkStart w:id="218" w:name="sharpe-ratio-2"/>
    <w:p>
      <w:pPr>
        <w:pStyle w:val="Heading3"/>
      </w:pPr>
      <w:r>
        <w:rPr>
          <w:rStyle w:val="SectionNumber"/>
        </w:rPr>
        <w:t xml:space="preserve">1.32.18</w:t>
      </w:r>
      <w:r>
        <w:tab/>
      </w:r>
      <w:r>
        <w:t xml:space="preserve">Sharpe Ratio</w:t>
      </w:r>
    </w:p>
    <w:p>
      <w:pPr>
        <w:pStyle w:val="FirstParagraph"/>
      </w:pPr>
      <m:oMathPara>
        <m:oMathParaPr>
          <m:jc m:val="center"/>
        </m:oMathParaPr>
        <m:oMath>
          <m:r>
            <m:rPr>
              <m:nor/>
              <m:sty m:val="p"/>
            </m:rPr>
            <m:t>Sharpe</m:t>
          </m:r>
          <m:r>
            <m:rPr>
              <m:sty m:val="p"/>
            </m:rPr>
            <m:t>=</m:t>
          </m:r>
          <m:f>
            <m:fPr>
              <m:type m:val="bar"/>
            </m:fPr>
            <m:num>
              <m:r>
                <m:rPr>
                  <m:sty m:val="p"/>
                </m:rPr>
                <m:t>mean</m:t>
              </m:r>
              <m:d>
                <m:dPr>
                  <m:begChr m:val="("/>
                  <m:endChr m:val=")"/>
                  <m:sepChr m:val=""/>
                  <m:grow/>
                </m:dPr>
                <m:e>
                  <m:sSub>
                    <m:e>
                      <m:r>
                        <m:t>r</m:t>
                      </m:r>
                    </m:e>
                    <m:sub>
                      <m:r>
                        <m:t>t</m:t>
                      </m:r>
                    </m:sub>
                  </m:sSub>
                  <m:r>
                    <m:rPr>
                      <m:sty m:val="p"/>
                    </m:rPr>
                    <m:t>−</m:t>
                  </m:r>
                  <m:sSub>
                    <m:e>
                      <m:r>
                        <m:t>r</m:t>
                      </m:r>
                    </m:e>
                    <m:sub>
                      <m:r>
                        <m:t>f</m:t>
                      </m:r>
                    </m:sub>
                  </m:sSub>
                  <m:r>
                    <m:rPr>
                      <m:sty m:val="p"/>
                    </m:rPr>
                    <m:t>/</m:t>
                  </m:r>
                  <m:r>
                    <m:t>252</m:t>
                  </m:r>
                </m:e>
              </m:d>
            </m:num>
            <m:den>
              <m:r>
                <m:rPr>
                  <m:sty m:val="p"/>
                </m:rPr>
                <m:t>std</m:t>
              </m:r>
              <m:d>
                <m:dPr>
                  <m:begChr m:val="("/>
                  <m:endChr m:val=")"/>
                  <m:sepChr m:val=""/>
                  <m:grow/>
                </m:dPr>
                <m:e>
                  <m:sSub>
                    <m:e>
                      <m:r>
                        <m:t>r</m:t>
                      </m:r>
                    </m:e>
                    <m:sub>
                      <m:r>
                        <m:t>t</m:t>
                      </m:r>
                    </m:sub>
                  </m:sSub>
                  <m:r>
                    <m:rPr>
                      <m:sty m:val="p"/>
                    </m:rPr>
                    <m:t>−</m:t>
                  </m:r>
                  <m:sSub>
                    <m:e>
                      <m:r>
                        <m:t>r</m:t>
                      </m:r>
                    </m:e>
                    <m:sub>
                      <m:r>
                        <m:t>f</m:t>
                      </m:r>
                    </m:sub>
                  </m:sSub>
                  <m:r>
                    <m:rPr>
                      <m:sty m:val="p"/>
                    </m:rPr>
                    <m:t>/</m:t>
                  </m:r>
                  <m:r>
                    <m:t>252</m:t>
                  </m:r>
                </m:e>
              </m:d>
            </m:den>
          </m:f>
          <m:r>
            <m:rPr>
              <m:sty m:val="p"/>
            </m:rPr>
            <m:t>×</m:t>
          </m:r>
          <m:rad>
            <m:radPr>
              <m:degHide m:val="on"/>
            </m:radPr>
            <m:deg/>
            <m:e>
              <m:r>
                <m:t>252</m:t>
              </m:r>
            </m:e>
          </m:rad>
        </m:oMath>
      </m:oMathPara>
    </w:p>
    <w:bookmarkEnd w:id="218"/>
    <w:bookmarkStart w:id="219" w:name="sortino-ratio-1"/>
    <w:p>
      <w:pPr>
        <w:pStyle w:val="Heading3"/>
      </w:pPr>
      <w:r>
        <w:rPr>
          <w:rStyle w:val="SectionNumber"/>
        </w:rPr>
        <w:t xml:space="preserve">1.32.19</w:t>
      </w:r>
      <w:r>
        <w:tab/>
      </w:r>
      <w:r>
        <w:t xml:space="preserve">Sortino Ratio</w:t>
      </w:r>
    </w:p>
    <w:p>
      <w:pPr>
        <w:pStyle w:val="FirstParagraph"/>
      </w:pPr>
      <m:oMathPara>
        <m:oMathParaPr>
          <m:jc m:val="center"/>
        </m:oMathParaPr>
        <m:oMath>
          <m:r>
            <m:rPr>
              <m:nor/>
              <m:sty m:val="p"/>
            </m:rPr>
            <m:t>Sortino</m:t>
          </m:r>
          <m:r>
            <m:rPr>
              <m:sty m:val="p"/>
            </m:rPr>
            <m:t>=</m:t>
          </m:r>
          <m:f>
            <m:fPr>
              <m:type m:val="bar"/>
            </m:fPr>
            <m:num>
              <m:r>
                <m:rPr>
                  <m:sty m:val="p"/>
                </m:rPr>
                <m:t>mean</m:t>
              </m:r>
              <m:d>
                <m:dPr>
                  <m:begChr m:val="("/>
                  <m:endChr m:val=")"/>
                  <m:sepChr m:val=""/>
                  <m:grow/>
                </m:dPr>
                <m:e>
                  <m:sSub>
                    <m:e>
                      <m:r>
                        <m:t>r</m:t>
                      </m:r>
                    </m:e>
                    <m:sub>
                      <m:r>
                        <m:t>t</m:t>
                      </m:r>
                    </m:sub>
                  </m:sSub>
                  <m:r>
                    <m:rPr>
                      <m:sty m:val="p"/>
                    </m:rPr>
                    <m:t>−</m:t>
                  </m:r>
                  <m:r>
                    <m:rPr>
                      <m:nor/>
                      <m:sty m:val="p"/>
                    </m:rPr>
                    <m:t>target</m:t>
                  </m:r>
                  <m:r>
                    <m:rPr>
                      <m:sty m:val="p"/>
                    </m:rPr>
                    <m:t>/</m:t>
                  </m:r>
                  <m:r>
                    <m:t>252</m:t>
                  </m:r>
                </m:e>
              </m:d>
            </m:num>
            <m:den>
              <m:r>
                <m:rPr>
                  <m:nor/>
                  <m:sty m:val="p"/>
                </m:rPr>
                <m:t>downside deviation</m:t>
              </m:r>
            </m:den>
          </m:f>
          <m:r>
            <m:rPr>
              <m:sty m:val="p"/>
            </m:rPr>
            <m:t>×</m:t>
          </m:r>
          <m:rad>
            <m:radPr>
              <m:degHide m:val="on"/>
            </m:radPr>
            <m:deg/>
            <m:e>
              <m:r>
                <m:t>252</m:t>
              </m:r>
            </m:e>
          </m:rad>
        </m:oMath>
      </m:oMathPara>
    </w:p>
    <w:bookmarkEnd w:id="219"/>
    <w:bookmarkStart w:id="220" w:name="drawdown-1"/>
    <w:p>
      <w:pPr>
        <w:pStyle w:val="Heading3"/>
      </w:pPr>
      <w:r>
        <w:rPr>
          <w:rStyle w:val="SectionNumber"/>
        </w:rPr>
        <w:t xml:space="preserve">1.32.20</w:t>
      </w:r>
      <w:r>
        <w:tab/>
      </w:r>
      <w:r>
        <w:t xml:space="preserve">Drawdown</w:t>
      </w:r>
    </w:p>
    <w:p>
      <w:pPr>
        <w:pStyle w:val="FirstParagraph"/>
      </w:pPr>
      <m:oMathPara>
        <m:oMathParaPr>
          <m:jc m:val="center"/>
        </m:oMathParaPr>
        <m:oMath>
          <m:sSub>
            <m:e>
              <m:r>
                <m:rPr>
                  <m:nor/>
                  <m:sty m:val="p"/>
                </m:rPr>
                <m:t>drawdown</m:t>
              </m:r>
            </m:e>
            <m:sub>
              <m:r>
                <m:t>t</m:t>
              </m:r>
            </m:sub>
          </m:sSub>
          <m:r>
            <m:rPr>
              <m:sty m:val="p"/>
            </m:rPr>
            <m:t>=</m:t>
          </m:r>
          <m:f>
            <m:fPr>
              <m:type m:val="bar"/>
            </m:fPr>
            <m:num>
              <m:sSub>
                <m:e>
                  <m:r>
                    <m:t>V</m:t>
                  </m:r>
                </m:e>
                <m:sub>
                  <m:r>
                    <m:t>t</m:t>
                  </m:r>
                </m:sub>
              </m:sSub>
            </m:num>
            <m:den>
              <m:limLow>
                <m:e>
                  <m:r>
                    <m:rPr>
                      <m:sty m:val="p"/>
                    </m:rPr>
                    <m:t>max</m:t>
                  </m:r>
                </m:e>
                <m:lim>
                  <m:r>
                    <m:t>s</m:t>
                  </m:r>
                  <m:r>
                    <m:rPr>
                      <m:sty m:val="p"/>
                    </m:rPr>
                    <m:t>≤</m:t>
                  </m:r>
                  <m:r>
                    <m:t>t</m:t>
                  </m:r>
                </m:lim>
              </m:limLow>
              <m:sSub>
                <m:e>
                  <m:r>
                    <m:t>V</m:t>
                  </m:r>
                </m:e>
                <m:sub>
                  <m:r>
                    <m:t>s</m:t>
                  </m:r>
                </m:sub>
              </m:sSub>
            </m:den>
          </m:f>
          <m:r>
            <m:rPr>
              <m:sty m:val="p"/>
            </m:rPr>
            <m:t>−</m:t>
          </m:r>
          <m:r>
            <m:t>1</m:t>
          </m:r>
        </m:oMath>
      </m:oMathPara>
    </w:p>
    <w:bookmarkEnd w:id="220"/>
    <w:bookmarkStart w:id="221" w:name="maximum-drawdown"/>
    <w:p>
      <w:pPr>
        <w:pStyle w:val="Heading3"/>
      </w:pPr>
      <w:r>
        <w:rPr>
          <w:rStyle w:val="SectionNumber"/>
        </w:rPr>
        <w:t xml:space="preserve">1.32.21</w:t>
      </w:r>
      <w:r>
        <w:tab/>
      </w:r>
      <w:r>
        <w:t xml:space="preserve">Maximum Drawdown</w:t>
      </w:r>
    </w:p>
    <w:p>
      <w:pPr>
        <w:pStyle w:val="FirstParagraph"/>
      </w:pPr>
      <m:oMathPara>
        <m:oMathParaPr>
          <m:jc m:val="center"/>
        </m:oMathParaPr>
        <m:oMath>
          <m:r>
            <m:rPr>
              <m:nor/>
              <m:sty m:val="p"/>
            </m:rPr>
            <m:t>max drawdown</m:t>
          </m:r>
          <m:r>
            <m:rPr>
              <m:sty m:val="p"/>
            </m:rPr>
            <m:t>=</m:t>
          </m:r>
          <m:limLow>
            <m:e>
              <m:r>
                <m:rPr>
                  <m:sty m:val="p"/>
                </m:rPr>
                <m:t>min</m:t>
              </m:r>
            </m:e>
            <m:lim>
              <m:r>
                <m:t>t</m:t>
              </m:r>
            </m:lim>
          </m:limLow>
          <m:d>
            <m:dPr>
              <m:begChr m:val="("/>
              <m:endChr m:val=")"/>
              <m:sepChr m:val=""/>
              <m:grow/>
            </m:dPr>
            <m:e>
              <m:sSub>
                <m:e>
                  <m:r>
                    <m:rPr>
                      <m:nor/>
                      <m:sty m:val="p"/>
                    </m:rPr>
                    <m:t>drawdown</m:t>
                  </m:r>
                </m:e>
                <m:sub>
                  <m:r>
                    <m:t>t</m:t>
                  </m:r>
                </m:sub>
              </m:sSub>
            </m:e>
          </m:d>
        </m:oMath>
      </m:oMathPara>
    </w:p>
    <w:bookmarkEnd w:id="221"/>
    <w:bookmarkStart w:id="222" w:name="calmar-ratio-1"/>
    <w:p>
      <w:pPr>
        <w:pStyle w:val="Heading3"/>
      </w:pPr>
      <w:r>
        <w:rPr>
          <w:rStyle w:val="SectionNumber"/>
        </w:rPr>
        <w:t xml:space="preserve">1.32.22</w:t>
      </w:r>
      <w:r>
        <w:tab/>
      </w:r>
      <w:r>
        <w:t xml:space="preserve">Calmar Ratio</w:t>
      </w:r>
    </w:p>
    <w:p>
      <w:pPr>
        <w:pStyle w:val="FirstParagraph"/>
      </w:pPr>
      <m:oMathPara>
        <m:oMathParaPr>
          <m:jc m:val="center"/>
        </m:oMathParaPr>
        <m:oMath>
          <m:r>
            <m:rPr>
              <m:nor/>
              <m:sty m:val="p"/>
            </m:rPr>
            <m:t>Calmar</m:t>
          </m:r>
          <m:r>
            <m:rPr>
              <m:sty m:val="p"/>
            </m:rPr>
            <m:t>=</m:t>
          </m:r>
          <m:f>
            <m:fPr>
              <m:type m:val="bar"/>
            </m:fPr>
            <m:num>
              <m:r>
                <m:rPr>
                  <m:nor/>
                  <m:sty m:val="p"/>
                </m:rPr>
                <m:t>CAGR</m:t>
              </m:r>
            </m:num>
            <m:den>
              <m:d>
                <m:dPr>
                  <m:begChr m:val="|"/>
                  <m:endChr m:val="|"/>
                  <m:sepChr m:val=""/>
                  <m:grow/>
                </m:dPr>
                <m:e>
                  <m:r>
                    <m:rPr>
                      <m:nor/>
                      <m:sty m:val="p"/>
                    </m:rPr>
                    <m:t>Max Drawdown</m:t>
                  </m:r>
                </m:e>
              </m:d>
            </m:den>
          </m:f>
        </m:oMath>
      </m:oMathPara>
    </w:p>
    <w:bookmarkEnd w:id="222"/>
    <w:bookmarkStart w:id="223" w:name="var"/>
    <w:p>
      <w:pPr>
        <w:pStyle w:val="Heading3"/>
      </w:pPr>
      <w:r>
        <w:rPr>
          <w:rStyle w:val="SectionNumber"/>
        </w:rPr>
        <w:t xml:space="preserve">1.32.23</w:t>
      </w:r>
      <w:r>
        <w:tab/>
      </w:r>
      <w:r>
        <w:t xml:space="preserve">VaR</w:t>
      </w:r>
    </w:p>
    <w:p>
      <w:pPr>
        <w:pStyle w:val="FirstParagraph"/>
      </w:pPr>
      <m:oMathPara>
        <m:oMathParaPr>
          <m:jc m:val="center"/>
        </m:oMathParaPr>
        <m:oMath>
          <m:sSub>
            <m:e>
              <m:r>
                <m:rPr>
                  <m:nor/>
                  <m:sty m:val="p"/>
                </m:rPr>
                <m:t>VaR</m:t>
              </m:r>
            </m:e>
            <m:sub>
              <m:r>
                <m:t>95</m:t>
              </m:r>
            </m:sub>
          </m:sSub>
          <m:r>
            <m:rPr>
              <m:sty m:val="p"/>
            </m:rPr>
            <m:t>=</m:t>
          </m:r>
          <m:r>
            <m:rPr>
              <m:nor/>
              <m:sty m:val="p"/>
            </m:rPr>
            <m:t>5th percentile of returns</m:t>
          </m:r>
        </m:oMath>
      </m:oMathPara>
    </w:p>
    <w:bookmarkEnd w:id="223"/>
    <w:bookmarkStart w:id="224" w:name="cvar"/>
    <w:p>
      <w:pPr>
        <w:pStyle w:val="Heading3"/>
      </w:pPr>
      <w:r>
        <w:rPr>
          <w:rStyle w:val="SectionNumber"/>
        </w:rPr>
        <w:t xml:space="preserve">1.32.24</w:t>
      </w:r>
      <w:r>
        <w:tab/>
      </w:r>
      <w:r>
        <w:t xml:space="preserve">CVaR</w:t>
      </w:r>
    </w:p>
    <w:p>
      <w:pPr>
        <w:pStyle w:val="FirstParagraph"/>
      </w:pPr>
      <m:oMathPara>
        <m:oMathParaPr>
          <m:jc m:val="center"/>
        </m:oMathParaPr>
        <m:oMath>
          <m:sSub>
            <m:e>
              <m:r>
                <m:rPr>
                  <m:nor/>
                  <m:sty m:val="p"/>
                </m:rPr>
                <m:t>CVaR</m:t>
              </m:r>
            </m:e>
            <m:sub>
              <m:r>
                <m:t>95</m:t>
              </m:r>
            </m:sub>
          </m:sSub>
          <m:r>
            <m:rPr>
              <m:sty m:val="p"/>
            </m:rPr>
            <m:t>=</m:t>
          </m:r>
          <m:r>
            <m:rPr>
              <m:sty m:val="p"/>
            </m:rPr>
            <m:t>mean</m:t>
          </m:r>
          <m:d>
            <m:dPr>
              <m:begChr m:val="("/>
              <m:endChr m:val=")"/>
              <m:sepChr m:val=""/>
              <m:grow/>
            </m:dPr>
            <m:e>
              <m:sSub>
                <m:e>
                  <m:r>
                    <m:t>r</m:t>
                  </m:r>
                </m:e>
                <m:sub>
                  <m:r>
                    <m:t>t</m:t>
                  </m:r>
                </m:sub>
              </m:sSub>
              <m:r>
                <m:rPr>
                  <m:sty m:val="p"/>
                </m:rPr>
                <m:t>∣</m:t>
              </m:r>
              <m:sSub>
                <m:e>
                  <m:r>
                    <m:t>r</m:t>
                  </m:r>
                </m:e>
                <m:sub>
                  <m:r>
                    <m:t>t</m:t>
                  </m:r>
                </m:sub>
              </m:sSub>
              <m:r>
                <m:rPr>
                  <m:sty m:val="p"/>
                </m:rPr>
                <m:t>≤</m:t>
              </m:r>
              <m:sSub>
                <m:e>
                  <m:r>
                    <m:rPr>
                      <m:nor/>
                      <m:sty m:val="p"/>
                    </m:rPr>
                    <m:t>VaR</m:t>
                  </m:r>
                </m:e>
                <m:sub>
                  <m:r>
                    <m:t>95</m:t>
                  </m:r>
                </m:sub>
              </m:sSub>
            </m:e>
          </m:d>
        </m:oMath>
      </m:oMathPara>
    </w:p>
    <w:bookmarkEnd w:id="224"/>
    <w:bookmarkStart w:id="225" w:name="turnover-1"/>
    <w:p>
      <w:pPr>
        <w:pStyle w:val="Heading3"/>
      </w:pPr>
      <w:r>
        <w:rPr>
          <w:rStyle w:val="SectionNumber"/>
        </w:rPr>
        <w:t xml:space="preserve">1.32.25</w:t>
      </w:r>
      <w:r>
        <w:tab/>
      </w:r>
      <w:r>
        <w:t xml:space="preserve">Turnover</w:t>
      </w:r>
    </w:p>
    <w:p>
      <w:pPr>
        <w:pStyle w:val="FirstParagraph"/>
      </w:pPr>
      <m:oMathPara>
        <m:oMathParaPr>
          <m:jc m:val="center"/>
        </m:oMathParaPr>
        <m:oMath>
          <m:r>
            <m:rPr>
              <m:nor/>
              <m:sty m:val="p"/>
            </m:rPr>
            <m:t>turnover</m:t>
          </m:r>
          <m:r>
            <m:rPr>
              <m:sty m:val="p"/>
            </m:rPr>
            <m:t>=</m:t>
          </m:r>
          <m:f>
            <m:fPr>
              <m:type m:val="bar"/>
            </m:fPr>
            <m:num>
              <m:r>
                <m:t>1</m:t>
              </m:r>
            </m:num>
            <m:den>
              <m:r>
                <m:t>2</m:t>
              </m:r>
            </m:den>
          </m:f>
          <m:nary>
            <m:naryPr>
              <m:chr m:val="∑"/>
              <m:limLoc m:val="undOvr"/>
              <m:subHide m:val="off"/>
              <m:supHide m:val="on"/>
            </m:naryPr>
            <m:sub>
              <m:r>
                <m:t>i</m:t>
              </m:r>
            </m:sub>
            <m:sup>
              <m:r>
                <m:t>​</m:t>
              </m:r>
            </m:sup>
            <m:e>
              <m:d>
                <m:dPr>
                  <m:begChr m:val="|"/>
                  <m:endChr m:val="|"/>
                  <m:sepChr m:val=""/>
                  <m:grow/>
                </m:dPr>
                <m:e>
                  <m:sSub>
                    <m:e>
                      <m:r>
                        <m:t>w</m:t>
                      </m:r>
                    </m:e>
                    <m:sub>
                      <m:r>
                        <m:t>i</m:t>
                      </m:r>
                      <m:r>
                        <m:rPr>
                          <m:sty m:val="p"/>
                        </m:rPr>
                        <m:t>,</m:t>
                      </m:r>
                      <m:r>
                        <m:rPr>
                          <m:nor/>
                          <m:sty m:val="p"/>
                        </m:rPr>
                        <m:t>target</m:t>
                      </m:r>
                    </m:sub>
                  </m:sSub>
                  <m:r>
                    <m:rPr>
                      <m:sty m:val="p"/>
                    </m:rPr>
                    <m:t>−</m:t>
                  </m:r>
                  <m:sSub>
                    <m:e>
                      <m:r>
                        <m:t>w</m:t>
                      </m:r>
                    </m:e>
                    <m:sub>
                      <m:r>
                        <m:t>i</m:t>
                      </m:r>
                      <m:r>
                        <m:rPr>
                          <m:sty m:val="p"/>
                        </m:rPr>
                        <m:t>,</m:t>
                      </m:r>
                      <m:r>
                        <m:rPr>
                          <m:nor/>
                          <m:sty m:val="p"/>
                        </m:rPr>
                        <m:t>current</m:t>
                      </m:r>
                    </m:sub>
                  </m:sSub>
                </m:e>
              </m:d>
            </m:e>
          </m:nary>
        </m:oMath>
      </m:oMathPara>
    </w:p>
    <w:bookmarkEnd w:id="225"/>
    <w:bookmarkStart w:id="226" w:name="transaction-cost-1"/>
    <w:p>
      <w:pPr>
        <w:pStyle w:val="Heading3"/>
      </w:pPr>
      <w:r>
        <w:rPr>
          <w:rStyle w:val="SectionNumber"/>
        </w:rPr>
        <w:t xml:space="preserve">1.32.26</w:t>
      </w:r>
      <w:r>
        <w:tab/>
      </w:r>
      <w:r>
        <w:t xml:space="preserve">Transaction Cost</w:t>
      </w:r>
    </w:p>
    <w:p>
      <w:pPr>
        <w:pStyle w:val="FirstParagraph"/>
      </w:pPr>
      <m:oMathPara>
        <m:oMathParaPr>
          <m:jc m:val="center"/>
        </m:oMathParaPr>
        <m:oMath>
          <m:r>
            <m:rPr>
              <m:nor/>
              <m:sty m:val="p"/>
            </m:rPr>
            <m:t>cost rate</m:t>
          </m:r>
          <m:r>
            <m:rPr>
              <m:sty m:val="p"/>
            </m:rPr>
            <m:t>=</m:t>
          </m:r>
          <m:f>
            <m:fPr>
              <m:type m:val="bar"/>
            </m:fPr>
            <m:num>
              <m:r>
                <m:rPr>
                  <m:nor/>
                  <m:sty m:val="p"/>
                </m:rPr>
                <m:t>base bps</m:t>
              </m:r>
              <m:r>
                <m:rPr>
                  <m:sty m:val="p"/>
                </m:rPr>
                <m:t>+</m:t>
              </m:r>
              <m:r>
                <m:rPr>
                  <m:nor/>
                  <m:sty m:val="p"/>
                </m:rPr>
                <m:t>slippage bps</m:t>
              </m:r>
            </m:num>
            <m:den>
              <m:r>
                <m:t>10000</m:t>
              </m:r>
            </m:den>
          </m:f>
        </m:oMath>
      </m:oMathPara>
    </w:p>
    <w:p>
      <w:pPr>
        <w:pStyle w:val="FirstParagraph"/>
      </w:pPr>
      <m:oMathPara>
        <m:oMathParaPr>
          <m:jc m:val="center"/>
        </m:oMathParaPr>
        <m:oMath>
          <m:r>
            <m:rPr>
              <m:nor/>
              <m:sty m:val="p"/>
            </m:rPr>
            <m:t>transaction cost</m:t>
          </m:r>
          <m:r>
            <m:rPr>
              <m:sty m:val="p"/>
            </m:rPr>
            <m:t>=</m:t>
          </m:r>
          <m:r>
            <m:rPr>
              <m:nor/>
              <m:sty m:val="p"/>
            </m:rPr>
            <m:t>turnover</m:t>
          </m:r>
          <m:r>
            <m:rPr>
              <m:sty m:val="p"/>
            </m:rPr>
            <m:t>×</m:t>
          </m:r>
          <m:r>
            <m:rPr>
              <m:nor/>
              <m:sty m:val="p"/>
            </m:rPr>
            <m:t>portfolio value</m:t>
          </m:r>
          <m:r>
            <m:rPr>
              <m:sty m:val="p"/>
            </m:rPr>
            <m:t>×</m:t>
          </m:r>
          <m:r>
            <m:rPr>
              <m:nor/>
              <m:sty m:val="p"/>
            </m:rPr>
            <m:t>cost rate</m:t>
          </m:r>
        </m:oMath>
      </m:oMathPara>
    </w:p>
    <w:bookmarkEnd w:id="226"/>
    <w:bookmarkStart w:id="227" w:name="weight-drift"/>
    <w:p>
      <w:pPr>
        <w:pStyle w:val="Heading3"/>
      </w:pPr>
      <w:r>
        <w:rPr>
          <w:rStyle w:val="SectionNumber"/>
        </w:rPr>
        <w:t xml:space="preserve">1.32.27</w:t>
      </w:r>
      <w:r>
        <w:tab/>
      </w:r>
      <w:r>
        <w:t xml:space="preserve">Weight Drift</w:t>
      </w:r>
    </w:p>
    <w:p>
      <w:pPr>
        <w:pStyle w:val="FirstParagraph"/>
      </w:pPr>
      <m:oMathPara>
        <m:oMathParaPr>
          <m:jc m:val="center"/>
        </m:oMathParaPr>
        <m:oMath>
          <m:sSub>
            <m:e>
              <m:r>
                <m:t>w</m:t>
              </m:r>
            </m:e>
            <m:sub>
              <m:r>
                <m:t>i</m:t>
              </m:r>
              <m:r>
                <m:rPr>
                  <m:sty m:val="p"/>
                </m:rPr>
                <m:t>,</m:t>
              </m:r>
              <m:r>
                <m:rPr>
                  <m:nor/>
                  <m:sty m:val="p"/>
                </m:rPr>
                <m:t>new</m:t>
              </m:r>
            </m:sub>
          </m:sSub>
          <m:r>
            <m:rPr>
              <m:sty m:val="p"/>
            </m:rPr>
            <m:t>=</m:t>
          </m:r>
          <m:f>
            <m:fPr>
              <m:type m:val="bar"/>
            </m:fPr>
            <m:num>
              <m:sSub>
                <m:e>
                  <m:r>
                    <m:t>w</m:t>
                  </m:r>
                </m:e>
                <m:sub>
                  <m:r>
                    <m:t>i</m:t>
                  </m:r>
                  <m:r>
                    <m:rPr>
                      <m:sty m:val="p"/>
                    </m:rPr>
                    <m:t>,</m:t>
                  </m:r>
                  <m:r>
                    <m:rPr>
                      <m:nor/>
                      <m:sty m:val="p"/>
                    </m:rPr>
                    <m:t>old</m:t>
                  </m:r>
                </m:sub>
              </m:sSub>
              <m:d>
                <m:dPr>
                  <m:begChr m:val="("/>
                  <m:endChr m:val=")"/>
                  <m:sepChr m:val=""/>
                  <m:grow/>
                </m:dPr>
                <m:e>
                  <m:r>
                    <m:t>1</m:t>
                  </m:r>
                  <m:r>
                    <m:rPr>
                      <m:sty m:val="p"/>
                    </m:rPr>
                    <m:t>+</m:t>
                  </m:r>
                  <m:sSub>
                    <m:e>
                      <m:r>
                        <m:t>r</m:t>
                      </m:r>
                    </m:e>
                    <m:sub>
                      <m:r>
                        <m:t>i</m:t>
                      </m:r>
                    </m:sub>
                  </m:sSub>
                </m:e>
              </m:d>
            </m:num>
            <m:den>
              <m:r>
                <m:t>1</m:t>
              </m:r>
              <m:r>
                <m:rPr>
                  <m:sty m:val="p"/>
                </m:rPr>
                <m:t>+</m:t>
              </m:r>
              <m:sSub>
                <m:e>
                  <m:r>
                    <m:t>r</m:t>
                  </m:r>
                </m:e>
                <m:sub>
                  <m:r>
                    <m:t>p</m:t>
                  </m:r>
                </m:sub>
              </m:sSub>
            </m:den>
          </m:f>
        </m:oMath>
      </m:oMathPara>
    </w:p>
    <w:bookmarkEnd w:id="227"/>
    <w:bookmarkStart w:id="228" w:name="threshold-rebalance-rule"/>
    <w:p>
      <w:pPr>
        <w:pStyle w:val="Heading3"/>
      </w:pPr>
      <w:r>
        <w:rPr>
          <w:rStyle w:val="SectionNumber"/>
        </w:rPr>
        <w:t xml:space="preserve">1.32.28</w:t>
      </w:r>
      <w:r>
        <w:tab/>
      </w:r>
      <w:r>
        <w:t xml:space="preserve">Threshold Rebalance Rule</w:t>
      </w:r>
    </w:p>
    <w:p>
      <w:pPr>
        <w:pStyle w:val="FirstParagraph"/>
      </w:pPr>
      <m:oMathPara>
        <m:oMathParaPr>
          <m:jc m:val="center"/>
        </m:oMathParaPr>
        <m:oMath>
          <m:limLow>
            <m:e>
              <m:r>
                <m:rPr>
                  <m:sty m:val="p"/>
                </m:rPr>
                <m:t>max</m:t>
              </m:r>
            </m:e>
            <m:lim>
              <m:r>
                <m:t>i</m:t>
              </m:r>
            </m:lim>
          </m:limLow>
          <m:d>
            <m:dPr>
              <m:begChr m:val="|"/>
              <m:endChr m:val="|"/>
              <m:sepChr m:val=""/>
              <m:grow/>
            </m:dPr>
            <m:e>
              <m:sSub>
                <m:e>
                  <m:r>
                    <m:t>w</m:t>
                  </m:r>
                </m:e>
                <m:sub>
                  <m:r>
                    <m:t>i</m:t>
                  </m:r>
                  <m:r>
                    <m:rPr>
                      <m:sty m:val="p"/>
                    </m:rPr>
                    <m:t>,</m:t>
                  </m:r>
                  <m:r>
                    <m:rPr>
                      <m:nor/>
                      <m:sty m:val="p"/>
                    </m:rPr>
                    <m:t>current</m:t>
                  </m:r>
                </m:sub>
              </m:sSub>
              <m:r>
                <m:rPr>
                  <m:sty m:val="p"/>
                </m:rPr>
                <m:t>−</m:t>
              </m:r>
              <m:sSub>
                <m:e>
                  <m:r>
                    <m:t>w</m:t>
                  </m:r>
                </m:e>
                <m:sub>
                  <m:r>
                    <m:t>i</m:t>
                  </m:r>
                  <m:r>
                    <m:rPr>
                      <m:sty m:val="p"/>
                    </m:rPr>
                    <m:t>,</m:t>
                  </m:r>
                  <m:r>
                    <m:rPr>
                      <m:nor/>
                      <m:sty m:val="p"/>
                    </m:rPr>
                    <m:t>target</m:t>
                  </m:r>
                </m:sub>
              </m:sSub>
            </m:e>
          </m:d>
          <m:r>
            <m:rPr>
              <m:sty m:val="p"/>
            </m:rPr>
            <m:t>≥</m:t>
          </m:r>
          <m:r>
            <m:rPr>
              <m:nor/>
              <m:sty m:val="p"/>
            </m:rPr>
            <m:t>threshold</m:t>
          </m:r>
        </m:oMath>
      </m:oMathPara>
    </w:p>
    <w:bookmarkEnd w:id="228"/>
    <w:bookmarkStart w:id="229" w:name="volatility-targeting-return"/>
    <w:p>
      <w:pPr>
        <w:pStyle w:val="Heading3"/>
      </w:pPr>
      <w:r>
        <w:rPr>
          <w:rStyle w:val="SectionNumber"/>
        </w:rPr>
        <w:t xml:space="preserve">1.32.29</w:t>
      </w:r>
      <w:r>
        <w:tab/>
      </w:r>
      <w:r>
        <w:t xml:space="preserve">Volatility Targeting Return</w:t>
      </w:r>
    </w:p>
    <w:p>
      <w:pPr>
        <w:pStyle w:val="FirstParagraph"/>
      </w:pPr>
      <m:oMathPara>
        <m:oMathParaPr>
          <m:jc m:val="center"/>
        </m:oMathParaPr>
        <m:oMath>
          <m:sSub>
            <m:e>
              <m:r>
                <m:t>r</m:t>
              </m:r>
            </m:e>
            <m:sub>
              <m:r>
                <m:rPr>
                  <m:nor/>
                  <m:sty m:val="p"/>
                </m:rPr>
                <m:t>targeted</m:t>
              </m:r>
              <m:r>
                <m:rPr>
                  <m:sty m:val="p"/>
                </m:rPr>
                <m:t>,</m:t>
              </m:r>
              <m:r>
                <m:t>t</m:t>
              </m:r>
            </m:sub>
          </m:sSub>
          <m:r>
            <m:rPr>
              <m:sty m:val="p"/>
            </m:rPr>
            <m:t>=</m:t>
          </m:r>
          <m:sSub>
            <m:e>
              <m:r>
                <m:t>e</m:t>
              </m:r>
            </m:e>
            <m:sub>
              <m:r>
                <m:t>t</m:t>
              </m:r>
            </m:sub>
          </m:sSub>
          <m:sSub>
            <m:e>
              <m:r>
                <m:t>r</m:t>
              </m:r>
            </m:e>
            <m:sub>
              <m:r>
                <m:rPr>
                  <m:nor/>
                  <m:sty m:val="p"/>
                </m:rPr>
                <m:t>risky</m:t>
              </m:r>
              <m:r>
                <m:rPr>
                  <m:sty m:val="p"/>
                </m:rPr>
                <m:t>,</m:t>
              </m:r>
              <m:r>
                <m:t>t</m:t>
              </m:r>
            </m:sub>
          </m:sSub>
          <m:r>
            <m:rPr>
              <m:sty m:val="p"/>
            </m:rPr>
            <m:t>+</m:t>
          </m:r>
          <m:d>
            <m:dPr>
              <m:begChr m:val="("/>
              <m:endChr m:val=")"/>
              <m:sepChr m:val=""/>
              <m:grow/>
            </m:dPr>
            <m:e>
              <m:r>
                <m:t>1</m:t>
              </m:r>
              <m:r>
                <m:rPr>
                  <m:sty m:val="p"/>
                </m:rPr>
                <m:t>−</m:t>
              </m:r>
              <m:sSub>
                <m:e>
                  <m:r>
                    <m:t>e</m:t>
                  </m:r>
                </m:e>
                <m:sub>
                  <m:r>
                    <m:t>t</m:t>
                  </m:r>
                </m:sub>
              </m:sSub>
            </m:e>
          </m:d>
          <m:sSub>
            <m:e>
              <m:r>
                <m:t>r</m:t>
              </m:r>
            </m:e>
            <m:sub>
              <m:r>
                <m:rPr>
                  <m:nor/>
                  <m:sty m:val="p"/>
                </m:rPr>
                <m:t>defensive</m:t>
              </m:r>
              <m:r>
                <m:rPr>
                  <m:sty m:val="p"/>
                </m:rPr>
                <m:t>,</m:t>
              </m:r>
              <m:r>
                <m:t>t</m:t>
              </m:r>
            </m:sub>
          </m:sSub>
        </m:oMath>
      </m:oMathPara>
    </w:p>
    <w:bookmarkEnd w:id="229"/>
    <w:bookmarkStart w:id="230" w:name="volatility-targeting-exposure"/>
    <w:p>
      <w:pPr>
        <w:pStyle w:val="Heading3"/>
      </w:pPr>
      <w:r>
        <w:rPr>
          <w:rStyle w:val="SectionNumber"/>
        </w:rPr>
        <w:t xml:space="preserve">1.32.30</w:t>
      </w:r>
      <w:r>
        <w:tab/>
      </w:r>
      <w:r>
        <w:t xml:space="preserve">Volatility Targeting Exposure</w:t>
      </w:r>
    </w:p>
    <w:p>
      <w:pPr>
        <w:pStyle w:val="FirstParagraph"/>
      </w:pPr>
      <m:oMathPara>
        <m:oMathParaPr>
          <m:jc m:val="center"/>
        </m:oMathParaPr>
        <m:oMath>
          <m:sSub>
            <m:e>
              <m:r>
                <m:t>e</m:t>
              </m:r>
            </m:e>
            <m:sub>
              <m:r>
                <m:t>t</m:t>
              </m:r>
            </m:sub>
          </m:sSub>
          <m:r>
            <m:rPr>
              <m:sty m:val="p"/>
            </m:rPr>
            <m:t>=</m:t>
          </m:r>
          <m:r>
            <m:rPr>
              <m:sty m:val="p"/>
            </m:rPr>
            <m:t>clip</m:t>
          </m:r>
          <m:d>
            <m:dPr>
              <m:begChr m:val="("/>
              <m:endChr m:val=")"/>
              <m:sepChr m:val=""/>
              <m:grow/>
            </m:dPr>
            <m:e>
              <m:f>
                <m:fPr>
                  <m:type m:val="bar"/>
                </m:fPr>
                <m:num>
                  <m:sSub>
                    <m:e>
                      <m:r>
                        <m:rPr>
                          <m:nor/>
                          <m:sty m:val="p"/>
                        </m:rPr>
                        <m:t>target vol</m:t>
                      </m:r>
                    </m:e>
                    <m:sub>
                      <m:r>
                        <m:t>t</m:t>
                      </m:r>
                    </m:sub>
                  </m:sSub>
                </m:num>
                <m:den>
                  <m:sSub>
                    <m:e>
                      <m:r>
                        <m:rPr>
                          <m:nor/>
                          <m:sty m:val="p"/>
                        </m:rPr>
                        <m:t>realized vol</m:t>
                      </m:r>
                    </m:e>
                    <m:sub>
                      <m:r>
                        <m:t>t</m:t>
                      </m:r>
                      <m:r>
                        <m:rPr>
                          <m:sty m:val="p"/>
                        </m:rPr>
                        <m:t>−</m:t>
                      </m:r>
                      <m:r>
                        <m:t>1</m:t>
                      </m:r>
                    </m:sub>
                  </m:sSub>
                </m:den>
              </m:f>
              <m:r>
                <m:rPr>
                  <m:sty m:val="p"/>
                </m:rPr>
                <m:t>,</m:t>
              </m:r>
              <m:r>
                <m:t> </m:t>
              </m:r>
              <m:sSub>
                <m:e>
                  <m:r>
                    <m:t>e</m:t>
                  </m:r>
                </m:e>
                <m:sub>
                  <m:r>
                    <m:rPr>
                      <m:sty m:val="p"/>
                    </m:rPr>
                    <m:t>min</m:t>
                  </m:r>
                </m:sub>
              </m:sSub>
              <m:r>
                <m:rPr>
                  <m:sty m:val="p"/>
                </m:rPr>
                <m:t>,</m:t>
              </m:r>
              <m:r>
                <m:t> </m:t>
              </m:r>
              <m:sSub>
                <m:e>
                  <m:r>
                    <m:t>e</m:t>
                  </m:r>
                </m:e>
                <m:sub>
                  <m:r>
                    <m:rPr>
                      <m:sty m:val="p"/>
                    </m:rPr>
                    <m:t>max</m:t>
                  </m:r>
                </m:sub>
              </m:sSub>
            </m:e>
          </m:d>
        </m:oMath>
      </m:oMathPara>
    </w:p>
    <w:bookmarkEnd w:id="230"/>
    <w:bookmarkStart w:id="231" w:name="realized-volatility-1"/>
    <w:p>
      <w:pPr>
        <w:pStyle w:val="Heading3"/>
      </w:pPr>
      <w:r>
        <w:rPr>
          <w:rStyle w:val="SectionNumber"/>
        </w:rPr>
        <w:t xml:space="preserve">1.32.31</w:t>
      </w:r>
      <w:r>
        <w:tab/>
      </w:r>
      <w:r>
        <w:t xml:space="preserve">Realized Volatility</w:t>
      </w:r>
    </w:p>
    <w:p>
      <w:pPr>
        <w:pStyle w:val="FirstParagraph"/>
      </w:pPr>
      <m:oMathPara>
        <m:oMathParaPr>
          <m:jc m:val="center"/>
        </m:oMathParaPr>
        <m:oMath>
          <m:sSub>
            <m:e>
              <m:r>
                <m:rPr>
                  <m:nor/>
                  <m:sty m:val="p"/>
                </m:rPr>
                <m:t>realized vol</m:t>
              </m:r>
            </m:e>
            <m:sub>
              <m:r>
                <m:t>t</m:t>
              </m:r>
            </m:sub>
          </m:sSub>
          <m:r>
            <m:rPr>
              <m:sty m:val="p"/>
            </m:rPr>
            <m:t>=</m:t>
          </m:r>
          <m:r>
            <m:rPr>
              <m:sty m:val="p"/>
            </m:rPr>
            <m:t>std</m:t>
          </m:r>
          <m:d>
            <m:dPr>
              <m:begChr m:val="("/>
              <m:endChr m:val=")"/>
              <m:sepChr m:val=""/>
              <m:grow/>
            </m:dPr>
            <m:e>
              <m:sSub>
                <m:e>
                  <m:r>
                    <m:t>r</m:t>
                  </m:r>
                </m:e>
                <m:sub>
                  <m:r>
                    <m:rPr>
                      <m:nor/>
                      <m:sty m:val="p"/>
                    </m:rPr>
                    <m:t>risky</m:t>
                  </m:r>
                  <m:r>
                    <m:rPr>
                      <m:sty m:val="p"/>
                    </m:rPr>
                    <m:t>,</m:t>
                  </m:r>
                  <m:r>
                    <m:t>t</m:t>
                  </m:r>
                  <m:r>
                    <m:rPr>
                      <m:sty m:val="p"/>
                    </m:rPr>
                    <m:t>−</m:t>
                  </m:r>
                  <m:r>
                    <m:rPr>
                      <m:nor/>
                      <m:sty m:val="p"/>
                    </m:rPr>
                    <m:t>window</m:t>
                  </m:r>
                  <m:r>
                    <m:rPr>
                      <m:sty m:val="p"/>
                    </m:rPr>
                    <m:t>:</m:t>
                  </m:r>
                  <m:r>
                    <m:t>t</m:t>
                  </m:r>
                </m:sub>
              </m:sSub>
            </m:e>
          </m:d>
          <m:r>
            <m:rPr>
              <m:sty m:val="p"/>
            </m:rPr>
            <m:t>×</m:t>
          </m:r>
          <m:rad>
            <m:radPr>
              <m:degHide m:val="on"/>
            </m:radPr>
            <m:deg/>
            <m:e>
              <m:r>
                <m:t>252</m:t>
              </m:r>
            </m:e>
          </m:rad>
        </m:oMath>
      </m:oMathPara>
    </w:p>
    <w:bookmarkEnd w:id="231"/>
    <w:bookmarkStart w:id="232" w:name="ewma-alpha"/>
    <w:p>
      <w:pPr>
        <w:pStyle w:val="Heading3"/>
      </w:pPr>
      <w:r>
        <w:rPr>
          <w:rStyle w:val="SectionNumber"/>
        </w:rPr>
        <w:t xml:space="preserve">1.32.32</w:t>
      </w:r>
      <w:r>
        <w:tab/>
      </w:r>
      <w:r>
        <w:t xml:space="preserve">EWMA Alpha</w:t>
      </w:r>
    </w:p>
    <w:p>
      <w:pPr>
        <w:pStyle w:val="FirstParagraph"/>
      </w:pPr>
      <m:oMathPara>
        <m:oMathParaPr>
          <m:jc m:val="center"/>
        </m:oMathParaPr>
        <m:oMath>
          <m:r>
            <m:t>α</m:t>
          </m:r>
          <m:r>
            <m:rPr>
              <m:sty m:val="p"/>
            </m:rPr>
            <m:t>=</m:t>
          </m:r>
          <m:f>
            <m:fPr>
              <m:type m:val="bar"/>
            </m:fPr>
            <m:num>
              <m:r>
                <m:t>2</m:t>
              </m:r>
            </m:num>
            <m:den>
              <m:r>
                <m:rPr>
                  <m:nor/>
                  <m:sty m:val="p"/>
                </m:rPr>
                <m:t>span</m:t>
              </m:r>
              <m:r>
                <m:rPr>
                  <m:sty m:val="p"/>
                </m:rPr>
                <m:t>+</m:t>
              </m:r>
              <m:r>
                <m:t>1</m:t>
              </m:r>
            </m:den>
          </m:f>
          <m:r>
            <m:rPr>
              <m:sty m:val="p"/>
            </m:rPr>
            <m:t>=</m:t>
          </m:r>
          <m:f>
            <m:fPr>
              <m:type m:val="bar"/>
            </m:fPr>
            <m:num>
              <m:r>
                <m:t>2</m:t>
              </m:r>
            </m:num>
            <m:den>
              <m:r>
                <m:t>253</m:t>
              </m:r>
            </m:den>
          </m:f>
          <m:r>
            <m:rPr>
              <m:sty m:val="p"/>
            </m:rPr>
            <m:t>≈</m:t>
          </m:r>
          <m:r>
            <m:t>0.0079</m:t>
          </m:r>
          <m:r>
            <m:t> </m:t>
          </m:r>
          <m:r>
            <m:rPr>
              <m:nor/>
              <m:sty m:val="p"/>
            </m:rPr>
            <m:t>when span</m:t>
          </m:r>
          <m:r>
            <m:rPr>
              <m:sty m:val="p"/>
            </m:rPr>
            <m:t>=</m:t>
          </m:r>
          <m:r>
            <m:t>252</m:t>
          </m:r>
        </m:oMath>
      </m:oMathPara>
    </w:p>
    <w:bookmarkEnd w:id="232"/>
    <w:bookmarkStart w:id="233" w:name="ledoit-wolf"/>
    <w:p>
      <w:pPr>
        <w:pStyle w:val="Heading3"/>
      </w:pPr>
      <w:r>
        <w:rPr>
          <w:rStyle w:val="SectionNumber"/>
        </w:rPr>
        <w:t xml:space="preserve">1.32.33</w:t>
      </w:r>
      <w:r>
        <w:tab/>
      </w:r>
      <w:r>
        <w:t xml:space="preserve">Ledoit-Wolf</w:t>
      </w:r>
    </w:p>
    <w:p>
      <w:pPr>
        <w:pStyle w:val="FirstParagraph"/>
      </w:pPr>
      <m:oMathPara>
        <m:oMathParaPr>
          <m:jc m:val="center"/>
        </m:oMathParaPr>
        <m:oMath>
          <m:sSub>
            <m:e>
              <m:r>
                <m:t>Σ</m:t>
              </m:r>
            </m:e>
            <m:sub>
              <m:r>
                <m:t>L</m:t>
              </m:r>
              <m:r>
                <m:t>W</m:t>
              </m:r>
            </m:sub>
          </m:sSub>
          <m:r>
            <m:rPr>
              <m:sty m:val="p"/>
            </m:rPr>
            <m:t>=</m:t>
          </m:r>
          <m:d>
            <m:dPr>
              <m:begChr m:val="("/>
              <m:endChr m:val=")"/>
              <m:sepChr m:val=""/>
              <m:grow/>
            </m:dPr>
            <m:e>
              <m:r>
                <m:t>1</m:t>
              </m:r>
              <m:r>
                <m:rPr>
                  <m:sty m:val="p"/>
                </m:rPr>
                <m:t>−</m:t>
              </m:r>
              <m:r>
                <m:t>δ</m:t>
              </m:r>
            </m:e>
          </m:d>
          <m:r>
            <m:t>S</m:t>
          </m:r>
          <m:r>
            <m:rPr>
              <m:sty m:val="p"/>
            </m:rPr>
            <m:t>+</m:t>
          </m:r>
          <m:r>
            <m:t>δ</m:t>
          </m:r>
          <m:r>
            <m:t>F</m:t>
          </m:r>
        </m:oMath>
      </m:oMathPara>
    </w:p>
    <w:p>
      <w:r>
        <w:pict>
          <v:rect style="width:0;height:1.5pt" o:hralign="center" o:hrstd="t" o:hr="t"/>
        </w:pict>
      </w:r>
    </w:p>
    <w:bookmarkEnd w:id="233"/>
    <w:bookmarkEnd w:id="234"/>
    <w:bookmarkStart w:id="235" w:name="final-team-understanding-checklist"/>
    <w:p>
      <w:pPr>
        <w:pStyle w:val="Heading2"/>
      </w:pPr>
      <w:r>
        <w:rPr>
          <w:rStyle w:val="SectionNumber"/>
        </w:rPr>
        <w:t xml:space="preserve">1.33</w:t>
      </w:r>
      <w:r>
        <w:tab/>
      </w:r>
      <w:r>
        <w:t xml:space="preserve">33. Final Team Understanding Checklist</w:t>
      </w:r>
    </w:p>
    <w:p>
      <w:pPr>
        <w:pStyle w:val="FirstParagraph"/>
      </w:pPr>
      <w:r>
        <w:t xml:space="preserve">Before presentation, every teammate should be able to answer:</w:t>
      </w:r>
    </w:p>
    <w:p>
      <w:pPr>
        <w:pStyle w:val="Compact"/>
        <w:numPr>
          <w:ilvl w:val="0"/>
          <w:numId w:val="1029"/>
        </w:numPr>
      </w:pPr>
      <w:r>
        <w:t xml:space="preserve">What is the project trying to solve?</w:t>
      </w:r>
    </w:p>
    <w:p>
      <w:pPr>
        <w:pStyle w:val="Compact"/>
        <w:numPr>
          <w:ilvl w:val="0"/>
          <w:numId w:val="1029"/>
        </w:numPr>
      </w:pPr>
      <w:r>
        <w:t xml:space="preserve">What is the asset universe?</w:t>
      </w:r>
    </w:p>
    <w:p>
      <w:pPr>
        <w:pStyle w:val="Compact"/>
        <w:numPr>
          <w:ilvl w:val="0"/>
          <w:numId w:val="1029"/>
        </w:numPr>
      </w:pPr>
      <w:r>
        <w:t xml:space="preserve">Why do we use adjusted close?</w:t>
      </w:r>
    </w:p>
    <w:p>
      <w:pPr>
        <w:pStyle w:val="Compact"/>
        <w:numPr>
          <w:ilvl w:val="0"/>
          <w:numId w:val="1029"/>
        </w:numPr>
      </w:pPr>
      <w:r>
        <w:t xml:space="preserve">Difference between simple and log returns.</w:t>
      </w:r>
    </w:p>
    <w:p>
      <w:pPr>
        <w:pStyle w:val="Compact"/>
        <w:numPr>
          <w:ilvl w:val="0"/>
          <w:numId w:val="1029"/>
        </w:numPr>
      </w:pPr>
      <w:r>
        <w:t xml:space="preserve">What volatility measures.</w:t>
      </w:r>
    </w:p>
    <w:p>
      <w:pPr>
        <w:pStyle w:val="Compact"/>
        <w:numPr>
          <w:ilvl w:val="0"/>
          <w:numId w:val="1029"/>
        </w:numPr>
      </w:pPr>
      <w:r>
        <w:t xml:space="preserve">Difference between covariance and correlation.</w:t>
      </w:r>
    </w:p>
    <w:p>
      <w:pPr>
        <w:pStyle w:val="Compact"/>
        <w:numPr>
          <w:ilvl w:val="0"/>
          <w:numId w:val="1029"/>
        </w:numPr>
      </w:pPr>
      <w:r>
        <w:t xml:space="preserve">Why correlation is converted into distance.</w:t>
      </w:r>
    </w:p>
    <w:p>
      <w:pPr>
        <w:pStyle w:val="Compact"/>
        <w:numPr>
          <w:ilvl w:val="0"/>
          <w:numId w:val="1029"/>
        </w:numPr>
      </w:pPr>
      <w:r>
        <w:t xml:space="preserve">What dendrograms show.</w:t>
      </w:r>
    </w:p>
    <w:p>
      <w:pPr>
        <w:pStyle w:val="Compact"/>
        <w:numPr>
          <w:ilvl w:val="0"/>
          <w:numId w:val="1029"/>
        </w:numPr>
      </w:pPr>
      <w:r>
        <w:t xml:space="preserve">How Equal Weight works.</w:t>
      </w:r>
    </w:p>
    <w:p>
      <w:pPr>
        <w:pStyle w:val="Compact"/>
        <w:numPr>
          <w:ilvl w:val="0"/>
          <w:numId w:val="1029"/>
        </w:numPr>
      </w:pPr>
      <w:r>
        <w:t xml:space="preserve">How Inverse Volatility works.</w:t>
      </w:r>
    </w:p>
    <w:p>
      <w:pPr>
        <w:pStyle w:val="Compact"/>
        <w:numPr>
          <w:ilvl w:val="0"/>
          <w:numId w:val="1029"/>
        </w:numPr>
      </w:pPr>
      <w:r>
        <w:t xml:space="preserve">Why Mean-Variance can be unstable.</w:t>
      </w:r>
    </w:p>
    <w:p>
      <w:pPr>
        <w:pStyle w:val="Compact"/>
        <w:numPr>
          <w:ilvl w:val="0"/>
          <w:numId w:val="1029"/>
        </w:numPr>
      </w:pPr>
      <w:r>
        <w:t xml:space="preserve">How HRP works.</w:t>
      </w:r>
    </w:p>
    <w:p>
      <w:pPr>
        <w:pStyle w:val="Compact"/>
        <w:numPr>
          <w:ilvl w:val="0"/>
          <w:numId w:val="1029"/>
        </w:numPr>
      </w:pPr>
      <w:r>
        <w:t xml:space="preserve">How HERC differs from HRP.</w:t>
      </w:r>
    </w:p>
    <w:p>
      <w:pPr>
        <w:pStyle w:val="Compact"/>
        <w:numPr>
          <w:ilvl w:val="0"/>
          <w:numId w:val="1029"/>
        </w:numPr>
      </w:pPr>
      <w:r>
        <w:t xml:space="preserve">What rolling walk-forward backtesting means.</w:t>
      </w:r>
    </w:p>
    <w:p>
      <w:pPr>
        <w:pStyle w:val="Compact"/>
        <w:numPr>
          <w:ilvl w:val="0"/>
          <w:numId w:val="1029"/>
        </w:numPr>
      </w:pPr>
      <w:r>
        <w:t xml:space="preserve">What rebalancing is.</w:t>
      </w:r>
    </w:p>
    <w:p>
      <w:pPr>
        <w:pStyle w:val="Compact"/>
        <w:numPr>
          <w:ilvl w:val="0"/>
          <w:numId w:val="1029"/>
        </w:numPr>
      </w:pPr>
      <w:r>
        <w:t xml:space="preserve">What turnover means.</w:t>
      </w:r>
    </w:p>
    <w:p>
      <w:pPr>
        <w:pStyle w:val="Compact"/>
        <w:numPr>
          <w:ilvl w:val="0"/>
          <w:numId w:val="1029"/>
        </w:numPr>
      </w:pPr>
      <w:r>
        <w:t xml:space="preserve">How transaction costs are modeled.</w:t>
      </w:r>
    </w:p>
    <w:p>
      <w:pPr>
        <w:pStyle w:val="Compact"/>
        <w:numPr>
          <w:ilvl w:val="0"/>
          <w:numId w:val="1029"/>
        </w:numPr>
      </w:pPr>
      <w:r>
        <w:t xml:space="preserve">Difference between gross and net portfolio value.</w:t>
      </w:r>
    </w:p>
    <w:p>
      <w:pPr>
        <w:pStyle w:val="Compact"/>
        <w:numPr>
          <w:ilvl w:val="0"/>
          <w:numId w:val="1029"/>
        </w:numPr>
      </w:pPr>
      <w:r>
        <w:t xml:space="preserve">What CAGR, Sharpe, Sortino, Calmar, and max drawdown mean.</w:t>
      </w:r>
    </w:p>
    <w:p>
      <w:pPr>
        <w:pStyle w:val="Compact"/>
        <w:numPr>
          <w:ilvl w:val="0"/>
          <w:numId w:val="1029"/>
        </w:numPr>
      </w:pPr>
      <w:r>
        <w:t xml:space="preserve">What risk contribution explains.</w:t>
      </w:r>
    </w:p>
    <w:p>
      <w:pPr>
        <w:pStyle w:val="Compact"/>
        <w:numPr>
          <w:ilvl w:val="0"/>
          <w:numId w:val="1029"/>
        </w:numPr>
      </w:pPr>
      <w:r>
        <w:t xml:space="preserve">Why Equal Weight is the benchmark.</w:t>
      </w:r>
    </w:p>
    <w:p>
      <w:pPr>
        <w:pStyle w:val="Compact"/>
        <w:numPr>
          <w:ilvl w:val="0"/>
          <w:numId w:val="1029"/>
        </w:numPr>
      </w:pPr>
      <w:r>
        <w:t xml:space="preserve">What volatility targeting does.</w:t>
      </w:r>
    </w:p>
    <w:p>
      <w:pPr>
        <w:pStyle w:val="Compact"/>
        <w:numPr>
          <w:ilvl w:val="0"/>
          <w:numId w:val="1029"/>
        </w:numPr>
      </w:pPr>
      <w:r>
        <w:t xml:space="preserve">How look-ahead bias is avoided.</w:t>
      </w:r>
    </w:p>
    <w:p>
      <w:pPr>
        <w:pStyle w:val="Compact"/>
        <w:numPr>
          <w:ilvl w:val="0"/>
          <w:numId w:val="1029"/>
        </w:numPr>
      </w:pPr>
      <w:r>
        <w:t xml:space="preserve">How sensitivity ranking works.</w:t>
      </w:r>
    </w:p>
    <w:p>
      <w:pPr>
        <w:pStyle w:val="Compact"/>
        <w:numPr>
          <w:ilvl w:val="0"/>
          <w:numId w:val="1029"/>
        </w:numPr>
      </w:pPr>
      <w:r>
        <w:t xml:space="preserve">What is implemented vs future work.</w:t>
      </w:r>
    </w:p>
    <w:p>
      <w:r>
        <w:pict>
          <v:rect style="width:0;height:1.5pt" o:hralign="center" o:hrstd="t" o:hr="t"/>
        </w:pict>
      </w:r>
    </w:p>
    <w:bookmarkEnd w:id="235"/>
    <w:bookmarkStart w:id="236" w:name="final-project-positioning"/>
    <w:p>
      <w:pPr>
        <w:pStyle w:val="Heading2"/>
      </w:pPr>
      <w:r>
        <w:rPr>
          <w:rStyle w:val="SectionNumber"/>
        </w:rPr>
        <w:t xml:space="preserve">1.34</w:t>
      </w:r>
      <w:r>
        <w:tab/>
      </w:r>
      <w:r>
        <w:t xml:space="preserve">34. Final Project Positioning</w:t>
      </w:r>
    </w:p>
    <w:p>
      <w:pPr>
        <w:pStyle w:val="FirstParagraph"/>
      </w:pPr>
      <w:r>
        <w:t xml:space="preserve">The best positioning is:</w:t>
      </w:r>
    </w:p>
    <w:p>
      <w:pPr>
        <w:pStyle w:val="BlockText"/>
      </w:pPr>
      <w:r>
        <w:t xml:space="preserve">Adaptive Portfolio Risk Analytics is a risk-aware portfolio research platform that compares hierarchical and baseline allocation strategies using robust covariance estimation, rolling backtesting, transaction-cost diagnostics, risk attribution, benchmark comparison, volatility targeting, and experiment sensitivity analysis.</w:t>
      </w:r>
    </w:p>
    <w:p>
      <w:pPr>
        <w:pStyle w:val="FirstParagraph"/>
      </w:pPr>
      <w:r>
        <w:t xml:space="preserve">What makes it strong:</w:t>
      </w:r>
    </w:p>
    <w:p>
      <w:pPr>
        <w:pStyle w:val="SourceCode"/>
      </w:pPr>
      <w:r>
        <w:rPr>
          <w:rStyle w:val="VerbatimChar"/>
        </w:rPr>
        <w:t xml:space="preserve">It is end-to-end.</w:t>
      </w:r>
      <w:r>
        <w:br/>
      </w:r>
      <w:r>
        <w:rPr>
          <w:rStyle w:val="VerbatimChar"/>
        </w:rPr>
        <w:t xml:space="preserve">It is modular.</w:t>
      </w:r>
      <w:r>
        <w:br/>
      </w:r>
      <w:r>
        <w:rPr>
          <w:rStyle w:val="VerbatimChar"/>
        </w:rPr>
        <w:t xml:space="preserve">It compares multiple strategies.</w:t>
      </w:r>
      <w:r>
        <w:br/>
      </w:r>
      <w:r>
        <w:rPr>
          <w:rStyle w:val="VerbatimChar"/>
        </w:rPr>
        <w:t xml:space="preserve">It includes realistic frictions.</w:t>
      </w:r>
      <w:r>
        <w:br/>
      </w:r>
      <w:r>
        <w:rPr>
          <w:rStyle w:val="VerbatimChar"/>
        </w:rPr>
        <w:t xml:space="preserve">It explains risk, not just return.</w:t>
      </w:r>
      <w:r>
        <w:br/>
      </w:r>
      <w:r>
        <w:rPr>
          <w:rStyle w:val="VerbatimChar"/>
        </w:rPr>
        <w:t xml:space="preserve">It has a dashboard.</w:t>
      </w:r>
      <w:r>
        <w:br/>
      </w:r>
      <w:r>
        <w:rPr>
          <w:rStyle w:val="VerbatimChar"/>
        </w:rPr>
        <w:t xml:space="preserve">It has a clear future research path.</w:t>
      </w:r>
    </w:p>
    <w:p>
      <w:pPr>
        <w:pStyle w:val="FirstParagraph"/>
      </w:pPr>
      <w:r>
        <w:t xml:space="preserve">What it is not yet:</w:t>
      </w:r>
    </w:p>
    <w:p>
      <w:pPr>
        <w:pStyle w:val="SourceCode"/>
      </w:pPr>
      <w:r>
        <w:rPr>
          <w:rStyle w:val="VerbatimChar"/>
        </w:rPr>
        <w:t xml:space="preserve">Not a production trading engine.</w:t>
      </w:r>
      <w:r>
        <w:br/>
      </w:r>
      <w:r>
        <w:rPr>
          <w:rStyle w:val="VerbatimChar"/>
        </w:rPr>
        <w:t xml:space="preserve">Not a full NLP sentiment model.</w:t>
      </w:r>
      <w:r>
        <w:br/>
      </w:r>
      <w:r>
        <w:rPr>
          <w:rStyle w:val="VerbatimChar"/>
        </w:rPr>
        <w:t xml:space="preserve">Not a full Markov-switching regime engine.</w:t>
      </w:r>
      <w:r>
        <w:br/>
      </w:r>
      <w:r>
        <w:rPr>
          <w:rStyle w:val="VerbatimChar"/>
        </w:rPr>
        <w:t xml:space="preserve">Not CPCV-validated yet.</w:t>
      </w:r>
      <w:r>
        <w:br/>
      </w:r>
      <w:r>
        <w:rPr>
          <w:rStyle w:val="VerbatimChar"/>
        </w:rPr>
        <w:t xml:space="preserve">Not liquidity/market-impact/tax aware yet.</w:t>
      </w:r>
    </w:p>
    <w:p>
      <w:pPr>
        <w:pStyle w:val="FirstParagraph"/>
      </w:pPr>
      <w:r>
        <w:t xml:space="preserve">Final viva line:</w:t>
      </w:r>
    </w:p>
    <w:p>
      <w:pPr>
        <w:pStyle w:val="BlockText"/>
      </w:pPr>
      <w:r>
        <w:t xml:space="preserve">The current project gives us a strong and defensible research infrastructure. The next step is not to add more complexity blindly, but to add CPCV and robustness validation first, then test regime and sentiment signals on top of that validation framework.</w:t>
      </w:r>
    </w:p>
    <w:bookmarkEnd w:id="236"/>
    <w:bookmarkEnd w:id="237"/>
    <w:sectPr>
      <w:pgMar w:bottom="936"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ptos" w:eastAsia="Aptos" w:hAnsi="Aptos"/>
      <w:color w:val="1E1E1E"/>
      <w:sz w:val="21"/>
    </w:rPr>
  </w:style>
  <w:style w:styleId="BodyText" w:type="paragraph">
    <w:name w:val="Body Text"/>
    <w:basedOn w:val="Normal"/>
    <w:link w:val="BodyTextChar"/>
    <w:qFormat/>
    <w:pPr>
      <w:spacing w:after="120" w:before="180" w:line="259" w:lineRule="auto"/>
    </w:pPr>
    <w:rPr>
      <w:rFonts w:ascii="Aptos" w:eastAsia="Aptos" w:hAnsi="Aptos"/>
      <w:color w:val="1E1E1E"/>
      <w:sz w:val="21"/>
    </w:rPr>
  </w:style>
  <w:style w:customStyle="1" w:styleId="FirstParagraph" w:type="paragraph">
    <w:name w:val="First Paragraph"/>
    <w:basedOn w:val="BodyText"/>
    <w:next w:val="BodyText"/>
    <w:qFormat/>
    <w:pPr>
      <w:spacing w:after="120" w:line="259" w:lineRule="auto"/>
    </w:pPr>
    <w:rPr>
      <w:rFonts w:ascii="Aptos" w:eastAsia="Aptos" w:hAnsi="Aptos"/>
      <w:color w:val="1E1E1E"/>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Aptos Display" w:eastAsiaTheme="majorEastAsia" w:hAnsi="Aptos Display" w:hAnsiTheme="majorHAnsi"/>
      <w:b/>
      <w:bCs/>
      <w:color w:val="16365C"/>
      <w:sz w:val="48"/>
      <w:szCs w:val="36"/>
    </w:rPr>
  </w:style>
  <w:style w:styleId="Subtitle" w:type="paragraph">
    <w:name w:val="Subtitle"/>
    <w:basedOn w:val="Title"/>
    <w:next w:val="BodyText"/>
    <w:qFormat/>
    <w:pPr>
      <w:keepNext/>
      <w:keepLines/>
      <w:spacing w:after="240" w:before="240"/>
      <w:jc w:val="center"/>
    </w:pPr>
    <w:rPr>
      <w:rFonts w:ascii="Aptos" w:eastAsia="Aptos" w:hAnsi="Aptos"/>
      <w:b w:val="0"/>
      <w:color w:val="5A5A5A"/>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ptos" w:eastAsia="Aptos" w:hAnsi="Aptos"/>
      <w:color w:val="1E1E1E"/>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Portfolio Risk Analytics</dc:title>
  <dc:creator/>
  <cp:keywords/>
  <dcterms:created xsi:type="dcterms:W3CDTF">2026-06-14T12:42:22Z</dcterms:created>
  <dcterms:modified xsi:type="dcterms:W3CDTF">2026-06-14T12:42:22Z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Hierarchical Allocation, Backtesting, and Volatility Targeting</vt:lpwstr>
  </property>
</Properties>
</file>