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F741" w14:textId="77777777" w:rsidR="000204E1" w:rsidRDefault="00000000">
      <w:pPr>
        <w:pStyle w:val="Heading1"/>
        <w:spacing w:before="0" w:after="0" w:line="275" w:lineRule="auto"/>
        <w:rPr>
          <w:rFonts w:ascii="Google Sans" w:eastAsia="Google Sans" w:hAnsi="Google Sans" w:cs="Google Sans"/>
          <w:color w:val="1F1F1F"/>
        </w:rPr>
      </w:pPr>
      <w:r>
        <w:rPr>
          <w:rFonts w:ascii="Google Sans" w:eastAsia="Google Sans" w:hAnsi="Google Sans" w:cs="Google Sans"/>
          <w:color w:val="1F1F1F"/>
        </w:rPr>
        <w:t>Advanced Framework for Adaptive Portfolio Allocation and Risk Analytics: Integrating Hierarchical Risk Parity, Regime Switching, and Macro-Sentiment Dynamics</w:t>
      </w:r>
    </w:p>
    <w:p w14:paraId="7BC161A9"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evolution of quantitative portfolio management has increasingly shifted away from traditional expected-return maximization frameworks toward robust, risk-centric methodologies. Classical Mean-Variance Optimization (MVO), first introduced by Harry Markowitz, established the foundational paradigm of modern portfolio theory by quantifying the trade-off between risk and expected return.</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However, while mathematically elegant, MVO frequently exhibits catastrophic vulnerabilities in practical deployment. The optimization process essentially acts as an error-maximization algorithm, demonstrating extreme sensitivity to minor estimation errors in expected returns and covariance matrices.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Because historical correlations are inherently unstable—particularly during periods of systemic market distress when cross-asset correlations tend to converge toward one—the inversion of a highly collinear, noisy covariance matrix results in highly concentrated, erratic portfolio allocations that suffer severe out-of-sample degradation.</w:t>
      </w:r>
      <w:r>
        <w:rPr>
          <w:rFonts w:ascii="Google Sans" w:eastAsia="Google Sans" w:hAnsi="Google Sans" w:cs="Google Sans"/>
          <w:color w:val="444746"/>
          <w:sz w:val="24"/>
          <w:szCs w:val="24"/>
          <w:vertAlign w:val="superscript"/>
        </w:rPr>
        <w:t>3</w:t>
      </w:r>
    </w:p>
    <w:p w14:paraId="44CC838F"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address these systemic vulnerabilities, modern financial risk management (FRM) emphasizes adaptive architectures capable of parsing complex, non-linear market regimes, unstable correlation structures, and exogenous macroeconomic uncertainties.</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Graph-theoretic approaches, specifically Hierarchical Risk Parity (HRP), have emerged as superior alternatives by completely bypassing the need for covariance matrix inversion.</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By utilizing hierarchical clustering algorithms, HRP identifies the underlying structural topology of the asset universe, grouping highly correlated assets into distinct clusters and allocating risk capital in a top-down manner.</w:t>
      </w:r>
      <w:r>
        <w:rPr>
          <w:rFonts w:ascii="Google Sans" w:eastAsia="Google Sans" w:hAnsi="Google Sans" w:cs="Google Sans"/>
          <w:color w:val="444746"/>
          <w:sz w:val="24"/>
          <w:szCs w:val="24"/>
          <w:vertAlign w:val="superscript"/>
        </w:rPr>
        <w:t>3</w:t>
      </w:r>
    </w:p>
    <w:p w14:paraId="74DFE5D4"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While the baseline proposition of transitioning to an HRP-based framework is structurally sound, elevating such a system to meet rigorous institutional FRM standards requires extensive architectural enhancements.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Theoretical optimization models often fail in live trading environments because they ignore market frictions, rely on naive statistical estimators, and fail to adapt their risk posture dynamically as macroeconomic regimes transition.</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This comprehensive analysis reconstructs the portfolio allocation architecture by integrating robust covariance estimation via the Gerber statistic, transitioning from basic HRP to Hierarchical Equal Risk Contribution (HERC), embedding transaction cost and turnover constraints directly into the optimization logic, and implementing dynamic volatility targeting triggered by Markov-</w:t>
      </w:r>
      <w:r>
        <w:rPr>
          <w:rFonts w:ascii="Google Sans" w:eastAsia="Google Sans" w:hAnsi="Google Sans" w:cs="Google Sans"/>
          <w:color w:val="1F1F1F"/>
        </w:rPr>
        <w:lastRenderedPageBreak/>
        <w:t>switching regime detection.</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Furthermore, the architecture is enriched with a forward-looking intelligence layer powered by advanced Natural Language Processing (NLP), which extracts macroeconomic stance and sector-level uncertainty from central bank communications and corporate earnings calls.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Finally, the empirical validity of this framework is anchored in verifiable, industry-standard datasets for the Indian market, evaluated over an extended twenty-year historical horizon (2006–2026) using Combinatorial Purged Cross-Validation (CPCV) to ensure absolute robustness against data leakage and overfitting.</w:t>
      </w:r>
      <w:r>
        <w:rPr>
          <w:rFonts w:ascii="Google Sans" w:eastAsia="Google Sans" w:hAnsi="Google Sans" w:cs="Google Sans"/>
          <w:color w:val="444746"/>
          <w:sz w:val="24"/>
          <w:szCs w:val="24"/>
          <w:vertAlign w:val="superscript"/>
        </w:rPr>
        <w:t>23</w:t>
      </w:r>
    </w:p>
    <w:p w14:paraId="4C80F0E6" w14:textId="77777777" w:rsidR="000204E1"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1. Upgrading the Statistical Engine: Robust Covariance and Distance Metrics</w:t>
      </w:r>
    </w:p>
    <w:p w14:paraId="09A67D34"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efficacy of any clustering-based portfolio allocation model, including HRP, is intrinsically linked to the quality of the distance metric used to define the hierarchical relationships between assets.</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 xml:space="preserve"> The conventional approach relies on the sample covariance matrix calculated over a rolling historical window to derive the correlation matrix, from which the distance metric is calculated as </w:t>
      </w:r>
      <w:r>
        <w:rPr>
          <w:rFonts w:ascii="Google Sans" w:eastAsia="Google Sans" w:hAnsi="Google Sans" w:cs="Google Sans"/>
          <w:noProof/>
          <w:color w:val="1F1F1F"/>
        </w:rPr>
        <w:drawing>
          <wp:inline distT="19050" distB="19050" distL="19050" distR="19050" wp14:anchorId="6383FF3F" wp14:editId="59E404E1">
            <wp:extent cx="1719777" cy="241979"/>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719777" cy="241979"/>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However, sample covariance matrices calculated from daily financial returns are notoriously noisy, as they treat small, random price fluctuations with the same statistical weight as significant, directional market movements.</w:t>
      </w:r>
      <w:r>
        <w:rPr>
          <w:rFonts w:ascii="Google Sans" w:eastAsia="Google Sans" w:hAnsi="Google Sans" w:cs="Google Sans"/>
          <w:color w:val="444746"/>
          <w:sz w:val="24"/>
          <w:szCs w:val="24"/>
          <w:vertAlign w:val="superscript"/>
        </w:rPr>
        <w:t>17</w:t>
      </w:r>
    </w:p>
    <w:p w14:paraId="531DD89B" w14:textId="77777777" w:rsidR="000204E1"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 xml:space="preserve">1.1 The </w:t>
      </w:r>
      <w:proofErr w:type="spellStart"/>
      <w:r>
        <w:rPr>
          <w:rFonts w:ascii="Google Sans" w:eastAsia="Google Sans" w:hAnsi="Google Sans" w:cs="Google Sans"/>
          <w:color w:val="1F1F1F"/>
        </w:rPr>
        <w:t>Ledoit</w:t>
      </w:r>
      <w:proofErr w:type="spellEnd"/>
      <w:r>
        <w:rPr>
          <w:rFonts w:ascii="Google Sans" w:eastAsia="Google Sans" w:hAnsi="Google Sans" w:cs="Google Sans"/>
          <w:color w:val="1F1F1F"/>
        </w:rPr>
        <w:t>-Wolf Shrinkage Estimator</w:t>
      </w:r>
    </w:p>
    <w:p w14:paraId="3B0B8C4C"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To improve the FRM robustness of the portfolio construction engine, the framework must initially integrate advanced covariance estimation techniques. The </w:t>
      </w:r>
      <w:proofErr w:type="spellStart"/>
      <w:r>
        <w:rPr>
          <w:rFonts w:ascii="Google Sans" w:eastAsia="Google Sans" w:hAnsi="Google Sans" w:cs="Google Sans"/>
          <w:color w:val="1F1F1F"/>
        </w:rPr>
        <w:t>Ledoit</w:t>
      </w:r>
      <w:proofErr w:type="spellEnd"/>
      <w:r>
        <w:rPr>
          <w:rFonts w:ascii="Google Sans" w:eastAsia="Google Sans" w:hAnsi="Google Sans" w:cs="Google Sans"/>
          <w:color w:val="1F1F1F"/>
        </w:rPr>
        <w:t>-Wolf shrinkage estimator provides a critical foundational improvement over the standard sample covariance matrix.</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Financial time series data often presents a dimensionality problem where the number of assets is large relative to the number of historical observations, causing the sample covariance matrix to become ill-conditioned.</w:t>
      </w:r>
      <w:r>
        <w:rPr>
          <w:rFonts w:ascii="Google Sans" w:eastAsia="Google Sans" w:hAnsi="Google Sans" w:cs="Google Sans"/>
          <w:color w:val="444746"/>
          <w:sz w:val="24"/>
          <w:szCs w:val="24"/>
          <w:vertAlign w:val="superscript"/>
        </w:rPr>
        <w:t>28</w:t>
      </w:r>
    </w:p>
    <w:p w14:paraId="45121F38"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Shrinkage resolves this by computing a weighted average between the highly structured but potentially biased target matrix (such as a constant correlation model) and the unbiased but highly variable sample covariance matrix.</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By pulling extreme, noisy covariance values toward the central target, the </w:t>
      </w:r>
      <w:proofErr w:type="spellStart"/>
      <w:r>
        <w:rPr>
          <w:rFonts w:ascii="Google Sans" w:eastAsia="Google Sans" w:hAnsi="Google Sans" w:cs="Google Sans"/>
          <w:color w:val="1F1F1F"/>
        </w:rPr>
        <w:t>Ledoit</w:t>
      </w:r>
      <w:proofErr w:type="spellEnd"/>
      <w:r>
        <w:rPr>
          <w:rFonts w:ascii="Google Sans" w:eastAsia="Google Sans" w:hAnsi="Google Sans" w:cs="Google Sans"/>
          <w:color w:val="1F1F1F"/>
        </w:rPr>
        <w:t>-Wolf method optimizes the signal-to-noise ratio, significantly reducing estimation error and enhancing the temporal stability of the covariance matrix.</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This stabilization directly translates into lower portfolio turnover, as the clustering algorithm is less likely to re-order the asset hierarchy based on transient statistical noise.</w:t>
      </w:r>
      <w:r>
        <w:rPr>
          <w:rFonts w:ascii="Google Sans" w:eastAsia="Google Sans" w:hAnsi="Google Sans" w:cs="Google Sans"/>
          <w:color w:val="444746"/>
          <w:sz w:val="24"/>
          <w:szCs w:val="24"/>
          <w:vertAlign w:val="superscript"/>
        </w:rPr>
        <w:t>32</w:t>
      </w:r>
    </w:p>
    <w:p w14:paraId="6344787D" w14:textId="77777777" w:rsidR="000204E1"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1.2 Implementing the Gerber Statistic for Robust Co-Movement</w:t>
      </w:r>
    </w:p>
    <w:p w14:paraId="54CF48BF"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While shrinkage improves the conditioning of the matrix, it still relies on the fundamental calculation of Pearson correlation, which is highly sensitive to outliers and assumes a linear relationship between asset returns. To completely insulate the hierarchical clustering process from the distorting effects of extreme, transient anomalies, the framework must implement </w:t>
      </w:r>
      <w:r>
        <w:rPr>
          <w:rFonts w:ascii="Google Sans" w:eastAsia="Google Sans" w:hAnsi="Google Sans" w:cs="Google Sans"/>
          <w:color w:val="1F1F1F"/>
        </w:rPr>
        <w:lastRenderedPageBreak/>
        <w:t>the Gerber Statistic.</w:t>
      </w:r>
      <w:r>
        <w:rPr>
          <w:rFonts w:ascii="Google Sans" w:eastAsia="Google Sans" w:hAnsi="Google Sans" w:cs="Google Sans"/>
          <w:color w:val="444746"/>
          <w:sz w:val="24"/>
          <w:szCs w:val="24"/>
          <w:vertAlign w:val="superscript"/>
        </w:rPr>
        <w:t>34</w:t>
      </w:r>
    </w:p>
    <w:p w14:paraId="2F26B276" w14:textId="77777777" w:rsidR="000204E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Gerber Statistic is a robust measure of co-movement that filters out small, noisy fluctuations and focuses exclusively on simultaneous large movements that breach a predefined threshold.</w:t>
      </w:r>
      <w:r>
        <w:rPr>
          <w:rFonts w:ascii="Google Sans" w:eastAsia="Google Sans" w:hAnsi="Google Sans" w:cs="Google Sans"/>
          <w:color w:val="444746"/>
          <w:sz w:val="24"/>
          <w:szCs w:val="24"/>
          <w:vertAlign w:val="superscript"/>
        </w:rPr>
        <w:t>35</w:t>
      </w:r>
      <w:r>
        <w:rPr>
          <w:rFonts w:ascii="Google Sans" w:eastAsia="Google Sans" w:hAnsi="Google Sans" w:cs="Google Sans"/>
          <w:color w:val="1F1F1F"/>
        </w:rPr>
        <w:t xml:space="preserve"> For two asset return series, </w:t>
      </w:r>
      <w:r>
        <w:rPr>
          <w:rFonts w:ascii="Google Sans" w:eastAsia="Google Sans" w:hAnsi="Google Sans" w:cs="Google Sans"/>
          <w:noProof/>
          <w:color w:val="1F1F1F"/>
        </w:rPr>
        <w:drawing>
          <wp:inline distT="19050" distB="19050" distL="19050" distR="19050" wp14:anchorId="1B9C0248" wp14:editId="4B105621">
            <wp:extent cx="67649" cy="270596"/>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67649" cy="270596"/>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4CC4FEE3" wp14:editId="3C732E92">
            <wp:extent cx="91868" cy="233845"/>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91868" cy="233845"/>
                    </a:xfrm>
                    <a:prstGeom prst="rect">
                      <a:avLst/>
                    </a:prstGeom>
                    <a:ln/>
                  </pic:spPr>
                </pic:pic>
              </a:graphicData>
            </a:graphic>
          </wp:inline>
        </w:drawing>
      </w:r>
      <w:r>
        <w:rPr>
          <w:rFonts w:ascii="Google Sans" w:eastAsia="Google Sans" w:hAnsi="Google Sans" w:cs="Google Sans"/>
          <w:color w:val="1F1F1F"/>
        </w:rPr>
        <w:t xml:space="preserve">, the Gerber correlation </w:t>
      </w:r>
      <w:r>
        <w:rPr>
          <w:rFonts w:ascii="Google Sans" w:eastAsia="Google Sans" w:hAnsi="Google Sans" w:cs="Google Sans"/>
          <w:noProof/>
          <w:color w:val="1F1F1F"/>
        </w:rPr>
        <w:drawing>
          <wp:inline distT="19050" distB="19050" distL="19050" distR="19050" wp14:anchorId="29CE644B" wp14:editId="6DEA4F22">
            <wp:extent cx="253008" cy="244283"/>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253008" cy="244283"/>
                    </a:xfrm>
                    <a:prstGeom prst="rect">
                      <a:avLst/>
                    </a:prstGeom>
                    <a:ln/>
                  </pic:spPr>
                </pic:pic>
              </a:graphicData>
            </a:graphic>
          </wp:inline>
        </w:drawing>
      </w:r>
      <w:r>
        <w:rPr>
          <w:rFonts w:ascii="Google Sans" w:eastAsia="Google Sans" w:hAnsi="Google Sans" w:cs="Google Sans"/>
          <w:color w:val="1F1F1F"/>
        </w:rPr>
        <w:t xml:space="preserve"> is defined based on a threshold </w:t>
      </w:r>
      <w:r>
        <w:rPr>
          <w:rFonts w:ascii="Google Sans" w:eastAsia="Google Sans" w:hAnsi="Google Sans" w:cs="Google Sans"/>
          <w:noProof/>
          <w:color w:val="1F1F1F"/>
        </w:rPr>
        <w:drawing>
          <wp:inline distT="19050" distB="19050" distL="19050" distR="19050" wp14:anchorId="50EACCE7" wp14:editId="5AC39601">
            <wp:extent cx="107697" cy="251294"/>
            <wp:effectExtent l="0" t="0" r="0" b="0"/>
            <wp:docPr id="1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9"/>
                    <a:srcRect/>
                    <a:stretch>
                      <a:fillRect/>
                    </a:stretch>
                  </pic:blipFill>
                  <pic:spPr>
                    <a:xfrm>
                      <a:off x="0" y="0"/>
                      <a:ext cx="107697" cy="251294"/>
                    </a:xfrm>
                    <a:prstGeom prst="rect">
                      <a:avLst/>
                    </a:prstGeom>
                    <a:ln/>
                  </pic:spPr>
                </pic:pic>
              </a:graphicData>
            </a:graphic>
          </wp:inline>
        </w:drawing>
      </w:r>
      <w:r>
        <w:rPr>
          <w:rFonts w:ascii="Google Sans" w:eastAsia="Google Sans" w:hAnsi="Google Sans" w:cs="Google Sans"/>
          <w:color w:val="1F1F1F"/>
        </w:rPr>
        <w:t xml:space="preserve">, which is typically set as a proportion of the individual asset's historical standard deviation (e.g., </w:t>
      </w:r>
      <w:r>
        <w:rPr>
          <w:rFonts w:ascii="Google Sans" w:eastAsia="Google Sans" w:hAnsi="Google Sans" w:cs="Google Sans"/>
          <w:noProof/>
          <w:color w:val="1F1F1F"/>
        </w:rPr>
        <w:drawing>
          <wp:inline distT="19050" distB="19050" distL="19050" distR="19050" wp14:anchorId="1C5E8745" wp14:editId="717832E9">
            <wp:extent cx="738188" cy="243168"/>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738188" cy="243168"/>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 xml:space="preserve"> The statistic evaluates the joint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 xml:space="preserve"> of the assets: if both assets simultaneously experience returns that exceed their respective positive thresholds, or both fall below their negative thresholds, the movement is classified as concordant. If one asset breaches the positive threshold while the other breaches the negative threshold, the movement is discordant. Returns that fall within the bounds of the threshold are discarded as noise.</w:t>
      </w:r>
    </w:p>
    <w:p w14:paraId="7A9921FE" w14:textId="77777777" w:rsidR="000204E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Gerber correlation is then calculated as the ratio of the difference between concordant and discordant movements to their sum:</w:t>
      </w:r>
    </w:p>
    <w:p w14:paraId="5FBA1844" w14:textId="77777777" w:rsidR="000204E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2B461479" wp14:editId="3A8C3B4D">
            <wp:extent cx="5905500" cy="668888"/>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905500" cy="668888"/>
                    </a:xfrm>
                    <a:prstGeom prst="rect">
                      <a:avLst/>
                    </a:prstGeom>
                    <a:ln/>
                  </pic:spPr>
                </pic:pic>
              </a:graphicData>
            </a:graphic>
          </wp:inline>
        </w:drawing>
      </w:r>
    </w:p>
    <w:p w14:paraId="0141C073" w14:textId="77777777" w:rsidR="000204E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where </w:t>
      </w:r>
      <w:r>
        <w:rPr>
          <w:rFonts w:ascii="Google Sans" w:eastAsia="Google Sans" w:hAnsi="Google Sans" w:cs="Google Sans"/>
          <w:noProof/>
          <w:color w:val="1F1F1F"/>
        </w:rPr>
        <w:drawing>
          <wp:inline distT="19050" distB="19050" distL="19050" distR="19050" wp14:anchorId="30CBCE8B" wp14:editId="15BF6E9C">
            <wp:extent cx="226489" cy="243912"/>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26489" cy="243912"/>
                    </a:xfrm>
                    <a:prstGeom prst="rect">
                      <a:avLst/>
                    </a:prstGeom>
                    <a:ln/>
                  </pic:spPr>
                </pic:pic>
              </a:graphicData>
            </a:graphic>
          </wp:inline>
        </w:drawing>
      </w:r>
      <w:r>
        <w:rPr>
          <w:rFonts w:ascii="Google Sans" w:eastAsia="Google Sans" w:hAnsi="Google Sans" w:cs="Google Sans"/>
          <w:color w:val="1F1F1F"/>
        </w:rPr>
        <w:t xml:space="preserve"> is the total count of concordant joint movements and </w:t>
      </w:r>
      <w:r>
        <w:rPr>
          <w:rFonts w:ascii="Google Sans" w:eastAsia="Google Sans" w:hAnsi="Google Sans" w:cs="Google Sans"/>
          <w:noProof/>
          <w:color w:val="1F1F1F"/>
        </w:rPr>
        <w:drawing>
          <wp:inline distT="19050" distB="19050" distL="19050" distR="19050" wp14:anchorId="6C030E6B" wp14:editId="4C4CFE1B">
            <wp:extent cx="238396" cy="247225"/>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38396" cy="247225"/>
                    </a:xfrm>
                    <a:prstGeom prst="rect">
                      <a:avLst/>
                    </a:prstGeom>
                    <a:ln/>
                  </pic:spPr>
                </pic:pic>
              </a:graphicData>
            </a:graphic>
          </wp:inline>
        </w:drawing>
      </w:r>
      <w:r>
        <w:rPr>
          <w:rFonts w:ascii="Google Sans" w:eastAsia="Google Sans" w:hAnsi="Google Sans" w:cs="Google Sans"/>
          <w:color w:val="1F1F1F"/>
        </w:rPr>
        <w:t xml:space="preserve"> is the total count of discordant movements over the observation window.</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 xml:space="preserve"> Integrating the Gerber covariance matrix into the HRP pipeline fundamentally alters the resulting dendrogram.</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 xml:space="preserve"> Because the Gerber statistic isolates structural, large-scale co-movements, the clustering algorithm identifies genuine, persistent relationships between asset classes and sectors.</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 This ensures that the portfolio's diversification structure remains intact during market shocks, as the underlying distance metrics were formulated specifically on the basis of significant tail </w:t>
      </w:r>
      <w:proofErr w:type="spellStart"/>
      <w:r>
        <w:rPr>
          <w:rFonts w:ascii="Google Sans" w:eastAsia="Google Sans" w:hAnsi="Google Sans" w:cs="Google Sans"/>
          <w:color w:val="1F1F1F"/>
        </w:rPr>
        <w:t>behaviors</w:t>
      </w:r>
      <w:proofErr w:type="spellEnd"/>
      <w:r>
        <w:rPr>
          <w:rFonts w:ascii="Google Sans" w:eastAsia="Google Sans" w:hAnsi="Google Sans" w:cs="Google Sans"/>
          <w:color w:val="1F1F1F"/>
        </w:rPr>
        <w:t xml:space="preserve"> rather than daily random walks.</w:t>
      </w:r>
    </w:p>
    <w:p w14:paraId="5280A3CA" w14:textId="77777777" w:rsidR="000204E1"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2. Refining the Allocation Algorithm: From HRP to HERC</w:t>
      </w:r>
    </w:p>
    <w:p w14:paraId="2C185613"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original architectural blueprint correctly identifies Hierarchical Risk Parity (HRP) as the core methodology.</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HRP operates through three distinct stages.</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 xml:space="preserve"> First, it calculates the distance matrix (now enhanced via the Gerber statistic). Second, it employs a hierarchical clustering algorithm—typically single-linkage—to group similar assets, resulting in a tree-like structure known as a dendrogram, which is used to quasi-diagonalize the covariance matrix so that highly correlated assets are placed adjacent to one another.</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Third, it executes recursive bisection, a top-down process that splits the ordered covariance matrix into two equal-sized halves at each iteration, calculating the inverse variance of each half to determine the proportional risk allocation until the algorithm reaches the individual asset level.</w:t>
      </w:r>
      <w:r>
        <w:rPr>
          <w:rFonts w:ascii="Google Sans" w:eastAsia="Google Sans" w:hAnsi="Google Sans" w:cs="Google Sans"/>
          <w:color w:val="444746"/>
          <w:sz w:val="24"/>
          <w:szCs w:val="24"/>
          <w:vertAlign w:val="superscript"/>
        </w:rPr>
        <w:t>3</w:t>
      </w:r>
    </w:p>
    <w:p w14:paraId="3CAAE61A" w14:textId="77777777" w:rsidR="000204E1"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2.1 The Limitations of Recursive Bisection and Single Linkage</w:t>
      </w:r>
    </w:p>
    <w:p w14:paraId="034A4D10"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Despite its advantages over MVO, the original formulation of HRP contains two structural weaknesses that limit its application in institutional FRM. First, the default use of single-linkage clustering often results in the "chaining effect," where individual assets are added to a single large cluster one by one, producing a highly unbalanced dendrogram that fails to accurately reflect distinct macroeconomic sectors.</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 xml:space="preserve"> Second, the recursive bisection step naively splits the covariance matrix into two equal-sized sub-matrices at each node.</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This arbitrary bisection ignores the actual topological structure and linkage heights of the dendrogram; it effectively forces a symmetric allocation process onto a naturally asymmetric market structure.</w:t>
      </w:r>
      <w:r>
        <w:rPr>
          <w:rFonts w:ascii="Google Sans" w:eastAsia="Google Sans" w:hAnsi="Google Sans" w:cs="Google Sans"/>
          <w:color w:val="444746"/>
          <w:sz w:val="24"/>
          <w:szCs w:val="24"/>
          <w:vertAlign w:val="superscript"/>
        </w:rPr>
        <w:t>15</w:t>
      </w:r>
    </w:p>
    <w:p w14:paraId="547B1B94" w14:textId="77777777" w:rsidR="000204E1"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2.2 Transitioning to Hierarchical Equal Risk Contribution (HERC)</w:t>
      </w:r>
    </w:p>
    <w:p w14:paraId="11DDE286"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rectify these limitations, the framework must be upgraded to evaluate Hierarchical Equal Risk Contribution (HERC) alongside HRP.</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HERC represents a natural evolution of clustering-based portfolio allocation by explicitly utilizing the shape and linkage distances of the dendrogram during the top-down recursive division.</w:t>
      </w:r>
      <w:r>
        <w:rPr>
          <w:rFonts w:ascii="Google Sans" w:eastAsia="Google Sans" w:hAnsi="Google Sans" w:cs="Google Sans"/>
          <w:color w:val="444746"/>
          <w:sz w:val="24"/>
          <w:szCs w:val="24"/>
          <w:vertAlign w:val="superscript"/>
        </w:rPr>
        <w:t>23</w:t>
      </w:r>
    </w:p>
    <w:p w14:paraId="0847EC6D"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Rather than relying on single linkage, HERC typically employs Ward's variance minimization algorithm, which merges clusters based on the minimum increase in total within-cluster variance.</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xml:space="preserve"> This produces much more balanced, cohesive, and economically intuitive clusters that naturally align with specific sectors or asset classes (e.g., grouping all financial equities and ETFs into one distinct branch, and commodities into another).</w:t>
      </w:r>
      <w:r>
        <w:rPr>
          <w:rFonts w:ascii="Google Sans" w:eastAsia="Google Sans" w:hAnsi="Google Sans" w:cs="Google Sans"/>
          <w:color w:val="444746"/>
          <w:sz w:val="24"/>
          <w:szCs w:val="24"/>
          <w:vertAlign w:val="superscript"/>
        </w:rPr>
        <w:t>26</w:t>
      </w:r>
    </w:p>
    <w:p w14:paraId="4A45B87C"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Crucially, instead of arbitrary bisection, HERC allocates risk top-down by calculating the actual risk contribution of the natural clusters identified by the linkage algorithm.</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The algorithm distributes risk equally across the major branches of the dendrogram, and then cascades this equal-risk-contribution principle down through the sub-clusters until the individual asset weights are derived.</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xml:space="preserve"> This methodology ensures a mathematically rigorous and theoretically consistent mapping of risk across the portfolio's hierarchical sectors, providing a superior </w:t>
      </w:r>
      <w:proofErr w:type="spellStart"/>
      <w:r>
        <w:rPr>
          <w:rFonts w:ascii="Google Sans" w:eastAsia="Google Sans" w:hAnsi="Google Sans" w:cs="Google Sans"/>
          <w:color w:val="1F1F1F"/>
        </w:rPr>
        <w:t>defense</w:t>
      </w:r>
      <w:proofErr w:type="spellEnd"/>
      <w:r>
        <w:rPr>
          <w:rFonts w:ascii="Google Sans" w:eastAsia="Google Sans" w:hAnsi="Google Sans" w:cs="Google Sans"/>
          <w:color w:val="1F1F1F"/>
        </w:rPr>
        <w:t xml:space="preserve"> against localized sectoral shocks compared to basic HRP.</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By leveraging the Python library </w:t>
      </w:r>
      <w:proofErr w:type="spellStart"/>
      <w:r>
        <w:rPr>
          <w:rFonts w:ascii="Google Sans" w:eastAsia="Google Sans" w:hAnsi="Google Sans" w:cs="Google Sans"/>
          <w:color w:val="1F1F1F"/>
        </w:rPr>
        <w:t>skfolio</w:t>
      </w:r>
      <w:proofErr w:type="spellEnd"/>
      <w:r>
        <w:rPr>
          <w:rFonts w:ascii="Google Sans" w:eastAsia="Google Sans" w:hAnsi="Google Sans" w:cs="Google Sans"/>
          <w:color w:val="1F1F1F"/>
        </w:rPr>
        <w:t xml:space="preserve">, which natively supports both </w:t>
      </w:r>
      <w:proofErr w:type="spellStart"/>
      <w:r>
        <w:rPr>
          <w:rFonts w:ascii="Google Sans" w:eastAsia="Google Sans" w:hAnsi="Google Sans" w:cs="Google Sans"/>
          <w:color w:val="1F1F1F"/>
        </w:rPr>
        <w:t>HierarchicalRiskParity</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HierarchicalEqualRiskContribution</w:t>
      </w:r>
      <w:proofErr w:type="spellEnd"/>
      <w:r>
        <w:rPr>
          <w:rFonts w:ascii="Google Sans" w:eastAsia="Google Sans" w:hAnsi="Google Sans" w:cs="Google Sans"/>
          <w:color w:val="1F1F1F"/>
        </w:rPr>
        <w:t>, the architecture can easily evaluate and deploy the most structurally sound model.</w:t>
      </w:r>
      <w:r>
        <w:rPr>
          <w:rFonts w:ascii="Google Sans" w:eastAsia="Google Sans" w:hAnsi="Google Sans" w:cs="Google Sans"/>
          <w:color w:val="444746"/>
          <w:sz w:val="24"/>
          <w:szCs w:val="24"/>
          <w:vertAlign w:val="superscript"/>
        </w:rPr>
        <w:t>18</w:t>
      </w:r>
    </w:p>
    <w:p w14:paraId="6FC3514C" w14:textId="77777777" w:rsidR="000204E1"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3. Real-World Constraints: Transaction Costs and Turnover Optimization</w:t>
      </w:r>
    </w:p>
    <w:p w14:paraId="3312D229"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persistent failure point of theoretical quantitative finance is the assumption of frictionless markets.</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Academic models frequently generate highly attractive historical Sharpe ratios by dynamically shifting allocations daily or weekly.</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However, in live deployment, high-turnover strategies swiftly erode their theoretical alpha through the continuous accumulation of transaction costs, brokerage fees, bid-ask spreads, and market impact.</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A portfolio management project designed with genuine FRM business sense must explicitly model these </w:t>
      </w:r>
      <w:r>
        <w:rPr>
          <w:rFonts w:ascii="Google Sans" w:eastAsia="Google Sans" w:hAnsi="Google Sans" w:cs="Google Sans"/>
          <w:color w:val="1F1F1F"/>
        </w:rPr>
        <w:lastRenderedPageBreak/>
        <w:t>frictions, preventing the algorithm from chasing fleeting correlation breakdowns that are mathematically optimal but practically unprofitable to exploit.</w:t>
      </w:r>
      <w:r>
        <w:rPr>
          <w:rFonts w:ascii="Google Sans" w:eastAsia="Google Sans" w:hAnsi="Google Sans" w:cs="Google Sans"/>
          <w:color w:val="444746"/>
          <w:sz w:val="24"/>
          <w:szCs w:val="24"/>
          <w:vertAlign w:val="superscript"/>
        </w:rPr>
        <w:t>27</w:t>
      </w:r>
    </w:p>
    <w:p w14:paraId="74154AFB" w14:textId="77777777" w:rsidR="000204E1"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 xml:space="preserve">3.1 </w:t>
      </w:r>
      <w:proofErr w:type="spellStart"/>
      <w:r>
        <w:rPr>
          <w:rFonts w:ascii="Google Sans" w:eastAsia="Google Sans" w:hAnsi="Google Sans" w:cs="Google Sans"/>
          <w:color w:val="1F1F1F"/>
        </w:rPr>
        <w:t>Modeling</w:t>
      </w:r>
      <w:proofErr w:type="spellEnd"/>
      <w:r>
        <w:rPr>
          <w:rFonts w:ascii="Google Sans" w:eastAsia="Google Sans" w:hAnsi="Google Sans" w:cs="Google Sans"/>
          <w:color w:val="1F1F1F"/>
        </w:rPr>
        <w:t xml:space="preserve"> Weight Drift and Rebalancing Frictions</w:t>
      </w:r>
    </w:p>
    <w:p w14:paraId="6FEA6216" w14:textId="77777777" w:rsidR="000204E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 a dynamic market, the actual weights of a portfolio constantly drift away from their target allocations due to the continuous fluctuation of underlying asset prices.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If a portfolio manager sets a monthly rebalancing schedule, the optimization algorithm must account for the current, drifted state of the portfolio before generating new target weights. If the marginal reduction in forecasted portfolio risk offered by the new optimal weights does not exceed the financial cost required to execute the necessary trades, the optimal decision from an FRM perspective is to retain the existing, drifted allocations.</w:t>
      </w:r>
    </w:p>
    <w:p w14:paraId="0DC1DD35"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align with institutional standards, the objective function must be modified from a pure risk-minimization problem to a net-of-costs optimization framework.</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By utilizing the comprehensive constraint features of the </w:t>
      </w:r>
      <w:proofErr w:type="spellStart"/>
      <w:r>
        <w:rPr>
          <w:rFonts w:ascii="Google Sans" w:eastAsia="Google Sans" w:hAnsi="Google Sans" w:cs="Google Sans"/>
          <w:color w:val="1F1F1F"/>
        </w:rPr>
        <w:t>skfolio</w:t>
      </w:r>
      <w:proofErr w:type="spellEnd"/>
      <w:r>
        <w:rPr>
          <w:rFonts w:ascii="Google Sans" w:eastAsia="Google Sans" w:hAnsi="Google Sans" w:cs="Google Sans"/>
          <w:color w:val="1F1F1F"/>
        </w:rPr>
        <w:t xml:space="preserve"> library, transaction costs and management fees can be directly embedded into the optimization logic.</w:t>
      </w:r>
      <w:r>
        <w:rPr>
          <w:rFonts w:ascii="Google Sans" w:eastAsia="Google Sans" w:hAnsi="Google Sans" w:cs="Google Sans"/>
          <w:color w:val="444746"/>
          <w:sz w:val="24"/>
          <w:szCs w:val="24"/>
          <w:vertAlign w:val="superscript"/>
        </w:rPr>
        <w:t>6</w:t>
      </w:r>
    </w:p>
    <w:p w14:paraId="614FED6E"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Let </w:t>
      </w:r>
      <w:r>
        <w:rPr>
          <w:rFonts w:ascii="Google Sans" w:eastAsia="Google Sans" w:hAnsi="Google Sans" w:cs="Google Sans"/>
          <w:noProof/>
          <w:color w:val="1F1F1F"/>
        </w:rPr>
        <w:drawing>
          <wp:inline distT="19050" distB="19050" distL="19050" distR="19050" wp14:anchorId="40BD268E" wp14:editId="337CD9C6">
            <wp:extent cx="199565" cy="242949"/>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199565" cy="242949"/>
                    </a:xfrm>
                    <a:prstGeom prst="rect">
                      <a:avLst/>
                    </a:prstGeom>
                    <a:ln/>
                  </pic:spPr>
                </pic:pic>
              </a:graphicData>
            </a:graphic>
          </wp:inline>
        </w:drawing>
      </w:r>
      <w:r>
        <w:rPr>
          <w:rFonts w:ascii="Google Sans" w:eastAsia="Google Sans" w:hAnsi="Google Sans" w:cs="Google Sans"/>
          <w:color w:val="1F1F1F"/>
        </w:rPr>
        <w:t xml:space="preserve"> represent the optimal target weight vector at time </w:t>
      </w:r>
      <w:r>
        <w:rPr>
          <w:rFonts w:ascii="Google Sans" w:eastAsia="Google Sans" w:hAnsi="Google Sans" w:cs="Google Sans"/>
          <w:noProof/>
          <w:color w:val="1F1F1F"/>
        </w:rPr>
        <w:drawing>
          <wp:inline distT="19050" distB="19050" distL="19050" distR="19050" wp14:anchorId="57BB3FA5" wp14:editId="4585780E">
            <wp:extent cx="70761" cy="283044"/>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70761" cy="283044"/>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2C5B8622" wp14:editId="4E35800C">
            <wp:extent cx="306315" cy="245052"/>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06315" cy="245052"/>
                    </a:xfrm>
                    <a:prstGeom prst="rect">
                      <a:avLst/>
                    </a:prstGeom>
                    <a:ln/>
                  </pic:spPr>
                </pic:pic>
              </a:graphicData>
            </a:graphic>
          </wp:inline>
        </w:drawing>
      </w:r>
      <w:r>
        <w:rPr>
          <w:rFonts w:ascii="Google Sans" w:eastAsia="Google Sans" w:hAnsi="Google Sans" w:cs="Google Sans"/>
          <w:color w:val="1F1F1F"/>
        </w:rPr>
        <w:t xml:space="preserve"> represent the pre-rebalance weights resulting from the price drift over the previous holding period.</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The total portfolio turnover is defined as the sum of the absolute differences in weights: </w:t>
      </w:r>
      <w:r>
        <w:rPr>
          <w:rFonts w:ascii="Google Sans" w:eastAsia="Google Sans" w:hAnsi="Google Sans" w:cs="Google Sans"/>
          <w:noProof/>
          <w:color w:val="1F1F1F"/>
        </w:rPr>
        <w:drawing>
          <wp:inline distT="19050" distB="19050" distL="19050" distR="19050" wp14:anchorId="757E20F3" wp14:editId="02C30D42">
            <wp:extent cx="1264768" cy="242558"/>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1264768" cy="242558"/>
                    </a:xfrm>
                    <a:prstGeom prst="rect">
                      <a:avLst/>
                    </a:prstGeom>
                    <a:ln/>
                  </pic:spPr>
                </pic:pic>
              </a:graphicData>
            </a:graphic>
          </wp:inline>
        </w:drawing>
      </w:r>
      <w:r>
        <w:rPr>
          <w:rFonts w:ascii="Google Sans" w:eastAsia="Google Sans" w:hAnsi="Google Sans" w:cs="Google Sans"/>
          <w:color w:val="1F1F1F"/>
        </w:rPr>
        <w:t>. The transaction cost constraint penalizes the objective function based on a specific vector of trading costs associated with each asset.</w:t>
      </w:r>
      <w:r>
        <w:rPr>
          <w:rFonts w:ascii="Google Sans" w:eastAsia="Google Sans" w:hAnsi="Google Sans" w:cs="Google Sans"/>
          <w:color w:val="444746"/>
          <w:sz w:val="24"/>
          <w:szCs w:val="24"/>
          <w:vertAlign w:val="superscript"/>
        </w:rPr>
        <w:t>45</w:t>
      </w:r>
      <w:r>
        <w:rPr>
          <w:rFonts w:ascii="Google Sans" w:eastAsia="Google Sans" w:hAnsi="Google Sans" w:cs="Google Sans"/>
          <w:color w:val="1F1F1F"/>
        </w:rPr>
        <w:t xml:space="preserve"> For the Indian equity and ETF universe, realistic assumptions must include a transaction cost of approximately 10 to 15 basis points (0.10% - 0.15%) per trade.</w:t>
      </w:r>
      <w:r>
        <w:rPr>
          <w:rFonts w:ascii="Google Sans" w:eastAsia="Google Sans" w:hAnsi="Google Sans" w:cs="Google Sans"/>
          <w:color w:val="444746"/>
          <w:sz w:val="24"/>
          <w:szCs w:val="24"/>
          <w:vertAlign w:val="superscript"/>
        </w:rPr>
        <w:t>43</w:t>
      </w:r>
      <w:r>
        <w:rPr>
          <w:rFonts w:ascii="Google Sans" w:eastAsia="Google Sans" w:hAnsi="Google Sans" w:cs="Google Sans"/>
          <w:color w:val="1F1F1F"/>
        </w:rPr>
        <w:t xml:space="preserve"> This figure accurately reflects the aggregate burden of standard institutional brokerage fees, the Securities Transaction Tax (STT) applicable in the Indian market, exchange transaction charges, and anticipated slippage.</w:t>
      </w:r>
      <w:r>
        <w:rPr>
          <w:rFonts w:ascii="Google Sans" w:eastAsia="Google Sans" w:hAnsi="Google Sans" w:cs="Google Sans"/>
          <w:color w:val="444746"/>
          <w:sz w:val="24"/>
          <w:szCs w:val="24"/>
          <w:vertAlign w:val="superscript"/>
        </w:rPr>
        <w:t>43</w:t>
      </w:r>
    </w:p>
    <w:p w14:paraId="5254711F"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Furthermore, the architecture can enforce a strict maximum turnover limit (e.g., restricting total monthly portfolio turnover to a maximum of 20%).</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By invoking </w:t>
      </w:r>
      <w:proofErr w:type="spellStart"/>
      <w:r>
        <w:rPr>
          <w:rFonts w:ascii="Google Sans" w:eastAsia="Google Sans" w:hAnsi="Google Sans" w:cs="Google Sans"/>
          <w:color w:val="1F1F1F"/>
        </w:rPr>
        <w:t>skfolio's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needs_previous_weights</w:t>
      </w:r>
      <w:proofErr w:type="spellEnd"/>
      <w:r>
        <w:rPr>
          <w:rFonts w:ascii="Google Sans" w:eastAsia="Google Sans" w:hAnsi="Google Sans" w:cs="Google Sans"/>
          <w:color w:val="1F1F1F"/>
        </w:rPr>
        <w:t xml:space="preserve"> parameter during the cross-validation process, the backtesting engine is forced to run sequentially, continuously passing the post-drift weights from one rebalancing period to the next.</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This ensures that the simulated historical performance is a true reflection of deployable, net-of-fee capital growth, establishing a standard of rigor rarely seen in standard academic projects.</w:t>
      </w:r>
      <w:r>
        <w:rPr>
          <w:rFonts w:ascii="Google Sans" w:eastAsia="Google Sans" w:hAnsi="Google Sans" w:cs="Google Sans"/>
          <w:color w:val="444746"/>
          <w:sz w:val="24"/>
          <w:szCs w:val="24"/>
          <w:vertAlign w:val="superscript"/>
        </w:rPr>
        <w:t>16</w:t>
      </w:r>
    </w:p>
    <w:p w14:paraId="0C849C24" w14:textId="77777777" w:rsidR="000204E1"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4. Market Regime Detection and Dynamic Volatility Targeting</w:t>
      </w:r>
    </w:p>
    <w:p w14:paraId="5666B771"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Static asset allocation models operate on the assumption of a stationary return distribution—an assumption that is consistently and violently violated in global financial markets.</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Financial history is characterized by alternating regimes: prolonged periods of low volatility and steady growth (bull markets) punctuated by sudden, violent transitions into high volatility, high </w:t>
      </w:r>
      <w:r>
        <w:rPr>
          <w:rFonts w:ascii="Google Sans" w:eastAsia="Google Sans" w:hAnsi="Google Sans" w:cs="Google Sans"/>
          <w:color w:val="1F1F1F"/>
        </w:rPr>
        <w:lastRenderedPageBreak/>
        <w:t>correlation, and severe drawdowns (crises).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While hierarchical clustering improves risk distribution across assets, any strategy that maintains a static exposure level will suffer massive absolute capital losses during a systemic shock.</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To survive these structural breaks, the portfolio architecture requires a probabilistic intelligence layer capable of parsing non-linear market regimes and dynamically adapting the aggregate risk posture.</w:t>
      </w:r>
      <w:r>
        <w:rPr>
          <w:rFonts w:ascii="Google Sans" w:eastAsia="Google Sans" w:hAnsi="Google Sans" w:cs="Google Sans"/>
          <w:color w:val="444746"/>
          <w:sz w:val="24"/>
          <w:szCs w:val="24"/>
          <w:vertAlign w:val="superscript"/>
        </w:rPr>
        <w:t>7</w:t>
      </w:r>
    </w:p>
    <w:p w14:paraId="3D9843E4" w14:textId="77777777" w:rsidR="000204E1"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4.1 Markov-Switching Autoregression Models</w:t>
      </w:r>
    </w:p>
    <w:p w14:paraId="15715381" w14:textId="49B6676E"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identify underlying market regimes without relying on arbitrary, lagging moving averages or fixed rolling-window thresholds, the framework must deploy probabilistic regime-switching models.</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xml:space="preserve"> The Markov Autoregression model provides a mathematically rigorous foundation for this component, allowing the system to infer the hidden state of the market purely from the observable </w:t>
      </w:r>
      <w:r w:rsidR="00F36EF0">
        <w:rPr>
          <w:rFonts w:ascii="Google Sans" w:eastAsia="Google Sans" w:hAnsi="Google Sans" w:cs="Google Sans"/>
          <w:color w:val="1F1F1F"/>
        </w:rPr>
        <w:t>behaviour</w:t>
      </w:r>
      <w:r>
        <w:rPr>
          <w:rFonts w:ascii="Google Sans" w:eastAsia="Google Sans" w:hAnsi="Google Sans" w:cs="Google Sans"/>
          <w:color w:val="1F1F1F"/>
        </w:rPr>
        <w:t xml:space="preserve"> of asset returns.</w:t>
      </w:r>
      <w:r>
        <w:rPr>
          <w:rFonts w:ascii="Google Sans" w:eastAsia="Google Sans" w:hAnsi="Google Sans" w:cs="Google Sans"/>
          <w:color w:val="444746"/>
          <w:sz w:val="24"/>
          <w:szCs w:val="24"/>
          <w:vertAlign w:val="superscript"/>
        </w:rPr>
        <w:t>19</w:t>
      </w:r>
    </w:p>
    <w:p w14:paraId="379D2EE4" w14:textId="7DDAFA52" w:rsidR="000204E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core assumption is that the market environment is governed by </w:t>
      </w:r>
      <w:r w:rsidR="00F36EF0">
        <w:rPr>
          <w:rFonts w:ascii="Google Sans" w:eastAsia="Google Sans" w:hAnsi="Google Sans" w:cs="Google Sans"/>
          <w:color w:val="1F1F1F"/>
        </w:rPr>
        <w:t xml:space="preserve">K </w:t>
      </w:r>
      <w:r>
        <w:rPr>
          <w:rFonts w:ascii="Google Sans" w:eastAsia="Google Sans" w:hAnsi="Google Sans" w:cs="Google Sans"/>
          <w:color w:val="1F1F1F"/>
        </w:rPr>
        <w:t xml:space="preserve">distinct, unobservable states. For example, setting </w:t>
      </w:r>
      <w:r>
        <w:rPr>
          <w:rFonts w:ascii="Google Sans" w:eastAsia="Google Sans" w:hAnsi="Google Sans" w:cs="Google Sans"/>
          <w:noProof/>
          <w:color w:val="1F1F1F"/>
        </w:rPr>
        <w:drawing>
          <wp:inline distT="19050" distB="19050" distL="19050" distR="19050" wp14:anchorId="25953682" wp14:editId="6858F310">
            <wp:extent cx="467456" cy="246958"/>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467456" cy="246958"/>
                    </a:xfrm>
                    <a:prstGeom prst="rect">
                      <a:avLst/>
                    </a:prstGeom>
                    <a:ln/>
                  </pic:spPr>
                </pic:pic>
              </a:graphicData>
            </a:graphic>
          </wp:inline>
        </w:drawing>
      </w:r>
      <w:r>
        <w:rPr>
          <w:rFonts w:ascii="Google Sans" w:eastAsia="Google Sans" w:hAnsi="Google Sans" w:cs="Google Sans"/>
          <w:color w:val="1F1F1F"/>
        </w:rPr>
        <w:t xml:space="preserve"> models the market as fluctuating between a Low-Volatility/Expansion regime and a High-Volatility/Contraction regime, while </w:t>
      </w:r>
      <w:r>
        <w:rPr>
          <w:rFonts w:ascii="Google Sans" w:eastAsia="Google Sans" w:hAnsi="Google Sans" w:cs="Google Sans"/>
          <w:noProof/>
          <w:color w:val="1F1F1F"/>
        </w:rPr>
        <w:drawing>
          <wp:inline distT="19050" distB="19050" distL="19050" distR="19050" wp14:anchorId="3771A4D9" wp14:editId="1DCDF239">
            <wp:extent cx="467456" cy="246958"/>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467456" cy="246958"/>
                    </a:xfrm>
                    <a:prstGeom prst="rect">
                      <a:avLst/>
                    </a:prstGeom>
                    <a:ln/>
                  </pic:spPr>
                </pic:pic>
              </a:graphicData>
            </a:graphic>
          </wp:inline>
        </w:drawing>
      </w:r>
      <w:r>
        <w:rPr>
          <w:rFonts w:ascii="Google Sans" w:eastAsia="Google Sans" w:hAnsi="Google Sans" w:cs="Google Sans"/>
          <w:color w:val="1F1F1F"/>
        </w:rPr>
        <w:t xml:space="preserve"> could introduce a distinct Correlation-Shock/Crisis state.</w:t>
      </w:r>
      <w:r>
        <w:rPr>
          <w:rFonts w:ascii="Google Sans" w:eastAsia="Google Sans" w:hAnsi="Google Sans" w:cs="Google Sans"/>
          <w:color w:val="444746"/>
          <w:sz w:val="24"/>
          <w:szCs w:val="24"/>
          <w:vertAlign w:val="superscript"/>
        </w:rPr>
        <w:t>51</w:t>
      </w:r>
      <w:r>
        <w:rPr>
          <w:rFonts w:ascii="Google Sans" w:eastAsia="Google Sans" w:hAnsi="Google Sans" w:cs="Google Sans"/>
          <w:color w:val="1F1F1F"/>
        </w:rPr>
        <w:t xml:space="preserve"> The state variable </w:t>
      </w:r>
      <w:r>
        <w:rPr>
          <w:rFonts w:ascii="Google Sans" w:eastAsia="Google Sans" w:hAnsi="Google Sans" w:cs="Google Sans"/>
          <w:noProof/>
          <w:color w:val="1F1F1F"/>
        </w:rPr>
        <w:drawing>
          <wp:inline distT="19050" distB="19050" distL="19050" distR="19050" wp14:anchorId="00D242F0" wp14:editId="1D5E9694">
            <wp:extent cx="179405" cy="251167"/>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179405" cy="251167"/>
                    </a:xfrm>
                    <a:prstGeom prst="rect">
                      <a:avLst/>
                    </a:prstGeom>
                    <a:ln/>
                  </pic:spPr>
                </pic:pic>
              </a:graphicData>
            </a:graphic>
          </wp:inline>
        </w:drawing>
      </w:r>
      <w:r>
        <w:rPr>
          <w:rFonts w:ascii="Google Sans" w:eastAsia="Google Sans" w:hAnsi="Google Sans" w:cs="Google Sans"/>
          <w:color w:val="1F1F1F"/>
        </w:rPr>
        <w:t xml:space="preserve"> dictates the mean and variance of the return distribution at any given time, and transitions between these states according to a Markov probability matrix </w:t>
      </w:r>
      <w:r>
        <w:rPr>
          <w:rFonts w:ascii="Google Sans" w:eastAsia="Google Sans" w:hAnsi="Google Sans" w:cs="Google Sans"/>
          <w:noProof/>
          <w:color w:val="1F1F1F"/>
        </w:rPr>
        <w:drawing>
          <wp:inline distT="19050" distB="19050" distL="19050" distR="19050" wp14:anchorId="50C377BE" wp14:editId="75D5A067">
            <wp:extent cx="153022" cy="252036"/>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153022" cy="252036"/>
                    </a:xfrm>
                    <a:prstGeom prst="rect">
                      <a:avLst/>
                    </a:prstGeom>
                    <a:ln/>
                  </pic:spPr>
                </pic:pic>
              </a:graphicData>
            </a:graphic>
          </wp:inline>
        </w:drawing>
      </w:r>
      <w:r>
        <w:rPr>
          <w:rFonts w:ascii="Google Sans" w:eastAsia="Google Sans" w:hAnsi="Google Sans" w:cs="Google Sans"/>
          <w:color w:val="1F1F1F"/>
        </w:rPr>
        <w:t>:</w:t>
      </w:r>
    </w:p>
    <w:p w14:paraId="241CAF0E" w14:textId="77777777" w:rsidR="000204E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1F7798FD" wp14:editId="4A34E844">
            <wp:extent cx="5905500" cy="518238"/>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905500" cy="518238"/>
                    </a:xfrm>
                    <a:prstGeom prst="rect">
                      <a:avLst/>
                    </a:prstGeom>
                    <a:ln/>
                  </pic:spPr>
                </pic:pic>
              </a:graphicData>
            </a:graphic>
          </wp:inline>
        </w:drawing>
      </w:r>
    </w:p>
    <w:p w14:paraId="7B7477D6"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where </w:t>
      </w:r>
      <w:r>
        <w:rPr>
          <w:rFonts w:ascii="Google Sans" w:eastAsia="Google Sans" w:hAnsi="Google Sans" w:cs="Google Sans"/>
          <w:noProof/>
          <w:color w:val="1F1F1F"/>
        </w:rPr>
        <w:drawing>
          <wp:inline distT="19050" distB="19050" distL="19050" distR="19050" wp14:anchorId="6ABF680B" wp14:editId="4C076B0D">
            <wp:extent cx="219860" cy="246243"/>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219860" cy="246243"/>
                    </a:xfrm>
                    <a:prstGeom prst="rect">
                      <a:avLst/>
                    </a:prstGeom>
                    <a:ln/>
                  </pic:spPr>
                </pic:pic>
              </a:graphicData>
            </a:graphic>
          </wp:inline>
        </w:drawing>
      </w:r>
      <w:r>
        <w:rPr>
          <w:rFonts w:ascii="Google Sans" w:eastAsia="Google Sans" w:hAnsi="Google Sans" w:cs="Google Sans"/>
          <w:color w:val="1F1F1F"/>
        </w:rPr>
        <w:t xml:space="preserve"> represents the transition probability of moving from regime </w:t>
      </w:r>
      <w:r>
        <w:rPr>
          <w:rFonts w:ascii="Google Sans" w:eastAsia="Google Sans" w:hAnsi="Google Sans" w:cs="Google Sans"/>
          <w:noProof/>
          <w:color w:val="1F1F1F"/>
        </w:rPr>
        <w:drawing>
          <wp:inline distT="19050" distB="19050" distL="19050" distR="19050" wp14:anchorId="53A2B1A1" wp14:editId="23855A83">
            <wp:extent cx="67649" cy="270596"/>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67649" cy="270596"/>
                    </a:xfrm>
                    <a:prstGeom prst="rect">
                      <a:avLst/>
                    </a:prstGeom>
                    <a:ln/>
                  </pic:spPr>
                </pic:pic>
              </a:graphicData>
            </a:graphic>
          </wp:inline>
        </w:drawing>
      </w:r>
      <w:r>
        <w:rPr>
          <w:rFonts w:ascii="Google Sans" w:eastAsia="Google Sans" w:hAnsi="Google Sans" w:cs="Google Sans"/>
          <w:color w:val="1F1F1F"/>
        </w:rPr>
        <w:t xml:space="preserve"> to regime </w:t>
      </w:r>
      <w:r>
        <w:rPr>
          <w:rFonts w:ascii="Google Sans" w:eastAsia="Google Sans" w:hAnsi="Google Sans" w:cs="Google Sans"/>
          <w:noProof/>
          <w:color w:val="1F1F1F"/>
        </w:rPr>
        <w:drawing>
          <wp:inline distT="19050" distB="19050" distL="19050" distR="19050" wp14:anchorId="4DEE1214" wp14:editId="413875D6">
            <wp:extent cx="91868" cy="233845"/>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91868" cy="233845"/>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51</w:t>
      </w:r>
    </w:p>
    <w:p w14:paraId="3E263F15"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By implementing </w:t>
      </w:r>
      <w:proofErr w:type="spellStart"/>
      <w:r>
        <w:rPr>
          <w:rFonts w:ascii="Google Sans" w:eastAsia="Google Sans" w:hAnsi="Google Sans" w:cs="Google Sans"/>
          <w:color w:val="1F1F1F"/>
        </w:rPr>
        <w:t>statsmodels.tsa.regime_switching.markov_autoregression</w:t>
      </w:r>
      <w:proofErr w:type="spellEnd"/>
      <w:r>
        <w:rPr>
          <w:rFonts w:ascii="Google Sans" w:eastAsia="Google Sans" w:hAnsi="Google Sans" w:cs="Google Sans"/>
          <w:color w:val="1F1F1F"/>
        </w:rPr>
        <w:t>, the analytical engine can process the historical return series of the broad market index to extract smoothed and filtered state probabilities.</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xml:space="preserve"> The Kim smoother and Hamilton filter algorithms work continuously to evaluate the likelihood that the market has transitioned into a new regime.</w:t>
      </w:r>
      <w:r>
        <w:rPr>
          <w:rFonts w:ascii="Google Sans" w:eastAsia="Google Sans" w:hAnsi="Google Sans" w:cs="Google Sans"/>
          <w:color w:val="444746"/>
          <w:sz w:val="24"/>
          <w:szCs w:val="24"/>
          <w:vertAlign w:val="superscript"/>
        </w:rPr>
        <w:t>52</w:t>
      </w:r>
      <w:r>
        <w:rPr>
          <w:rFonts w:ascii="Google Sans" w:eastAsia="Google Sans" w:hAnsi="Google Sans" w:cs="Google Sans"/>
          <w:color w:val="1F1F1F"/>
        </w:rPr>
        <w:t xml:space="preserve"> When the probability of existing within the high-volatility regime exceeds a specific confidence threshold, this probabilistic output serves as a direct, algorithmic trigger for the Dynamic Risk Allocation Layer.</w:t>
      </w:r>
      <w:r>
        <w:rPr>
          <w:rFonts w:ascii="Google Sans" w:eastAsia="Google Sans" w:hAnsi="Google Sans" w:cs="Google Sans"/>
          <w:color w:val="444746"/>
          <w:sz w:val="24"/>
          <w:szCs w:val="24"/>
          <w:vertAlign w:val="superscript"/>
        </w:rPr>
        <w:t>3</w:t>
      </w:r>
    </w:p>
    <w:p w14:paraId="5C4EE9A9" w14:textId="77777777" w:rsidR="000204E1"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4.2 Dynamic Volatility Targeting and Defensive Scaling</w:t>
      </w:r>
    </w:p>
    <w:p w14:paraId="5A66DAD9"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Risk parity methodologies, including HRP and HERC, inherently equalize risk contributions across the portfolio.</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In practice, this often requires applying leverage or increasing capital allocation to lower-volatility assets (such as bonds or defensive sectors) to match the risk contribution of high-volatility equities.</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However, during regime transitions, the absolute volatility of all asset classes typically surges simultaneously.</w:t>
      </w:r>
      <w:r>
        <w:rPr>
          <w:rFonts w:ascii="Google Sans" w:eastAsia="Google Sans" w:hAnsi="Google Sans" w:cs="Google Sans"/>
          <w:color w:val="444746"/>
          <w:sz w:val="24"/>
          <w:szCs w:val="24"/>
          <w:vertAlign w:val="superscript"/>
        </w:rPr>
        <w:t>20</w:t>
      </w:r>
    </w:p>
    <w:p w14:paraId="36E6AA99"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If the portfolio maintains a fully invested stance during a Markov-detected transition into a </w:t>
      </w:r>
      <w:r>
        <w:rPr>
          <w:rFonts w:ascii="Google Sans" w:eastAsia="Google Sans" w:hAnsi="Google Sans" w:cs="Google Sans"/>
          <w:color w:val="1F1F1F"/>
        </w:rPr>
        <w:lastRenderedPageBreak/>
        <w:t>"Crisis" regime, the absolute risk of the portfolio will explode, resulting in severe left-tail drawdowns.</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To mitigate this, volatility targeting must be implemented as a critical FRM overlay.</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xml:space="preserve"> Volatility targeting is a systematic mechanism that dynamically scales the portfolio's overall market exposure inversely to the forecasted portfolio volatility, ensuring the absolute risk level remains constant over time.</w:t>
      </w:r>
      <w:r>
        <w:rPr>
          <w:rFonts w:ascii="Google Sans" w:eastAsia="Google Sans" w:hAnsi="Google Sans" w:cs="Google Sans"/>
          <w:color w:val="444746"/>
          <w:sz w:val="24"/>
          <w:szCs w:val="24"/>
          <w:vertAlign w:val="superscript"/>
        </w:rPr>
        <w:t>20</w:t>
      </w:r>
    </w:p>
    <w:p w14:paraId="4A2B7B69" w14:textId="77777777" w:rsidR="000204E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Let </w:t>
      </w:r>
      <w:r>
        <w:rPr>
          <w:rFonts w:ascii="Google Sans" w:eastAsia="Google Sans" w:hAnsi="Google Sans" w:cs="Google Sans"/>
          <w:noProof/>
          <w:color w:val="1F1F1F"/>
        </w:rPr>
        <w:drawing>
          <wp:inline distT="19050" distB="19050" distL="19050" distR="19050" wp14:anchorId="2E0D7426" wp14:editId="552DB4BD">
            <wp:extent cx="493163" cy="242255"/>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493163" cy="242255"/>
                    </a:xfrm>
                    <a:prstGeom prst="rect">
                      <a:avLst/>
                    </a:prstGeom>
                    <a:ln/>
                  </pic:spPr>
                </pic:pic>
              </a:graphicData>
            </a:graphic>
          </wp:inline>
        </w:drawing>
      </w:r>
      <w:r>
        <w:rPr>
          <w:rFonts w:ascii="Google Sans" w:eastAsia="Google Sans" w:hAnsi="Google Sans" w:cs="Google Sans"/>
          <w:color w:val="1F1F1F"/>
        </w:rPr>
        <w:t xml:space="preserve"> represent the desired, fixed annualized portfolio volatility determined by the investor's risk </w:t>
      </w:r>
      <w:proofErr w:type="gramStart"/>
      <w:r>
        <w:rPr>
          <w:rFonts w:ascii="Google Sans" w:eastAsia="Google Sans" w:hAnsi="Google Sans" w:cs="Google Sans"/>
          <w:color w:val="1F1F1F"/>
        </w:rPr>
        <w:t>mandate, and</w:t>
      </w:r>
      <w:proofErr w:type="gramEnd"/>
      <w:r>
        <w:rPr>
          <w:rFonts w:ascii="Google Sans" w:eastAsia="Google Sans" w:hAnsi="Google Sans" w:cs="Google Sans"/>
          <w:color w:val="1F1F1F"/>
        </w:rPr>
        <w:t xml:space="preserve"> let </w:t>
      </w:r>
      <w:r>
        <w:rPr>
          <w:rFonts w:ascii="Google Sans" w:eastAsia="Google Sans" w:hAnsi="Google Sans" w:cs="Google Sans"/>
          <w:noProof/>
          <w:color w:val="1F1F1F"/>
        </w:rPr>
        <w:drawing>
          <wp:inline distT="19050" distB="19050" distL="19050" distR="19050" wp14:anchorId="557B95D1" wp14:editId="012F66FE">
            <wp:extent cx="641720" cy="246139"/>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641720" cy="246139"/>
                    </a:xfrm>
                    <a:prstGeom prst="rect">
                      <a:avLst/>
                    </a:prstGeom>
                    <a:ln/>
                  </pic:spPr>
                </pic:pic>
              </a:graphicData>
            </a:graphic>
          </wp:inline>
        </w:drawing>
      </w:r>
      <w:r>
        <w:rPr>
          <w:rFonts w:ascii="Google Sans" w:eastAsia="Google Sans" w:hAnsi="Google Sans" w:cs="Google Sans"/>
          <w:color w:val="1F1F1F"/>
        </w:rPr>
        <w:t xml:space="preserve"> represent the conditional volatility for the upcoming period, forecasted using an exponentially weighted moving average (EWMA) or a GARCH model.</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xml:space="preserve"> The dynamic exposure scalar </w:t>
      </w:r>
      <w:r>
        <w:rPr>
          <w:rFonts w:ascii="Google Sans" w:eastAsia="Google Sans" w:hAnsi="Google Sans" w:cs="Google Sans"/>
          <w:noProof/>
          <w:color w:val="1F1F1F"/>
        </w:rPr>
        <w:drawing>
          <wp:inline distT="19050" distB="19050" distL="19050" distR="19050" wp14:anchorId="128EDF9D" wp14:editId="0E254C80">
            <wp:extent cx="161411" cy="251083"/>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161411" cy="251083"/>
                    </a:xfrm>
                    <a:prstGeom prst="rect">
                      <a:avLst/>
                    </a:prstGeom>
                    <a:ln/>
                  </pic:spPr>
                </pic:pic>
              </a:graphicData>
            </a:graphic>
          </wp:inline>
        </w:drawing>
      </w:r>
      <w:r>
        <w:rPr>
          <w:rFonts w:ascii="Google Sans" w:eastAsia="Google Sans" w:hAnsi="Google Sans" w:cs="Google Sans"/>
          <w:color w:val="1F1F1F"/>
        </w:rPr>
        <w:t xml:space="preserve"> is determined by the ratio:</w:t>
      </w:r>
    </w:p>
    <w:p w14:paraId="012A3E18" w14:textId="77777777" w:rsidR="000204E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47F48DE6" wp14:editId="0BF48604">
            <wp:extent cx="5905500" cy="699018"/>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905500" cy="699018"/>
                    </a:xfrm>
                    <a:prstGeom prst="rect">
                      <a:avLst/>
                    </a:prstGeom>
                    <a:ln/>
                  </pic:spPr>
                </pic:pic>
              </a:graphicData>
            </a:graphic>
          </wp:inline>
        </w:drawing>
      </w:r>
    </w:p>
    <w:p w14:paraId="4C9CD51E"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Under normal regime conditions where </w:t>
      </w:r>
      <w:r>
        <w:rPr>
          <w:rFonts w:ascii="Google Sans" w:eastAsia="Google Sans" w:hAnsi="Google Sans" w:cs="Google Sans"/>
          <w:noProof/>
          <w:color w:val="1F1F1F"/>
        </w:rPr>
        <w:drawing>
          <wp:inline distT="19050" distB="19050" distL="19050" distR="19050" wp14:anchorId="3EC5EDF7" wp14:editId="4A470481">
            <wp:extent cx="1396146" cy="242808"/>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1396146" cy="242808"/>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184B8A9" wp14:editId="7BACDF2B">
            <wp:extent cx="520628" cy="24296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520628" cy="242960"/>
                    </a:xfrm>
                    <a:prstGeom prst="rect">
                      <a:avLst/>
                    </a:prstGeom>
                    <a:ln/>
                  </pic:spPr>
                </pic:pic>
              </a:graphicData>
            </a:graphic>
          </wp:inline>
        </w:drawing>
      </w:r>
      <w:r>
        <w:rPr>
          <w:rFonts w:ascii="Google Sans" w:eastAsia="Google Sans" w:hAnsi="Google Sans" w:cs="Google Sans"/>
          <w:color w:val="1F1F1F"/>
        </w:rPr>
        <w:t>, and the portfolio remains fully invested across the HERC allocations.</w:t>
      </w:r>
      <w:r>
        <w:rPr>
          <w:rFonts w:ascii="Google Sans" w:eastAsia="Google Sans" w:hAnsi="Google Sans" w:cs="Google Sans"/>
          <w:color w:val="444746"/>
          <w:sz w:val="24"/>
          <w:szCs w:val="24"/>
          <w:vertAlign w:val="superscript"/>
        </w:rPr>
        <w:t>49</w:t>
      </w:r>
      <w:r>
        <w:rPr>
          <w:rFonts w:ascii="Google Sans" w:eastAsia="Google Sans" w:hAnsi="Google Sans" w:cs="Google Sans"/>
          <w:color w:val="1F1F1F"/>
        </w:rPr>
        <w:t xml:space="preserve"> However, when the Markov model detects a regime shift and the forecasted volatility spikes such that </w:t>
      </w:r>
      <w:r>
        <w:rPr>
          <w:rFonts w:ascii="Google Sans" w:eastAsia="Google Sans" w:hAnsi="Google Sans" w:cs="Google Sans"/>
          <w:noProof/>
          <w:color w:val="1F1F1F"/>
        </w:rPr>
        <w:drawing>
          <wp:inline distT="19050" distB="19050" distL="19050" distR="19050" wp14:anchorId="31FA622B" wp14:editId="6D94D4AC">
            <wp:extent cx="1396146" cy="242808"/>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1396146" cy="242808"/>
                    </a:xfrm>
                    <a:prstGeom prst="rect">
                      <a:avLst/>
                    </a:prstGeom>
                    <a:ln/>
                  </pic:spPr>
                </pic:pic>
              </a:graphicData>
            </a:graphic>
          </wp:inline>
        </w:drawing>
      </w:r>
      <w:r>
        <w:rPr>
          <w:rFonts w:ascii="Google Sans" w:eastAsia="Google Sans" w:hAnsi="Google Sans" w:cs="Google Sans"/>
          <w:color w:val="1F1F1F"/>
        </w:rPr>
        <w:t>, the scalar drops below 1.</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The dynamic risk layer automatically deleverages the portfolio, liquidating a proportional fraction of all risky assets and shifting that capital into cash equivalents or ultra-safe defensive instruments, such as Indian liquid ETFs (e.g., LIQUIDBEES.NS).</w:t>
      </w:r>
      <w:r>
        <w:rPr>
          <w:rFonts w:ascii="Google Sans" w:eastAsia="Google Sans" w:hAnsi="Google Sans" w:cs="Google Sans"/>
          <w:color w:val="444746"/>
          <w:sz w:val="24"/>
          <w:szCs w:val="24"/>
          <w:vertAlign w:val="superscript"/>
        </w:rPr>
        <w:t>49</w:t>
      </w:r>
      <w:r>
        <w:rPr>
          <w:rFonts w:ascii="Google Sans" w:eastAsia="Google Sans" w:hAnsi="Google Sans" w:cs="Google Sans"/>
          <w:color w:val="1F1F1F"/>
        </w:rPr>
        <w:t xml:space="preserve"> This volatility scaling mechanism protects the portfolio against the catastrophic drawdowns that occur when traditional cross-asset diversification breaks down.</w:t>
      </w:r>
      <w:r>
        <w:rPr>
          <w:rFonts w:ascii="Google Sans" w:eastAsia="Google Sans" w:hAnsi="Google Sans" w:cs="Google Sans"/>
          <w:color w:val="444746"/>
          <w:sz w:val="24"/>
          <w:szCs w:val="24"/>
          <w:vertAlign w:val="superscript"/>
        </w:rPr>
        <w:t>20</w:t>
      </w:r>
    </w:p>
    <w:p w14:paraId="37A8B4CB" w14:textId="77777777" w:rsidR="000204E1"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5. Financial NLP and Systemic Uncertainty Extraction</w:t>
      </w:r>
    </w:p>
    <w:p w14:paraId="5E2CAD54"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While statistical models excel at parsing historical price data, they are fundamentally backward-looking.</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They react to correlation shocks only after the price damage has begun to manifest in the covariance matrix. To elevate the portfolio architecture from a reactive statistical engine to a proactive, forward-looking risk management platform, the system must integrate advanced Financial Natural Language Processing (NLP).</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 objective of this module is not the futile attempt to predict short-term stock price movements, but rather the systematic quantification of macroeconomic stress, shifting forward guidance, and systemic uncertainty, which collectively act as leading indicators for regime shifts and correlation breakdowns.</w:t>
      </w:r>
      <w:r>
        <w:rPr>
          <w:rFonts w:ascii="Google Sans" w:eastAsia="Google Sans" w:hAnsi="Google Sans" w:cs="Google Sans"/>
          <w:color w:val="444746"/>
          <w:sz w:val="24"/>
          <w:szCs w:val="24"/>
          <w:vertAlign w:val="superscript"/>
        </w:rPr>
        <w:t>3</w:t>
      </w:r>
    </w:p>
    <w:p w14:paraId="73026AB2"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To align with the vanguard of institutional quantitative research, the architecture must discard generalized sentiment </w:t>
      </w:r>
      <w:proofErr w:type="spellStart"/>
      <w:r>
        <w:rPr>
          <w:rFonts w:ascii="Google Sans" w:eastAsia="Google Sans" w:hAnsi="Google Sans" w:cs="Google Sans"/>
          <w:color w:val="1F1F1F"/>
        </w:rPr>
        <w:t>analyzers</w:t>
      </w:r>
      <w:proofErr w:type="spellEnd"/>
      <w:r>
        <w:rPr>
          <w:rFonts w:ascii="Google Sans" w:eastAsia="Google Sans" w:hAnsi="Google Sans" w:cs="Google Sans"/>
          <w:color w:val="1F1F1F"/>
        </w:rPr>
        <w:t xml:space="preserve"> (such as standard VADER or basic dictionary methods) in </w:t>
      </w:r>
      <w:proofErr w:type="spellStart"/>
      <w:r>
        <w:rPr>
          <w:rFonts w:ascii="Google Sans" w:eastAsia="Google Sans" w:hAnsi="Google Sans" w:cs="Google Sans"/>
          <w:color w:val="1F1F1F"/>
        </w:rPr>
        <w:t>favor</w:t>
      </w:r>
      <w:proofErr w:type="spellEnd"/>
      <w:r>
        <w:rPr>
          <w:rFonts w:ascii="Google Sans" w:eastAsia="Google Sans" w:hAnsi="Google Sans" w:cs="Google Sans"/>
          <w:color w:val="1F1F1F"/>
        </w:rPr>
        <w:t xml:space="preserve"> of transformer-based large language models (LLMs) fine-tuned specifically on complex financial and central bank lexicons.</w:t>
      </w:r>
      <w:r>
        <w:rPr>
          <w:rFonts w:ascii="Google Sans" w:eastAsia="Google Sans" w:hAnsi="Google Sans" w:cs="Google Sans"/>
          <w:color w:val="444746"/>
          <w:sz w:val="24"/>
          <w:szCs w:val="24"/>
          <w:vertAlign w:val="superscript"/>
        </w:rPr>
        <w:t>58</w:t>
      </w:r>
    </w:p>
    <w:p w14:paraId="3EC4202E" w14:textId="77777777" w:rsidR="000204E1"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lastRenderedPageBreak/>
        <w:t>5.1 Macro-Sentiment: Parsing Central Bank Communications</w:t>
      </w:r>
    </w:p>
    <w:p w14:paraId="051365BF"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Global and domestic liquidity—dictated almost entirely by central bank monetary policy—serves as the primary driver of correlation regimes across all asset classes.</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Anticipating shifts in the interest rate cycle is paramount for an adaptive portfolio.</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Therefore, the NLP module must systematically ingest and process the Monetary Policy Committee (MPC) meeting minutes, governor speeches, and macroeconomic reports issued by the Reserve Bank of India (RBI).</w:t>
      </w:r>
      <w:r>
        <w:rPr>
          <w:rFonts w:ascii="Google Sans" w:eastAsia="Google Sans" w:hAnsi="Google Sans" w:cs="Google Sans"/>
          <w:color w:val="444746"/>
          <w:sz w:val="24"/>
          <w:szCs w:val="24"/>
          <w:vertAlign w:val="superscript"/>
        </w:rPr>
        <w:t>61</w:t>
      </w:r>
    </w:p>
    <w:p w14:paraId="54330C7A" w14:textId="77777777" w:rsidR="000204E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To operationalize this macro-sentiment engine, the framework will utilize the comprehensive </w:t>
      </w:r>
      <w:proofErr w:type="spellStart"/>
      <w:r>
        <w:rPr>
          <w:rFonts w:ascii="Google Sans" w:eastAsia="Google Sans" w:hAnsi="Google Sans" w:cs="Google Sans"/>
          <w:color w:val="1F1F1F"/>
        </w:rPr>
        <w:t>WorldCentralBanks</w:t>
      </w:r>
      <w:proofErr w:type="spellEnd"/>
      <w:r>
        <w:rPr>
          <w:rFonts w:ascii="Google Sans" w:eastAsia="Google Sans" w:hAnsi="Google Sans" w:cs="Google Sans"/>
          <w:color w:val="1F1F1F"/>
        </w:rPr>
        <w:t xml:space="preserve"> (WCB) codebase and the corresponding </w:t>
      </w:r>
      <w:proofErr w:type="spellStart"/>
      <w:r>
        <w:rPr>
          <w:rFonts w:ascii="Google Sans" w:eastAsia="Google Sans" w:hAnsi="Google Sans" w:cs="Google Sans"/>
          <w:color w:val="1F1F1F"/>
        </w:rPr>
        <w:t>reserve_bank_of_india</w:t>
      </w:r>
      <w:proofErr w:type="spellEnd"/>
      <w:r>
        <w:rPr>
          <w:rFonts w:ascii="Google Sans" w:eastAsia="Google Sans" w:hAnsi="Google Sans" w:cs="Google Sans"/>
          <w:color w:val="1F1F1F"/>
        </w:rPr>
        <w:t xml:space="preserve"> datasets and models available on the Hugging Face repository (</w:t>
      </w:r>
      <w:proofErr w:type="spellStart"/>
      <w:r>
        <w:rPr>
          <w:rFonts w:ascii="Google Sans" w:eastAsia="Google Sans" w:hAnsi="Google Sans" w:cs="Google Sans"/>
          <w:color w:val="1F1F1F"/>
        </w:rPr>
        <w:t>gtfintechlab</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These advanced </w:t>
      </w:r>
      <w:proofErr w:type="spellStart"/>
      <w:r>
        <w:rPr>
          <w:rFonts w:ascii="Google Sans" w:eastAsia="Google Sans" w:hAnsi="Google Sans" w:cs="Google Sans"/>
          <w:color w:val="1F1F1F"/>
        </w:rPr>
        <w:t>RoBERTa</w:t>
      </w:r>
      <w:proofErr w:type="spellEnd"/>
      <w:r>
        <w:rPr>
          <w:rFonts w:ascii="Google Sans" w:eastAsia="Google Sans" w:hAnsi="Google Sans" w:cs="Google Sans"/>
          <w:color w:val="1F1F1F"/>
        </w:rPr>
        <w:t xml:space="preserve">-based models have been meticulously fine-tuned by researchers to execute three core classification tasks on central bank texts </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w:t>
      </w:r>
    </w:p>
    <w:p w14:paraId="45729816" w14:textId="77777777" w:rsidR="000204E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Stance Detection</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model_reserve_bank_of_india_stance_label</w:t>
      </w:r>
      <w:proofErr w:type="spellEnd"/>
      <w:r>
        <w:rPr>
          <w:rFonts w:ascii="Google Sans" w:eastAsia="Google Sans" w:hAnsi="Google Sans" w:cs="Google Sans"/>
          <w:color w:val="1F1F1F"/>
        </w:rPr>
        <w:t>): This model classifies sentences into Hawkish, Dovish, or Neutral categories, providing direct, quantitative insight into the central bank's bias toward monetary tightening or easing.</w:t>
      </w:r>
      <w:r>
        <w:rPr>
          <w:rFonts w:ascii="Google Sans" w:eastAsia="Google Sans" w:hAnsi="Google Sans" w:cs="Google Sans"/>
          <w:color w:val="444746"/>
          <w:sz w:val="24"/>
          <w:szCs w:val="24"/>
          <w:vertAlign w:val="superscript"/>
        </w:rPr>
        <w:t>65</w:t>
      </w:r>
    </w:p>
    <w:p w14:paraId="58414FD2" w14:textId="77777777" w:rsidR="000204E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Uncertainty Estimation</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model_reserve_bank_of_india_certain_label</w:t>
      </w:r>
      <w:proofErr w:type="spellEnd"/>
      <w:r>
        <w:rPr>
          <w:rFonts w:ascii="Google Sans" w:eastAsia="Google Sans" w:hAnsi="Google Sans" w:cs="Google Sans"/>
          <w:color w:val="1F1F1F"/>
        </w:rPr>
        <w:t>): This model measures the confidence level embedded in the central bank's economic projections, detecting rising systemic doubt before it manifests in market volatility.</w:t>
      </w:r>
      <w:r>
        <w:rPr>
          <w:rFonts w:ascii="Google Sans" w:eastAsia="Google Sans" w:hAnsi="Google Sans" w:cs="Google Sans"/>
          <w:color w:val="444746"/>
          <w:sz w:val="24"/>
          <w:szCs w:val="24"/>
          <w:vertAlign w:val="superscript"/>
        </w:rPr>
        <w:t>66</w:t>
      </w:r>
    </w:p>
    <w:p w14:paraId="5C9FFE3C" w14:textId="77777777" w:rsidR="000204E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Temporal Classification</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model_reserve_bank_of_india_time_label</w:t>
      </w:r>
      <w:proofErr w:type="spellEnd"/>
      <w:r>
        <w:rPr>
          <w:rFonts w:ascii="Google Sans" w:eastAsia="Google Sans" w:hAnsi="Google Sans" w:cs="Google Sans"/>
          <w:color w:val="1F1F1F"/>
        </w:rPr>
        <w:t>): This model identifies whether the rhetoric refers to historical, backward-looking data or forward-looking policy guidance.</w:t>
      </w:r>
      <w:r>
        <w:rPr>
          <w:rFonts w:ascii="Google Sans" w:eastAsia="Google Sans" w:hAnsi="Google Sans" w:cs="Google Sans"/>
          <w:color w:val="444746"/>
          <w:sz w:val="24"/>
          <w:szCs w:val="24"/>
          <w:vertAlign w:val="superscript"/>
        </w:rPr>
        <w:t>67</w:t>
      </w:r>
    </w:p>
    <w:p w14:paraId="00E92090"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By feeding the latest RBI minutes through this pipeline, the system generates a composite Macro-Stance Index.</w:t>
      </w:r>
      <w:r>
        <w:rPr>
          <w:rFonts w:ascii="Google Sans" w:eastAsia="Google Sans" w:hAnsi="Google Sans" w:cs="Google Sans"/>
          <w:color w:val="444746"/>
          <w:sz w:val="24"/>
          <w:szCs w:val="24"/>
          <w:vertAlign w:val="superscript"/>
        </w:rPr>
        <w:t>60</w:t>
      </w:r>
      <w:r>
        <w:rPr>
          <w:rFonts w:ascii="Google Sans" w:eastAsia="Google Sans" w:hAnsi="Google Sans" w:cs="Google Sans"/>
          <w:color w:val="1F1F1F"/>
        </w:rPr>
        <w:t xml:space="preserve"> When the NLP engine detects a sustained, multi-month shift toward a Hawkish stance coupled with rising Uncertainty scores, it serves as a powerful early warning indicator of impending liquidity contraction.</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 Dynamic Risk Allocation Layer interprets this quantitative signal by overriding the baseline optimization parameters—for instance, by reducing maximum concentration limits for high-beta cyclical sectors and forcing higher baseline allocations to defensive cluster groups (such as FMCG or Pharmaceuticals) prior to the realization of the correlation shock.</w:t>
      </w:r>
      <w:r>
        <w:rPr>
          <w:rFonts w:ascii="Google Sans" w:eastAsia="Google Sans" w:hAnsi="Google Sans" w:cs="Google Sans"/>
          <w:color w:val="444746"/>
          <w:sz w:val="24"/>
          <w:szCs w:val="24"/>
          <w:vertAlign w:val="superscript"/>
        </w:rPr>
        <w:t>3</w:t>
      </w:r>
    </w:p>
    <w:p w14:paraId="0A92E2D9" w14:textId="77777777" w:rsidR="000204E1"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5.2 Micro-Sentiment: Extracting Sector-Level Risk from Earnings Calls</w:t>
      </w:r>
    </w:p>
    <w:p w14:paraId="40154A97"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While macroeconomic reports govern broad market regimes, the nuanced dynamics that drive intra-market correlation shifts originate at the corporate and sectoral levels.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Executive management discussions regarding supply chain bottlenecks, margin compression, demand deceleration, or regulatory hurdles during quarterly earnings calls frequently precede structural revaluations of entire industry sectors.</w:t>
      </w:r>
      <w:r>
        <w:rPr>
          <w:rFonts w:ascii="Google Sans" w:eastAsia="Google Sans" w:hAnsi="Google Sans" w:cs="Google Sans"/>
          <w:color w:val="444746"/>
          <w:sz w:val="24"/>
          <w:szCs w:val="24"/>
          <w:vertAlign w:val="superscript"/>
        </w:rPr>
        <w:t>3</w:t>
      </w:r>
    </w:p>
    <w:p w14:paraId="0BDB6B32"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To capture this localized risk, the framework will integrate the </w:t>
      </w:r>
      <w:r>
        <w:rPr>
          <w:rFonts w:ascii="Google Sans" w:eastAsia="Google Sans" w:hAnsi="Google Sans" w:cs="Google Sans"/>
          <w:b/>
          <w:bCs/>
          <w:color w:val="1F1F1F"/>
        </w:rPr>
        <w:t>MiMIC (Multi-Modal Indian Earnings Calls)</w:t>
      </w:r>
      <w:r>
        <w:rPr>
          <w:rFonts w:ascii="Google Sans" w:eastAsia="Google Sans" w:hAnsi="Google Sans" w:cs="Google Sans"/>
          <w:color w:val="1F1F1F"/>
        </w:rPr>
        <w:t xml:space="preserve"> dataset, accessible via Hugging Face (</w:t>
      </w:r>
      <w:proofErr w:type="spellStart"/>
      <w:r>
        <w:rPr>
          <w:rFonts w:ascii="Google Sans" w:eastAsia="Google Sans" w:hAnsi="Google Sans" w:cs="Google Sans"/>
          <w:color w:val="1F1F1F"/>
        </w:rPr>
        <w:t>sohomghosh</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MiMIC_Multi-</w:t>
      </w:r>
      <w:r>
        <w:rPr>
          <w:rFonts w:ascii="Google Sans" w:eastAsia="Google Sans" w:hAnsi="Google Sans" w:cs="Google Sans"/>
          <w:color w:val="1F1F1F"/>
        </w:rPr>
        <w:lastRenderedPageBreak/>
        <w:t>Modal_Indian_Earnings_Calls_Dataset</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 The MiMIC dataset represents a groundbreaking resource specifically curated for the Indian financial market, encompassing extensive transcripts, accompanying presentation visuals, and corresponding corporate fundamental indicators for companies representing the Nifty 50, Nifty </w:t>
      </w:r>
      <w:proofErr w:type="spellStart"/>
      <w:r>
        <w:rPr>
          <w:rFonts w:ascii="Google Sans" w:eastAsia="Google Sans" w:hAnsi="Google Sans" w:cs="Google Sans"/>
          <w:color w:val="1F1F1F"/>
        </w:rPr>
        <w:t>MidCap</w:t>
      </w:r>
      <w:proofErr w:type="spellEnd"/>
      <w:r>
        <w:rPr>
          <w:rFonts w:ascii="Google Sans" w:eastAsia="Google Sans" w:hAnsi="Google Sans" w:cs="Google Sans"/>
          <w:color w:val="1F1F1F"/>
        </w:rPr>
        <w:t xml:space="preserve"> 50, and Nifty SmallCap 50 indices.</w:t>
      </w:r>
      <w:r>
        <w:rPr>
          <w:rFonts w:ascii="Google Sans" w:eastAsia="Google Sans" w:hAnsi="Google Sans" w:cs="Google Sans"/>
          <w:color w:val="444746"/>
          <w:sz w:val="24"/>
          <w:szCs w:val="24"/>
          <w:vertAlign w:val="superscript"/>
        </w:rPr>
        <w:t>21</w:t>
      </w:r>
    </w:p>
    <w:p w14:paraId="7BAC2158"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By deploying sentiment and uncertainty extraction algorithms across the textual transcripts of the MiMIC dataset, the NLP module generates a continuous, cross-sectional Sector-Level Risk Index.</w:t>
      </w:r>
      <w:r>
        <w:rPr>
          <w:rFonts w:ascii="Google Sans" w:eastAsia="Google Sans" w:hAnsi="Google Sans" w:cs="Google Sans"/>
          <w:color w:val="444746"/>
          <w:sz w:val="24"/>
          <w:szCs w:val="24"/>
          <w:vertAlign w:val="superscript"/>
        </w:rPr>
        <w:t>56</w:t>
      </w:r>
      <w:r>
        <w:rPr>
          <w:rFonts w:ascii="Google Sans" w:eastAsia="Google Sans" w:hAnsi="Google Sans" w:cs="Google Sans"/>
          <w:color w:val="1F1F1F"/>
        </w:rPr>
        <w:t xml:space="preserve"> If, for example, the aggregation of sentiment scores across the Information Technology sector reveals elevated uncertainty language regarding international export demand or visa regulations, the portfolio engine registers a high sector-specific risk penalty.</w:t>
      </w:r>
      <w:r>
        <w:rPr>
          <w:rFonts w:ascii="Google Sans" w:eastAsia="Google Sans" w:hAnsi="Google Sans" w:cs="Google Sans"/>
          <w:color w:val="444746"/>
          <w:sz w:val="24"/>
          <w:szCs w:val="24"/>
          <w:vertAlign w:val="superscript"/>
        </w:rPr>
        <w:t>3</w:t>
      </w:r>
    </w:p>
    <w:p w14:paraId="1588386A" w14:textId="323219A1"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This micro-sentiment output is fused seamlessly with the quantitative allocation engine. Rather than using the NLP scores to predict directional price movements, the scores are utilized to adjust the expected risk inputs or the distance metrics within the hierarchical clustering algorithm.</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The HERC algorithm naturally accommodates this by artificially inflating the perceived variance of the IT cluster, resulting in an organic, sentiment-adjusted reduction in capital allocation to that specific branch of the </w:t>
      </w:r>
      <w:r w:rsidR="00F36EF0">
        <w:rPr>
          <w:rFonts w:ascii="Google Sans" w:eastAsia="Google Sans" w:hAnsi="Google Sans" w:cs="Google Sans"/>
          <w:color w:val="1F1F1F"/>
        </w:rPr>
        <w:t xml:space="preserve">dendrogram. </w:t>
      </w:r>
      <w:r>
        <w:rPr>
          <w:rFonts w:ascii="Google Sans" w:eastAsia="Google Sans" w:hAnsi="Google Sans" w:cs="Google Sans"/>
          <w:color w:val="444746"/>
          <w:sz w:val="24"/>
          <w:szCs w:val="24"/>
          <w:vertAlign w:val="superscript"/>
        </w:rPr>
        <w:t>56</w:t>
      </w:r>
    </w:p>
    <w:p w14:paraId="25E8EF56" w14:textId="77777777" w:rsidR="000204E1"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6. Asset Universe and Industry-Standard Data Sourcing</w:t>
      </w:r>
    </w:p>
    <w:p w14:paraId="74326BE3" w14:textId="4EE4FF85"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selection of the underlying asset universe is paramount; it dictates the fundamental efficacy of the hierarchical clustering algorithm.</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A portfolio composed entirely of randomly selected equities from a single sector will lack the necessary topological diversity, rendering the output of an advanced algorithm like HERC indistinguishable from basic, naive equal weighting.</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Conversely, a meticulously curated universe containing diversified </w:t>
      </w:r>
      <w:r w:rsidR="00F36EF0">
        <w:rPr>
          <w:rFonts w:ascii="Google Sans" w:eastAsia="Google Sans" w:hAnsi="Google Sans" w:cs="Google Sans"/>
          <w:color w:val="1F1F1F"/>
        </w:rPr>
        <w:t>large-capitalisation</w:t>
      </w:r>
      <w:r>
        <w:rPr>
          <w:rFonts w:ascii="Google Sans" w:eastAsia="Google Sans" w:hAnsi="Google Sans" w:cs="Google Sans"/>
          <w:color w:val="1F1F1F"/>
        </w:rPr>
        <w:t xml:space="preserve"> equities combined with sector-specific Exchange Traded Funds (ETFs) guarantees a rich, multi-layered topology of inter-sector and intra-sector correlation </w:t>
      </w:r>
      <w:r w:rsidR="00F36EF0">
        <w:rPr>
          <w:rFonts w:ascii="Google Sans" w:eastAsia="Google Sans" w:hAnsi="Google Sans" w:cs="Google Sans"/>
          <w:color w:val="1F1F1F"/>
        </w:rPr>
        <w:t xml:space="preserve">dynamics. </w:t>
      </w:r>
      <w:r>
        <w:rPr>
          <w:rFonts w:ascii="Google Sans" w:eastAsia="Google Sans" w:hAnsi="Google Sans" w:cs="Google Sans"/>
          <w:color w:val="444746"/>
          <w:sz w:val="24"/>
          <w:szCs w:val="24"/>
          <w:vertAlign w:val="superscript"/>
        </w:rPr>
        <w:t>55</w:t>
      </w:r>
    </w:p>
    <w:p w14:paraId="4D61E5C4" w14:textId="77777777" w:rsidR="000204E1"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6.1 The Indian Equity and ETF Universe</w:t>
      </w:r>
    </w:p>
    <w:p w14:paraId="3FB8653F" w14:textId="1FBAF270"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capture the full spectrum of market regimes and facilitate effective sector rotation strategies, the proposed portfolio universe comprises 25 highly liquid, representative instruments actively traded on the National Stock Exchange of India (NSE).</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 deliberate integration of ETFs provides broad, pure-play macroeconomic sector exposures, while the inclusion of individual </w:t>
      </w:r>
      <w:r w:rsidR="00F36EF0">
        <w:rPr>
          <w:rFonts w:ascii="Google Sans" w:eastAsia="Google Sans" w:hAnsi="Google Sans" w:cs="Google Sans"/>
          <w:color w:val="1F1F1F"/>
        </w:rPr>
        <w:t>high-capitalisation</w:t>
      </w:r>
      <w:r>
        <w:rPr>
          <w:rFonts w:ascii="Google Sans" w:eastAsia="Google Sans" w:hAnsi="Google Sans" w:cs="Google Sans"/>
          <w:color w:val="1F1F1F"/>
        </w:rPr>
        <w:t xml:space="preserve"> equities allows the algorithm to exploit granular, intra-sector correlation structures and idiosyncratic volatility.</w:t>
      </w:r>
      <w:r>
        <w:rPr>
          <w:rFonts w:ascii="Google Sans" w:eastAsia="Google Sans" w:hAnsi="Google Sans" w:cs="Google Sans"/>
          <w:color w:val="444746"/>
          <w:sz w:val="24"/>
          <w:szCs w:val="24"/>
          <w:vertAlign w:val="superscript"/>
        </w:rPr>
        <w:t>3</w:t>
      </w:r>
    </w:p>
    <w:p w14:paraId="201101F2"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inclusion of non-correlated defensive assets—specifically Gold and Silver ETFs—is crucial, as they serve as natural structural hedges that the clustering algorithm will isolate into distinct, low-correlation branches of the dendrogram, drawing capital naturally during periods of equity market stress.</w:t>
      </w:r>
      <w:r>
        <w:rPr>
          <w:rFonts w:ascii="Google Sans" w:eastAsia="Google Sans" w:hAnsi="Google Sans" w:cs="Google Sans"/>
          <w:color w:val="444746"/>
          <w:sz w:val="24"/>
          <w:szCs w:val="24"/>
          <w:vertAlign w:val="superscript"/>
        </w:rPr>
        <w:t>55</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0204E1" w14:paraId="0DDF7B2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847582"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Asset Category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9CD8D7"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Description &amp; Representative Assets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37770F"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Exact NSE Ticker (Yahoo Finance)</w:t>
            </w:r>
          </w:p>
        </w:tc>
      </w:tr>
      <w:tr w:rsidR="000204E1" w14:paraId="637F260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854995"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Broad Market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64C9FA"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NIFTY 50 Benchmark ETF, Nifty Next 50 ETF</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A51E11"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NIFTYBEES.NS, JUNIORBEES.NS</w:t>
            </w:r>
          </w:p>
        </w:tc>
      </w:tr>
      <w:tr w:rsidR="000204E1" w14:paraId="4631BDF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E2B432"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Financial &amp; Banking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27B5A2"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NIFTY Bank ETF, HDFC Bank, ICICI Bank</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6FEF08"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BANKBEES.NS, HDFCBANK.NS, ICICIBANK.NS</w:t>
            </w:r>
          </w:p>
        </w:tc>
      </w:tr>
      <w:tr w:rsidR="000204E1" w14:paraId="121C26F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510E62"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Information Technology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A1B027"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NIFTY IT ETF, Tata Consultancy Services, Infosys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EF8709"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ITBEES.NS, TCS.NS, INFY.NS</w:t>
            </w:r>
          </w:p>
        </w:tc>
      </w:tr>
      <w:tr w:rsidR="000204E1" w14:paraId="37BC528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0F51CE"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FMCG &amp; Consumption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C22CA5"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NIFTY Consumption ETF, ITC Ltd, Hindustan Unilever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37837E"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CONSUMBEES.NS, ITC.NS, HINDUNILVR.NS</w:t>
            </w:r>
          </w:p>
        </w:tc>
      </w:tr>
      <w:tr w:rsidR="000204E1" w14:paraId="39D0148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B742D6"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Pharmaceuticals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8BE940"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NIFTY Pharma ETF, Sun Pharmaceutical Industries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803076"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PHARMABEES.NS, SUNPHARMA.NS</w:t>
            </w:r>
          </w:p>
        </w:tc>
      </w:tr>
      <w:tr w:rsidR="000204E1" w14:paraId="0B05AB8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AF7998"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Energy &amp; Infrastructure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D8A92A"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Reliance Industries, Larsen &amp; Toubro, Infra ETF</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DE8E4C"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RELIANCE.NS, </w:t>
            </w:r>
            <w:proofErr w:type="gramStart"/>
            <w:r>
              <w:rPr>
                <w:rFonts w:ascii="Google Sans" w:eastAsia="Google Sans" w:hAnsi="Google Sans" w:cs="Google Sans"/>
                <w:color w:val="1F1F1F"/>
              </w:rPr>
              <w:t>LT.NS</w:t>
            </w:r>
            <w:proofErr w:type="gramEnd"/>
            <w:r>
              <w:rPr>
                <w:rFonts w:ascii="Google Sans" w:eastAsia="Google Sans" w:hAnsi="Google Sans" w:cs="Google Sans"/>
                <w:color w:val="1F1F1F"/>
              </w:rPr>
              <w:t>, INFRA_BEES.NS</w:t>
            </w:r>
          </w:p>
        </w:tc>
      </w:tr>
      <w:tr w:rsidR="000204E1" w14:paraId="1B28CCE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919961"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Commodities / Defensive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B60172"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Gold ETF, Silver ETF, Liquid ETF (Overnight rate)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6238C5"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GOLDBEES.NS, SILVERBEES.NS, LIQUIDBEES.NS</w:t>
            </w:r>
          </w:p>
        </w:tc>
      </w:tr>
    </w:tbl>
    <w:p w14:paraId="0749DD57" w14:textId="77777777" w:rsidR="000204E1" w:rsidRDefault="00000000">
      <w:pPr>
        <w:pBdr>
          <w:top w:val="nil"/>
          <w:left w:val="nil"/>
          <w:bottom w:val="nil"/>
          <w:right w:val="nil"/>
          <w:between w:val="nil"/>
        </w:pBdr>
        <w:spacing w:before="480" w:line="275" w:lineRule="auto"/>
        <w:rPr>
          <w:rFonts w:ascii="Google Sans" w:eastAsia="Google Sans" w:hAnsi="Google Sans" w:cs="Google Sans"/>
          <w:color w:val="1F1F1F"/>
        </w:rPr>
      </w:pPr>
      <w:r>
        <w:rPr>
          <w:rFonts w:ascii="Google Sans" w:eastAsia="Google Sans" w:hAnsi="Google Sans" w:cs="Google Sans"/>
          <w:color w:val="1F1F1F"/>
        </w:rPr>
        <w:t>(Data for these precise tickers is readily accessible and seamlessly downloadable via the yfinance Python library, facilitating automated, daily updates for the rolling backtesting engine and dynamic dashboards.</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w:t>
      </w:r>
    </w:p>
    <w:p w14:paraId="37BD0C27" w14:textId="77777777" w:rsidR="000204E1"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6.2 Verified Open-Source Dataset Infrastructure</w:t>
      </w:r>
    </w:p>
    <w:p w14:paraId="6A87FAD3" w14:textId="315124B7" w:rsidR="000204E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To guarantee absolute reproducibility, maintain strict academic and professional </w:t>
      </w:r>
      <w:r w:rsidR="00F36EF0">
        <w:rPr>
          <w:rFonts w:ascii="Google Sans" w:eastAsia="Google Sans" w:hAnsi="Google Sans" w:cs="Google Sans"/>
          <w:color w:val="1F1F1F"/>
        </w:rPr>
        <w:t>rigour</w:t>
      </w:r>
      <w:r>
        <w:rPr>
          <w:rFonts w:ascii="Google Sans" w:eastAsia="Google Sans" w:hAnsi="Google Sans" w:cs="Google Sans"/>
          <w:color w:val="1F1F1F"/>
        </w:rPr>
        <w:t xml:space="preserve">, and ensure adherence to industry standards, the project sources all historical price volumes, </w:t>
      </w:r>
      <w:r>
        <w:rPr>
          <w:rFonts w:ascii="Google Sans" w:eastAsia="Google Sans" w:hAnsi="Google Sans" w:cs="Google Sans"/>
          <w:color w:val="1F1F1F"/>
        </w:rPr>
        <w:lastRenderedPageBreak/>
        <w:t>alternative data, and pre-trained sentiment models from specific, verifiable open-source repositories. The exact access points are detailed below:</w:t>
      </w:r>
    </w:p>
    <w:p w14:paraId="7DAE5581" w14:textId="77777777" w:rsidR="000204E1" w:rsidRDefault="000204E1">
      <w:pPr>
        <w:pBdr>
          <w:top w:val="nil"/>
          <w:left w:val="nil"/>
          <w:bottom w:val="nil"/>
          <w:right w:val="nil"/>
          <w:between w:val="nil"/>
        </w:pBdr>
        <w:spacing w:line="275" w:lineRule="auto"/>
        <w:rPr>
          <w:rFonts w:ascii="Google Sans" w:eastAsia="Google Sans" w:hAnsi="Google Sans" w:cs="Google Sans"/>
          <w:color w:val="1F1F1F"/>
        </w:rPr>
      </w:pP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0204E1" w14:paraId="76F9E6B2"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4132270"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Data Component</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D1CDDCF"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Source Description &amp; Relevance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7760DBE"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Exact URL / Access Point</w:t>
            </w:r>
          </w:p>
        </w:tc>
      </w:tr>
      <w:tr w:rsidR="000204E1" w14:paraId="044C55C2"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C142F1A"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Indian Equities (Long History)</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D5FDCC6"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Kaggle: "20-years-indian-stock-market-data" dataset containing unadjusted and adjusted daily closing prices of BSE/NSE stocks from 2000 to 2026.</w:t>
            </w:r>
            <w:r>
              <w:rPr>
                <w:rFonts w:ascii="Google Sans" w:eastAsia="Google Sans" w:hAnsi="Google Sans" w:cs="Google Sans"/>
                <w:color w:val="444746"/>
                <w:sz w:val="24"/>
                <w:szCs w:val="24"/>
                <w:vertAlign w:val="superscript"/>
              </w:rPr>
              <w:t>24</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1A57A29"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https://www.kaggle.com/datasets/ishan2608/20-years-indian-stock-market-data</w:t>
            </w:r>
          </w:p>
        </w:tc>
      </w:tr>
      <w:tr w:rsidR="000204E1" w14:paraId="28B639E8"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F82A54D"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Indian Sector ETFs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20C7328"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Kaggle: "SIP ETF Dataset - 20 Years of Monthly Data" specifically covering NIFTY, </w:t>
            </w:r>
            <w:proofErr w:type="spellStart"/>
            <w:r>
              <w:rPr>
                <w:rFonts w:ascii="Google Sans" w:eastAsia="Google Sans" w:hAnsi="Google Sans" w:cs="Google Sans"/>
                <w:color w:val="1F1F1F"/>
              </w:rPr>
              <w:t>BankNifty</w:t>
            </w:r>
            <w:proofErr w:type="spellEnd"/>
            <w:r>
              <w:rPr>
                <w:rFonts w:ascii="Google Sans" w:eastAsia="Google Sans" w:hAnsi="Google Sans" w:cs="Google Sans"/>
                <w:color w:val="1F1F1F"/>
              </w:rPr>
              <w:t>, Gold, and Silver ETFs, optimized for systematic backtesting.</w:t>
            </w:r>
            <w:r>
              <w:rPr>
                <w:rFonts w:ascii="Google Sans" w:eastAsia="Google Sans" w:hAnsi="Google Sans" w:cs="Google Sans"/>
                <w:color w:val="444746"/>
                <w:sz w:val="24"/>
                <w:szCs w:val="24"/>
                <w:vertAlign w:val="superscript"/>
              </w:rPr>
              <w:t>77</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2AAACDC"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https://www.kaggle.com/datasets/vivek468/sip-dataset-nifty-banknifty-gold-and-silver</w:t>
            </w:r>
          </w:p>
        </w:tc>
      </w:tr>
      <w:tr w:rsidR="000204E1" w14:paraId="3BD44F1D"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1D845C8"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Corporate Earnings Call Transcripts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0F9F4F5"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Hugging Face: "MiMIC: Multi-Modal Indian Earnings Calls Dataset," uniquely curated for Indian Nifty indices, bridging textual and fundamental data.</w:t>
            </w:r>
            <w:r>
              <w:rPr>
                <w:rFonts w:ascii="Google Sans" w:eastAsia="Google Sans" w:hAnsi="Google Sans" w:cs="Google Sans"/>
                <w:color w:val="444746"/>
                <w:sz w:val="24"/>
                <w:szCs w:val="24"/>
                <w:vertAlign w:val="superscript"/>
              </w:rPr>
              <w:t>21</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03712AD"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https://huggingface.co/datasets/sohomghosh/MiMIC_Multi-Modal_Indian_Earnings_Calls_Dataset</w:t>
            </w:r>
          </w:p>
        </w:tc>
      </w:tr>
      <w:tr w:rsidR="000204E1" w14:paraId="47EF53A3"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AEBE453"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RBI Monetary Policy Transcripts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6A3275C"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Hugging Face: "Reserve Bank of India" dataset by </w:t>
            </w:r>
            <w:proofErr w:type="spellStart"/>
            <w:r>
              <w:rPr>
                <w:rFonts w:ascii="Google Sans" w:eastAsia="Google Sans" w:hAnsi="Google Sans" w:cs="Google Sans"/>
                <w:color w:val="1F1F1F"/>
              </w:rPr>
              <w:t>gtfintechlab</w:t>
            </w:r>
            <w:proofErr w:type="spellEnd"/>
            <w:r>
              <w:rPr>
                <w:rFonts w:ascii="Google Sans" w:eastAsia="Google Sans" w:hAnsi="Google Sans" w:cs="Google Sans"/>
                <w:color w:val="1F1F1F"/>
              </w:rPr>
              <w:t>, containing meeting minutes explicitly pre-</w:t>
            </w:r>
            <w:proofErr w:type="spellStart"/>
            <w:r>
              <w:rPr>
                <w:rFonts w:ascii="Google Sans" w:eastAsia="Google Sans" w:hAnsi="Google Sans" w:cs="Google Sans"/>
                <w:color w:val="1F1F1F"/>
              </w:rPr>
              <w:t>labeled</w:t>
            </w:r>
            <w:proofErr w:type="spellEnd"/>
            <w:r>
              <w:rPr>
                <w:rFonts w:ascii="Google Sans" w:eastAsia="Google Sans" w:hAnsi="Google Sans" w:cs="Google Sans"/>
                <w:color w:val="1F1F1F"/>
              </w:rPr>
              <w:t xml:space="preserve"> for stance and uncertainty analysis.</w:t>
            </w:r>
            <w:r>
              <w:rPr>
                <w:rFonts w:ascii="Google Sans" w:eastAsia="Google Sans" w:hAnsi="Google Sans" w:cs="Google Sans"/>
                <w:color w:val="444746"/>
                <w:sz w:val="24"/>
                <w:szCs w:val="24"/>
                <w:vertAlign w:val="superscript"/>
              </w:rPr>
              <w:t>65</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C29BAC7"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https://huggingface.co/datasets/gtfintechlab/reserve_bank_of_india</w:t>
            </w:r>
          </w:p>
        </w:tc>
      </w:tr>
      <w:tr w:rsidR="000204E1" w14:paraId="1037295C" w14:textId="77777777">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3686AE8"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Global Central Bank NLP Models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7DA2631"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GitHub: "</w:t>
            </w:r>
            <w:proofErr w:type="spellStart"/>
            <w:r>
              <w:rPr>
                <w:rFonts w:ascii="Google Sans" w:eastAsia="Google Sans" w:hAnsi="Google Sans" w:cs="Google Sans"/>
                <w:color w:val="1F1F1F"/>
              </w:rPr>
              <w:t>WorldCentralBanks</w:t>
            </w:r>
            <w:proofErr w:type="spellEnd"/>
            <w:r>
              <w:rPr>
                <w:rFonts w:ascii="Google Sans" w:eastAsia="Google Sans" w:hAnsi="Google Sans" w:cs="Google Sans"/>
                <w:color w:val="1F1F1F"/>
              </w:rPr>
              <w:t xml:space="preserve">" open-source codebase containing the specific sentiment extraction </w:t>
            </w:r>
            <w:r>
              <w:rPr>
                <w:rFonts w:ascii="Google Sans" w:eastAsia="Google Sans" w:hAnsi="Google Sans" w:cs="Google Sans"/>
                <w:color w:val="1F1F1F"/>
              </w:rPr>
              <w:lastRenderedPageBreak/>
              <w:t>pipelines, models, and annotation guides.</w:t>
            </w:r>
            <w:r>
              <w:rPr>
                <w:rFonts w:ascii="Google Sans" w:eastAsia="Google Sans" w:hAnsi="Google Sans" w:cs="Google Sans"/>
                <w:color w:val="444746"/>
                <w:sz w:val="24"/>
                <w:szCs w:val="24"/>
                <w:vertAlign w:val="superscript"/>
              </w:rPr>
              <w:t>58</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6F7EC76" w14:textId="77777777" w:rsidR="000204E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https://github.com/gtfintechlab/WorldCentralBanks</w:t>
            </w:r>
          </w:p>
        </w:tc>
      </w:tr>
    </w:tbl>
    <w:p w14:paraId="2F3A74A2" w14:textId="77777777" w:rsidR="000204E1"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7. The Optimal Historical Time Frame for Stress-Testing</w:t>
      </w:r>
    </w:p>
    <w:p w14:paraId="709925E4" w14:textId="23DA792B"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original blueprint parameters suggested an evaluation period spanning solely from 2018 to 2025.</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While this specific period successfully encapsulates the acute shock of the COVID-19 crash, the subsequent unprecedented V-shaped monetary recovery, and the severe inflationary tightening cycle of 2022-2023, it remains structurally insufficient for a rigorous, institutional evaluation of a systemic risk management framework.</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Machine learning algorithms and graph-theoretic allocation models require massive statistical breadth to be trained effectively; a constrained seven-year window invites severe overfitting and fails to expose the algorithm to the full spectrum of modern macroeconomic crisis </w:t>
      </w:r>
      <w:r w:rsidR="00EB26F9">
        <w:rPr>
          <w:rFonts w:ascii="Google Sans" w:eastAsia="Google Sans" w:hAnsi="Google Sans" w:cs="Google Sans"/>
          <w:color w:val="1F1F1F"/>
        </w:rPr>
        <w:t xml:space="preserve">typologies. </w:t>
      </w:r>
      <w:r>
        <w:rPr>
          <w:rFonts w:ascii="Google Sans" w:eastAsia="Google Sans" w:hAnsi="Google Sans" w:cs="Google Sans"/>
          <w:color w:val="444746"/>
          <w:sz w:val="24"/>
          <w:szCs w:val="24"/>
          <w:vertAlign w:val="superscript"/>
        </w:rPr>
        <w:t>50</w:t>
      </w:r>
    </w:p>
    <w:p w14:paraId="3E4FA120" w14:textId="77777777" w:rsidR="000204E1"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7.1 Recommending the 20-Year Horizon (2006–2026)</w:t>
      </w:r>
    </w:p>
    <w:p w14:paraId="0FE527DD"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To definitively answer the project's core research hypothesis—whether clustering-based risk allocation produces more robust, survivable portfolios under shifting market correlation and uncertainty regimes compared to traditional methodologies—the evaluation time frame must be decisively expanded to a twenty-year horizon, specifically </w:t>
      </w:r>
      <w:r>
        <w:rPr>
          <w:rFonts w:ascii="Google Sans" w:eastAsia="Google Sans" w:hAnsi="Google Sans" w:cs="Google Sans"/>
          <w:b/>
          <w:bCs/>
          <w:color w:val="1F1F1F"/>
        </w:rPr>
        <w:t>2006 to 2026</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w:t>
      </w:r>
    </w:p>
    <w:p w14:paraId="6536F797" w14:textId="77777777" w:rsidR="000204E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This comprehensive two-decade continuum encompasses the most diverse, extreme, and structurally distinct market regimes in modern financial history, providing the ultimate crucible for stress-testing the adaptive architecture.</w:t>
      </w:r>
      <w:r>
        <w:rPr>
          <w:rFonts w:ascii="Google Sans" w:eastAsia="Google Sans" w:hAnsi="Google Sans" w:cs="Google Sans"/>
          <w:color w:val="444746"/>
          <w:sz w:val="24"/>
          <w:szCs w:val="24"/>
          <w:vertAlign w:val="superscript"/>
        </w:rPr>
        <w:t>48</w:t>
      </w:r>
      <w:r>
        <w:rPr>
          <w:rFonts w:ascii="Google Sans" w:eastAsia="Google Sans" w:hAnsi="Google Sans" w:cs="Google Sans"/>
          <w:color w:val="1F1F1F"/>
        </w:rPr>
        <w:t xml:space="preserve"> Testing across this expanded period subjects the HERC algorithm, the Gerber statistic, and the dynamic volatility targeting layer to the following critical structural breaks:</w:t>
      </w:r>
    </w:p>
    <w:p w14:paraId="08C53F70" w14:textId="77777777" w:rsidR="000204E1"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The 2008 Global Financial Crisis (GFC)</w:t>
      </w:r>
      <w:r>
        <w:rPr>
          <w:rFonts w:ascii="Google Sans" w:eastAsia="Google Sans" w:hAnsi="Google Sans" w:cs="Google Sans"/>
          <w:color w:val="1F1F1F"/>
        </w:rPr>
        <w:t>: The archetypal systemic correlation shock. As global interbank liquidity evaporated, cross-asset correlations rapidly converged toward 1.0, rendering traditional diversification useless. This period brutally tests the clustering algorithm's ability to identify true non-correlated safe havens (like Gold ETFs) and the volatility targeting module's ability to rapidly deleverage to cash.</w:t>
      </w:r>
      <w:r>
        <w:rPr>
          <w:rFonts w:ascii="Google Sans" w:eastAsia="Google Sans" w:hAnsi="Google Sans" w:cs="Google Sans"/>
          <w:color w:val="444746"/>
          <w:sz w:val="24"/>
          <w:szCs w:val="24"/>
          <w:vertAlign w:val="superscript"/>
        </w:rPr>
        <w:t>48</w:t>
      </w:r>
    </w:p>
    <w:p w14:paraId="121F6E87" w14:textId="5655AD06" w:rsidR="000204E1"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The 2011 Eurozone Sovereign Debt Crisis</w:t>
      </w:r>
      <w:r>
        <w:rPr>
          <w:rFonts w:ascii="Google Sans" w:eastAsia="Google Sans" w:hAnsi="Google Sans" w:cs="Google Sans"/>
          <w:color w:val="1F1F1F"/>
        </w:rPr>
        <w:t xml:space="preserve">: </w:t>
      </w:r>
      <w:r w:rsidR="00EB26F9">
        <w:rPr>
          <w:rFonts w:ascii="Google Sans" w:eastAsia="Google Sans" w:hAnsi="Google Sans" w:cs="Google Sans"/>
          <w:color w:val="1F1F1F"/>
        </w:rPr>
        <w:t>Characterised</w:t>
      </w:r>
      <w:r>
        <w:rPr>
          <w:rFonts w:ascii="Google Sans" w:eastAsia="Google Sans" w:hAnsi="Google Sans" w:cs="Google Sans"/>
          <w:color w:val="1F1F1F"/>
        </w:rPr>
        <w:t xml:space="preserve"> by </w:t>
      </w:r>
      <w:r w:rsidR="00EB26F9">
        <w:rPr>
          <w:rFonts w:ascii="Google Sans" w:eastAsia="Google Sans" w:hAnsi="Google Sans" w:cs="Google Sans"/>
          <w:color w:val="1F1F1F"/>
        </w:rPr>
        <w:t>localised</w:t>
      </w:r>
      <w:r>
        <w:rPr>
          <w:rFonts w:ascii="Google Sans" w:eastAsia="Google Sans" w:hAnsi="Google Sans" w:cs="Google Sans"/>
          <w:color w:val="1F1F1F"/>
        </w:rPr>
        <w:t xml:space="preserve"> macroeconomic uncertainty, contagion fears, and elevated baseline volatility, serving as a critical test for the sentiment engine's response to geopolitical and sovereign stress.</w:t>
      </w:r>
      <w:r>
        <w:rPr>
          <w:rFonts w:ascii="Google Sans" w:eastAsia="Google Sans" w:hAnsi="Google Sans" w:cs="Google Sans"/>
          <w:color w:val="444746"/>
          <w:sz w:val="24"/>
          <w:szCs w:val="24"/>
          <w:vertAlign w:val="superscript"/>
        </w:rPr>
        <w:t>48</w:t>
      </w:r>
    </w:p>
    <w:p w14:paraId="5ADFE56B" w14:textId="1EE7486B" w:rsidR="000204E1"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The 2013 "Taper Tantrum"</w:t>
      </w:r>
      <w:r>
        <w:rPr>
          <w:rFonts w:ascii="Google Sans" w:eastAsia="Google Sans" w:hAnsi="Google Sans" w:cs="Google Sans"/>
          <w:color w:val="1F1F1F"/>
        </w:rPr>
        <w:t>: Following the US Federal Reserve's indication of tapering quantitative easing, global yields spiked, resulting in a violent capital flight from emerging markets. This caused massive currency depreciation and severe equity drawdowns</w:t>
      </w:r>
      <w:r w:rsidR="00EB26F9">
        <w:rPr>
          <w:rFonts w:ascii="Google Sans" w:eastAsia="Google Sans" w:hAnsi="Google Sans" w:cs="Google Sans"/>
          <w:color w:val="1F1F1F"/>
        </w:rPr>
        <w:t>,</w:t>
      </w:r>
      <w:r>
        <w:rPr>
          <w:rFonts w:ascii="Google Sans" w:eastAsia="Google Sans" w:hAnsi="Google Sans" w:cs="Google Sans"/>
          <w:color w:val="1F1F1F"/>
        </w:rPr>
        <w:t xml:space="preserve"> specifically in India. This isolates the portfolio's resilience to external interest-rate shocks and sudden hawkish central bank pivots.</w:t>
      </w:r>
      <w:r>
        <w:rPr>
          <w:rFonts w:ascii="Google Sans" w:eastAsia="Google Sans" w:hAnsi="Google Sans" w:cs="Google Sans"/>
          <w:color w:val="444746"/>
          <w:sz w:val="24"/>
          <w:szCs w:val="24"/>
          <w:vertAlign w:val="superscript"/>
        </w:rPr>
        <w:t>9</w:t>
      </w:r>
    </w:p>
    <w:p w14:paraId="5A71126F" w14:textId="6120B74D" w:rsidR="000204E1"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The 2016 Indian Demonetization</w:t>
      </w:r>
      <w:r>
        <w:rPr>
          <w:rFonts w:ascii="Google Sans" w:eastAsia="Google Sans" w:hAnsi="Google Sans" w:cs="Google Sans"/>
          <w:color w:val="1F1F1F"/>
        </w:rPr>
        <w:t xml:space="preserve">: A highly </w:t>
      </w:r>
      <w:r w:rsidR="00EB26F9">
        <w:rPr>
          <w:rFonts w:ascii="Google Sans" w:eastAsia="Google Sans" w:hAnsi="Google Sans" w:cs="Google Sans"/>
          <w:color w:val="1F1F1F"/>
        </w:rPr>
        <w:t>localised</w:t>
      </w:r>
      <w:r>
        <w:rPr>
          <w:rFonts w:ascii="Google Sans" w:eastAsia="Google Sans" w:hAnsi="Google Sans" w:cs="Google Sans"/>
          <w:color w:val="1F1F1F"/>
        </w:rPr>
        <w:t xml:space="preserve">, idiosyncratic domestic liquidity shock that affected specific, cash-intensive sectors (e.g., FMCG, Real Estate, Banking) </w:t>
      </w:r>
      <w:r>
        <w:rPr>
          <w:rFonts w:ascii="Google Sans" w:eastAsia="Google Sans" w:hAnsi="Google Sans" w:cs="Google Sans"/>
          <w:color w:val="1F1F1F"/>
        </w:rPr>
        <w:lastRenderedPageBreak/>
        <w:t>disproportionately, while leaving others relatively unscathed. This provides a perfect, isolated testbed for the MiMIC NLP engine to prove its value in facilitating sector-level risk adaptation.</w:t>
      </w:r>
      <w:r>
        <w:rPr>
          <w:rFonts w:ascii="Google Sans" w:eastAsia="Google Sans" w:hAnsi="Google Sans" w:cs="Google Sans"/>
          <w:color w:val="444746"/>
          <w:sz w:val="24"/>
          <w:szCs w:val="24"/>
          <w:vertAlign w:val="superscript"/>
        </w:rPr>
        <w:t>60</w:t>
      </w:r>
    </w:p>
    <w:p w14:paraId="3EDD20FD" w14:textId="77777777" w:rsidR="000204E1"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The 2020 COVID-19 Pandemic</w:t>
      </w:r>
      <w:r>
        <w:rPr>
          <w:rFonts w:ascii="Google Sans" w:eastAsia="Google Sans" w:hAnsi="Google Sans" w:cs="Google Sans"/>
          <w:color w:val="1F1F1F"/>
        </w:rPr>
        <w:t>: A true "black-swan" exogenous shock that triggered the fastest market collapse in history, followed immediately by unprecedented central bank quantitative easing. This forces the portfolio architecture to demonstrate severe operational agility—pivoting rapidly from extreme defensive posturing to high-beta recovery participation.</w:t>
      </w:r>
      <w:r>
        <w:rPr>
          <w:rFonts w:ascii="Google Sans" w:eastAsia="Google Sans" w:hAnsi="Google Sans" w:cs="Google Sans"/>
          <w:color w:val="444746"/>
          <w:sz w:val="24"/>
          <w:szCs w:val="24"/>
          <w:vertAlign w:val="superscript"/>
        </w:rPr>
        <w:t>3</w:t>
      </w:r>
    </w:p>
    <w:p w14:paraId="44475CA2" w14:textId="229D2C60" w:rsidR="000204E1"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The 2022-2023 Inflationary Regime</w:t>
      </w:r>
      <w:r>
        <w:rPr>
          <w:rFonts w:ascii="Google Sans" w:eastAsia="Google Sans" w:hAnsi="Google Sans" w:cs="Google Sans"/>
          <w:color w:val="1F1F1F"/>
        </w:rPr>
        <w:t xml:space="preserve">: A prolonged period </w:t>
      </w:r>
      <w:r w:rsidR="00EB26F9">
        <w:rPr>
          <w:rFonts w:ascii="Google Sans" w:eastAsia="Google Sans" w:hAnsi="Google Sans" w:cs="Google Sans"/>
          <w:color w:val="1F1F1F"/>
        </w:rPr>
        <w:t>characterised</w:t>
      </w:r>
      <w:r>
        <w:rPr>
          <w:rFonts w:ascii="Google Sans" w:eastAsia="Google Sans" w:hAnsi="Google Sans" w:cs="Google Sans"/>
          <w:color w:val="1F1F1F"/>
        </w:rPr>
        <w:t xml:space="preserve"> by </w:t>
      </w:r>
      <w:r w:rsidR="00EB26F9">
        <w:rPr>
          <w:rFonts w:ascii="Google Sans" w:eastAsia="Google Sans" w:hAnsi="Google Sans" w:cs="Google Sans"/>
          <w:color w:val="1F1F1F"/>
        </w:rPr>
        <w:t>synchronised</w:t>
      </w:r>
      <w:r>
        <w:rPr>
          <w:rFonts w:ascii="Google Sans" w:eastAsia="Google Sans" w:hAnsi="Google Sans" w:cs="Google Sans"/>
          <w:color w:val="1F1F1F"/>
        </w:rPr>
        <w:t xml:space="preserve"> global rate hikes, stagflationary pressures, and the simultaneous drawdown of both equities and bonds. This uniquely tests the framework's ability to navigate environments where the traditional 60/40 negative correlation assumption completely breaks down.</w:t>
      </w:r>
      <w:r>
        <w:rPr>
          <w:rFonts w:ascii="Google Sans" w:eastAsia="Google Sans" w:hAnsi="Google Sans" w:cs="Google Sans"/>
          <w:color w:val="444746"/>
          <w:sz w:val="24"/>
          <w:szCs w:val="24"/>
          <w:vertAlign w:val="superscript"/>
        </w:rPr>
        <w:t>3</w:t>
      </w:r>
    </w:p>
    <w:p w14:paraId="00B97AB6"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By evaluating the performance of the proposed adaptive models across these wildly distinct periods, the project generates highly defensible, robust empirical evidence regarding correlation instability and the mechanisms of adaptive risk survival.</w:t>
      </w:r>
      <w:r>
        <w:rPr>
          <w:rFonts w:ascii="Google Sans" w:eastAsia="Google Sans" w:hAnsi="Google Sans" w:cs="Google Sans"/>
          <w:color w:val="444746"/>
          <w:sz w:val="24"/>
          <w:szCs w:val="24"/>
          <w:vertAlign w:val="superscript"/>
        </w:rPr>
        <w:t>9</w:t>
      </w:r>
    </w:p>
    <w:p w14:paraId="66A55302" w14:textId="77777777" w:rsidR="000204E1"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8. Rigorous Backtesting Engine and Advanced Risk Analytics</w:t>
      </w:r>
    </w:p>
    <w:p w14:paraId="6F6E6B16"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translation of sophisticated quantitative theory into verifiable, actionable results relies entirely on the structural integrity of the backtesting framework.</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Evaluating machine learning models, clustering algorithms, and dynamic correlation strategies using simple, static train-test splits or basic rolling windows invariably leads to insidious data leakage, hindsight bias, and severe overfitting.</w:t>
      </w:r>
      <w:r>
        <w:rPr>
          <w:rFonts w:ascii="Google Sans" w:eastAsia="Google Sans" w:hAnsi="Google Sans" w:cs="Google Sans"/>
          <w:color w:val="444746"/>
          <w:sz w:val="24"/>
          <w:szCs w:val="24"/>
          <w:vertAlign w:val="superscript"/>
        </w:rPr>
        <w:t>39</w:t>
      </w:r>
    </w:p>
    <w:p w14:paraId="7A0F1DDB" w14:textId="77777777" w:rsidR="000204E1"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8.1 Combinatorial Purged Cross-Validation (CPCV)</w:t>
      </w:r>
    </w:p>
    <w:p w14:paraId="30F945EF"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blueprint initially recommended a standard rolling window structure (e.g., 2 years of training data forecasting the next 1 month).</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While adequate for basic statistical analysis, industry-standard machine learning applied to finance demands vastly more rigorous validation protocols.</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Financial time series data is highly serially correlated; if a training dataset immediately precedes a test dataset chronologically, the model may inadvertently learn from leaked macroeconomic information across the boundary.</w:t>
      </w:r>
      <w:r>
        <w:rPr>
          <w:rFonts w:ascii="Google Sans" w:eastAsia="Google Sans" w:hAnsi="Google Sans" w:cs="Google Sans"/>
          <w:color w:val="444746"/>
          <w:sz w:val="24"/>
          <w:szCs w:val="24"/>
          <w:vertAlign w:val="superscript"/>
        </w:rPr>
        <w:t>23</w:t>
      </w:r>
    </w:p>
    <w:p w14:paraId="65FCA08A"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To completely eradicate this bias, the framework must integrate </w:t>
      </w:r>
      <w:r>
        <w:rPr>
          <w:rFonts w:ascii="Google Sans" w:eastAsia="Google Sans" w:hAnsi="Google Sans" w:cs="Google Sans"/>
          <w:b/>
          <w:bCs/>
          <w:color w:val="1F1F1F"/>
        </w:rPr>
        <w:t>Combinatorial Purged Cross-Validation (CPCV)</w:t>
      </w:r>
      <w:r>
        <w:rPr>
          <w:rFonts w:ascii="Google Sans" w:eastAsia="Google Sans" w:hAnsi="Google Sans" w:cs="Google Sans"/>
          <w:color w:val="1F1F1F"/>
        </w:rPr>
        <w:t xml:space="preserve">, implemented efficiently via the </w:t>
      </w:r>
      <w:proofErr w:type="spellStart"/>
      <w:r>
        <w:rPr>
          <w:rFonts w:ascii="Google Sans" w:eastAsia="Google Sans" w:hAnsi="Google Sans" w:cs="Google Sans"/>
          <w:color w:val="1F1F1F"/>
        </w:rPr>
        <w:t>skfolio</w:t>
      </w:r>
      <w:proofErr w:type="spellEnd"/>
      <w:r>
        <w:rPr>
          <w:rFonts w:ascii="Google Sans" w:eastAsia="Google Sans" w:hAnsi="Google Sans" w:cs="Google Sans"/>
          <w:color w:val="1F1F1F"/>
        </w:rPr>
        <w:t xml:space="preserve"> Python library.</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CPCV systematically addresses serial correlation by "purging" observations—explicitly dropping a specific number of data points near the training-testing boundary to create a sterile quarantine zone that prevents any information leakage.</w:t>
      </w:r>
      <w:r>
        <w:rPr>
          <w:rFonts w:ascii="Google Sans" w:eastAsia="Google Sans" w:hAnsi="Google Sans" w:cs="Google Sans"/>
          <w:color w:val="444746"/>
          <w:sz w:val="24"/>
          <w:szCs w:val="24"/>
          <w:vertAlign w:val="superscript"/>
        </w:rPr>
        <w:t>23</w:t>
      </w:r>
    </w:p>
    <w:p w14:paraId="27A7A93F" w14:textId="77777777" w:rsidR="000204E1"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Furthermore, instead of generating a single historical performance path (which could simply be the result of a </w:t>
      </w:r>
      <w:proofErr w:type="spellStart"/>
      <w:r>
        <w:rPr>
          <w:rFonts w:ascii="Google Sans" w:eastAsia="Google Sans" w:hAnsi="Google Sans" w:cs="Google Sans"/>
          <w:color w:val="1F1F1F"/>
        </w:rPr>
        <w:t>favorable</w:t>
      </w:r>
      <w:proofErr w:type="spellEnd"/>
      <w:r>
        <w:rPr>
          <w:rFonts w:ascii="Google Sans" w:eastAsia="Google Sans" w:hAnsi="Google Sans" w:cs="Google Sans"/>
          <w:color w:val="1F1F1F"/>
        </w:rPr>
        <w:t xml:space="preserve"> starting date), CPCV uses combinatorial mathematics to partition </w:t>
      </w:r>
      <w:r>
        <w:rPr>
          <w:rFonts w:ascii="Google Sans" w:eastAsia="Google Sans" w:hAnsi="Google Sans" w:cs="Google Sans"/>
          <w:color w:val="1F1F1F"/>
        </w:rPr>
        <w:lastRenderedPageBreak/>
        <w:t xml:space="preserve">the 20-year dataset into multiple overlapping training and testing segments. This allows the system to simulate hundreds of </w:t>
      </w:r>
      <w:proofErr w:type="gramStart"/>
      <w:r>
        <w:rPr>
          <w:rFonts w:ascii="Google Sans" w:eastAsia="Google Sans" w:hAnsi="Google Sans" w:cs="Google Sans"/>
          <w:color w:val="1F1F1F"/>
        </w:rPr>
        <w:t>alternative</w:t>
      </w:r>
      <w:proofErr w:type="gramEnd"/>
      <w:r>
        <w:rPr>
          <w:rFonts w:ascii="Google Sans" w:eastAsia="Google Sans" w:hAnsi="Google Sans" w:cs="Google Sans"/>
          <w:color w:val="1F1F1F"/>
        </w:rPr>
        <w:t>, statistically valid historical testing paths.</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xml:space="preserve"> The result is a robust, comprehensive statistical distribution of out-of-sample Sharpe ratios, drawdowns, and returns, providing a definitive measure of the algorithm's true expected performance under uncertainty, rather than a single, potentially lucky historical trajectory.</w:t>
      </w:r>
      <w:r>
        <w:rPr>
          <w:rFonts w:ascii="Google Sans" w:eastAsia="Google Sans" w:hAnsi="Google Sans" w:cs="Google Sans"/>
          <w:color w:val="444746"/>
          <w:sz w:val="24"/>
          <w:szCs w:val="24"/>
          <w:vertAlign w:val="superscript"/>
        </w:rPr>
        <w:t>23</w:t>
      </w:r>
    </w:p>
    <w:p w14:paraId="6614AAEE" w14:textId="77777777" w:rsidR="000204E1"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8.2 Industry-Standard Benchmarking and Evaluation Metrics</w:t>
      </w:r>
    </w:p>
    <w:p w14:paraId="41EE4C85" w14:textId="77777777" w:rsidR="000204E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sheer complexity of the adaptive HERC portfolios, Gerber statistics, and NLP sentiment overlays must be justified by demonstrable outperformance against naive and classical baselines across the 20-year horizon. The mandatory benchmark portfolios include </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6DFA5EE8" w14:textId="77777777" w:rsidR="000204E1"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Equal Weight (1/N)</w:t>
      </w:r>
      <w:r>
        <w:rPr>
          <w:rFonts w:ascii="Google Sans" w:eastAsia="Google Sans" w:hAnsi="Google Sans" w:cs="Google Sans"/>
          <w:color w:val="1F1F1F"/>
        </w:rPr>
        <w:t>: The ultimate naive diversification baseline. Due to its complete lack of parameter estimation error, 1/N famously outperforms complex MVO models in many out-of-sample stress tests, serving as the most honest benchmark for clustering algorithms.</w:t>
      </w:r>
      <w:r>
        <w:rPr>
          <w:rFonts w:ascii="Google Sans" w:eastAsia="Google Sans" w:hAnsi="Google Sans" w:cs="Google Sans"/>
          <w:color w:val="444746"/>
          <w:sz w:val="24"/>
          <w:szCs w:val="24"/>
          <w:vertAlign w:val="superscript"/>
        </w:rPr>
        <w:t>3</w:t>
      </w:r>
    </w:p>
    <w:p w14:paraId="3917ED42" w14:textId="77777777" w:rsidR="000204E1"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Mean-Variance Optimization (MVO)</w:t>
      </w:r>
      <w:r>
        <w:rPr>
          <w:rFonts w:ascii="Google Sans" w:eastAsia="Google Sans" w:hAnsi="Google Sans" w:cs="Google Sans"/>
          <w:color w:val="1F1F1F"/>
        </w:rPr>
        <w:t>: The classical Markowitz maximum-Sharpe frontier, included to explicitly demonstrate the catastrophic vulnerabilities of unconstrained covariance inversion during the 2008 and 2020 crises.</w:t>
      </w:r>
      <w:r>
        <w:rPr>
          <w:rFonts w:ascii="Google Sans" w:eastAsia="Google Sans" w:hAnsi="Google Sans" w:cs="Google Sans"/>
          <w:color w:val="444746"/>
          <w:sz w:val="24"/>
          <w:szCs w:val="24"/>
          <w:vertAlign w:val="superscript"/>
        </w:rPr>
        <w:t>2</w:t>
      </w:r>
    </w:p>
    <w:p w14:paraId="65F5C3EF" w14:textId="77777777" w:rsidR="000204E1"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Inverse Volatility (Risk Parity)</w:t>
      </w:r>
      <w:r>
        <w:rPr>
          <w:rFonts w:ascii="Google Sans" w:eastAsia="Google Sans" w:hAnsi="Google Sans" w:cs="Google Sans"/>
          <w:color w:val="1F1F1F"/>
        </w:rPr>
        <w:t>: A standard volatility-weighted portfolio that ignores correlation entirely, serving as a mid-point baseline against which the correlation-aware HERC algorithm must prove its value.</w:t>
      </w:r>
      <w:r>
        <w:rPr>
          <w:rFonts w:ascii="Google Sans" w:eastAsia="Google Sans" w:hAnsi="Google Sans" w:cs="Google Sans"/>
          <w:color w:val="444746"/>
          <w:sz w:val="24"/>
          <w:szCs w:val="24"/>
          <w:vertAlign w:val="superscript"/>
        </w:rPr>
        <w:t>3</w:t>
      </w:r>
    </w:p>
    <w:p w14:paraId="206A8231" w14:textId="77777777" w:rsidR="000204E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evaluation metrics utilized by the analytics layer must prioritize path dependency, turnover costs, and severe downside risk.</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While the traditional Sharpe Ratio measures basic risk-adjusted returns, the framework will emphasize advanced FRM metrics:</w:t>
      </w:r>
    </w:p>
    <w:p w14:paraId="31114787" w14:textId="77777777" w:rsidR="000204E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Sortino Ratio</w:t>
      </w:r>
      <w:r>
        <w:rPr>
          <w:rFonts w:ascii="Google Sans" w:eastAsia="Google Sans" w:hAnsi="Google Sans" w:cs="Google Sans"/>
          <w:color w:val="1F1F1F"/>
        </w:rPr>
        <w:t>: Isolating and penalizing only downside volatility, which is the only volatility relevant for strict risk management.</w:t>
      </w:r>
      <w:r>
        <w:rPr>
          <w:rFonts w:ascii="Google Sans" w:eastAsia="Google Sans" w:hAnsi="Google Sans" w:cs="Google Sans"/>
          <w:color w:val="444746"/>
          <w:sz w:val="24"/>
          <w:szCs w:val="24"/>
          <w:vertAlign w:val="superscript"/>
        </w:rPr>
        <w:t>3</w:t>
      </w:r>
    </w:p>
    <w:p w14:paraId="7EF1C295" w14:textId="77777777" w:rsidR="000204E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Maximum Drawdown (MDD) and Conditional Drawdown at Risk (</w:t>
      </w:r>
      <w:proofErr w:type="spellStart"/>
      <w:r>
        <w:rPr>
          <w:rFonts w:ascii="Google Sans" w:eastAsia="Google Sans" w:hAnsi="Google Sans" w:cs="Google Sans"/>
          <w:b/>
          <w:bCs/>
          <w:color w:val="1F1F1F"/>
        </w:rPr>
        <w:t>CDaR</w:t>
      </w:r>
      <w:proofErr w:type="spellEnd"/>
      <w:r>
        <w:rPr>
          <w:rFonts w:ascii="Google Sans" w:eastAsia="Google Sans" w:hAnsi="Google Sans" w:cs="Google Sans"/>
          <w:b/>
          <w:bCs/>
          <w:color w:val="1F1F1F"/>
        </w:rPr>
        <w:t>)</w:t>
      </w:r>
      <w:r>
        <w:rPr>
          <w:rFonts w:ascii="Google Sans" w:eastAsia="Google Sans" w:hAnsi="Google Sans" w:cs="Google Sans"/>
          <w:color w:val="1F1F1F"/>
        </w:rPr>
        <w:t>: Accurately measuring the depth and severity of extreme capital losses during crisis regimes, which dictates a portfolio's ultimate survivability.</w:t>
      </w:r>
      <w:r>
        <w:rPr>
          <w:rFonts w:ascii="Google Sans" w:eastAsia="Google Sans" w:hAnsi="Google Sans" w:cs="Google Sans"/>
          <w:color w:val="444746"/>
          <w:sz w:val="24"/>
          <w:szCs w:val="24"/>
          <w:vertAlign w:val="superscript"/>
        </w:rPr>
        <w:t>3</w:t>
      </w:r>
    </w:p>
    <w:p w14:paraId="1BC2C558" w14:textId="77777777" w:rsidR="000204E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Conditional Value at Risk (CVaR) and Entropic Value at Risk (EVaR)</w:t>
      </w:r>
      <w:r>
        <w:rPr>
          <w:rFonts w:ascii="Google Sans" w:eastAsia="Google Sans" w:hAnsi="Google Sans" w:cs="Google Sans"/>
          <w:color w:val="1F1F1F"/>
        </w:rPr>
        <w:t>: Estimating the expected, absolute capital loss in the worst 5% of probabilistic scenarios, providing rigorous tail-risk evaluation.</w:t>
      </w:r>
      <w:r>
        <w:rPr>
          <w:rFonts w:ascii="Google Sans" w:eastAsia="Google Sans" w:hAnsi="Google Sans" w:cs="Google Sans"/>
          <w:color w:val="444746"/>
          <w:sz w:val="24"/>
          <w:szCs w:val="24"/>
          <w:vertAlign w:val="superscript"/>
        </w:rPr>
        <w:t>3</w:t>
      </w:r>
    </w:p>
    <w:p w14:paraId="1A197426" w14:textId="77777777" w:rsidR="000204E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Portfolio Turnover Rate</w:t>
      </w:r>
      <w:r>
        <w:rPr>
          <w:rFonts w:ascii="Google Sans" w:eastAsia="Google Sans" w:hAnsi="Google Sans" w:cs="Google Sans"/>
          <w:color w:val="1F1F1F"/>
        </w:rPr>
        <w:t>: Measuring the average fraction of the portfolio traded during each rebalancing period, which directly links the theoretical optimality of the allocation to its practical, financial implementation cost.</w:t>
      </w:r>
      <w:r>
        <w:rPr>
          <w:rFonts w:ascii="Google Sans" w:eastAsia="Google Sans" w:hAnsi="Google Sans" w:cs="Google Sans"/>
          <w:color w:val="444746"/>
          <w:sz w:val="24"/>
          <w:szCs w:val="24"/>
          <w:vertAlign w:val="superscript"/>
        </w:rPr>
        <w:t>27</w:t>
      </w:r>
    </w:p>
    <w:p w14:paraId="5D898B9A" w14:textId="77777777" w:rsidR="000204E1"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By meticulously enforcing these rigorous validation methodologies, implementing advanced net-of-cost optimizations, and expanding the testing horizon across two decades of systemic market volatility, the architecture transcends academic theory to become a highly defensible, institutionally viable Financial Risk Management platform.</w:t>
      </w:r>
    </w:p>
    <w:p w14:paraId="00BD7CD3" w14:textId="77777777" w:rsidR="000204E1"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006A5105"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lastRenderedPageBreak/>
        <w:t xml:space="preserve">Hierarchical Risk Parity on RAPIDS: An ML Approach to Portfolio Allocation, accessed on May 23, 2026, </w:t>
      </w:r>
      <w:hyperlink r:id="rId31">
        <w:r>
          <w:rPr>
            <w:rFonts w:ascii="Google Sans" w:eastAsia="Google Sans" w:hAnsi="Google Sans" w:cs="Google Sans"/>
            <w:color w:val="0000EE"/>
            <w:sz w:val="24"/>
            <w:szCs w:val="24"/>
            <w:u w:val="single"/>
          </w:rPr>
          <w:t>https://developer.nvidia.com/blog/hierarchical-risk-parity-on-rapids-an-ml-approach-to-portfolio-allocation/</w:t>
        </w:r>
      </w:hyperlink>
    </w:p>
    <w:p w14:paraId="09B2E04C"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Mean-variance and hierarchical risk parity: An empirical study of large-cap stock portfolios - CFE - Columbia University, accessed on May 23, 2026, </w:t>
      </w:r>
      <w:hyperlink r:id="rId32">
        <w:r>
          <w:rPr>
            <w:rFonts w:ascii="Google Sans" w:eastAsia="Google Sans" w:hAnsi="Google Sans" w:cs="Google Sans"/>
            <w:color w:val="0000EE"/>
            <w:sz w:val="24"/>
            <w:szCs w:val="24"/>
            <w:u w:val="single"/>
          </w:rPr>
          <w:t>https://cfe.columbia.edu/sites/cfe.columbia.edu/files/content/Posters/2025/Mean-variance%20and%20hierarchical%20risk%20parity%20An%20empirical%20study%20of%20large-cap%20stock%20portfolios.pdf</w:t>
        </w:r>
      </w:hyperlink>
    </w:p>
    <w:p w14:paraId="2E537A6B"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Portfolio Management Project.docx</w:t>
      </w:r>
    </w:p>
    <w:p w14:paraId="538C2BEA"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Portfolio Construction with Hierarchical Risk Parity (HRP) | by Varun - Medium, accessed on May 23, 2026, </w:t>
      </w:r>
      <w:hyperlink r:id="rId33">
        <w:r>
          <w:rPr>
            <w:rFonts w:ascii="Google Sans" w:eastAsia="Google Sans" w:hAnsi="Google Sans" w:cs="Google Sans"/>
            <w:color w:val="0000EE"/>
            <w:sz w:val="24"/>
            <w:szCs w:val="24"/>
            <w:u w:val="single"/>
          </w:rPr>
          <w:t>https://medium.com/@varunp96/portfolio-construction-with-hierarchical-risk-parity-hrp-f63d66d19023</w:t>
        </w:r>
      </w:hyperlink>
    </w:p>
    <w:p w14:paraId="437D96F6"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Enhancing portfolio management using artificial intelligence: literature review - PMC, accessed on May 23, 2026, </w:t>
      </w:r>
      <w:hyperlink r:id="rId34">
        <w:r>
          <w:rPr>
            <w:rFonts w:ascii="Google Sans" w:eastAsia="Google Sans" w:hAnsi="Google Sans" w:cs="Google Sans"/>
            <w:color w:val="0000EE"/>
            <w:sz w:val="24"/>
            <w:szCs w:val="24"/>
            <w:u w:val="single"/>
          </w:rPr>
          <w:t>https://pmc.ncbi.nlm.nih.gov/articles/PMC11033520/</w:t>
        </w:r>
      </w:hyperlink>
    </w:p>
    <w:p w14:paraId="441524DF" w14:textId="77777777" w:rsidR="000204E1"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skfolio</w:t>
      </w:r>
      <w:proofErr w:type="spellEnd"/>
      <w:r>
        <w:rPr>
          <w:rFonts w:ascii="Google Sans" w:eastAsia="Google Sans" w:hAnsi="Google Sans" w:cs="Google Sans"/>
          <w:sz w:val="24"/>
          <w:szCs w:val="24"/>
        </w:rPr>
        <w:t xml:space="preserve">: Portfolio Optimization in Python, accessed on May 23, 2026, </w:t>
      </w:r>
      <w:hyperlink r:id="rId35">
        <w:r>
          <w:rPr>
            <w:rFonts w:ascii="Google Sans" w:eastAsia="Google Sans" w:hAnsi="Google Sans" w:cs="Google Sans"/>
            <w:color w:val="0000EE"/>
            <w:sz w:val="24"/>
            <w:szCs w:val="24"/>
            <w:u w:val="single"/>
          </w:rPr>
          <w:t>https://skfolio.org/</w:t>
        </w:r>
      </w:hyperlink>
    </w:p>
    <w:p w14:paraId="7A34601E"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How I Invest </w:t>
      </w:r>
      <w:proofErr w:type="gramStart"/>
      <w:r>
        <w:rPr>
          <w:rFonts w:ascii="Google Sans" w:eastAsia="Google Sans" w:hAnsi="Google Sans" w:cs="Google Sans"/>
          <w:sz w:val="24"/>
          <w:szCs w:val="24"/>
        </w:rPr>
        <w:t>In</w:t>
      </w:r>
      <w:proofErr w:type="gramEnd"/>
      <w:r>
        <w:rPr>
          <w:rFonts w:ascii="Google Sans" w:eastAsia="Google Sans" w:hAnsi="Google Sans" w:cs="Google Sans"/>
          <w:sz w:val="24"/>
          <w:szCs w:val="24"/>
        </w:rPr>
        <w:t xml:space="preserve"> </w:t>
      </w:r>
      <w:proofErr w:type="gramStart"/>
      <w:r>
        <w:rPr>
          <w:rFonts w:ascii="Google Sans" w:eastAsia="Google Sans" w:hAnsi="Google Sans" w:cs="Google Sans"/>
          <w:sz w:val="24"/>
          <w:szCs w:val="24"/>
        </w:rPr>
        <w:t>An</w:t>
      </w:r>
      <w:proofErr w:type="gramEnd"/>
      <w:r>
        <w:rPr>
          <w:rFonts w:ascii="Google Sans" w:eastAsia="Google Sans" w:hAnsi="Google Sans" w:cs="Google Sans"/>
          <w:sz w:val="24"/>
          <w:szCs w:val="24"/>
        </w:rPr>
        <w:t xml:space="preserve"> Adaptive Risk Parity Portfolio Strategy </w:t>
      </w:r>
      <w:proofErr w:type="gramStart"/>
      <w:r>
        <w:rPr>
          <w:rFonts w:ascii="Google Sans" w:eastAsia="Google Sans" w:hAnsi="Google Sans" w:cs="Google Sans"/>
          <w:sz w:val="24"/>
          <w:szCs w:val="24"/>
        </w:rPr>
        <w:t>With</w:t>
      </w:r>
      <w:proofErr w:type="gramEnd"/>
      <w:r>
        <w:rPr>
          <w:rFonts w:ascii="Google Sans" w:eastAsia="Google Sans" w:hAnsi="Google Sans" w:cs="Google Sans"/>
          <w:sz w:val="24"/>
          <w:szCs w:val="24"/>
        </w:rPr>
        <w:t xml:space="preserve"> Daniel Snover, accessed on May 23, 2026, </w:t>
      </w:r>
      <w:hyperlink r:id="rId36">
        <w:r>
          <w:rPr>
            <w:rFonts w:ascii="Google Sans" w:eastAsia="Google Sans" w:hAnsi="Google Sans" w:cs="Google Sans"/>
            <w:color w:val="0000EE"/>
            <w:sz w:val="24"/>
            <w:szCs w:val="24"/>
            <w:u w:val="single"/>
          </w:rPr>
          <w:t>https://pictureperfectportfolios.com/how-i-invest-adaptive-risk-parity-portfolio-daniel-snover/</w:t>
        </w:r>
      </w:hyperlink>
    </w:p>
    <w:p w14:paraId="46584853"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Managing Editor's Letter, accessed on May 23, 2026, </w:t>
      </w:r>
      <w:hyperlink r:id="rId37">
        <w:r>
          <w:rPr>
            <w:rFonts w:ascii="Google Sans" w:eastAsia="Google Sans" w:hAnsi="Google Sans" w:cs="Google Sans"/>
            <w:color w:val="0000EE"/>
            <w:sz w:val="24"/>
            <w:szCs w:val="24"/>
            <w:u w:val="single"/>
          </w:rPr>
          <w:t>https://www.pm-research.com/content/iijjfds/3/2/1</w:t>
        </w:r>
      </w:hyperlink>
    </w:p>
    <w:p w14:paraId="43DB6182"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Building optimal regime-switching portfolios | Request PDF - ResearchGate, accessed on May 23, 2026, </w:t>
      </w:r>
      <w:hyperlink r:id="rId38">
        <w:r>
          <w:rPr>
            <w:rFonts w:ascii="Google Sans" w:eastAsia="Google Sans" w:hAnsi="Google Sans" w:cs="Google Sans"/>
            <w:color w:val="0000EE"/>
            <w:sz w:val="24"/>
            <w:szCs w:val="24"/>
            <w:u w:val="single"/>
          </w:rPr>
          <w:t>https://www.researchgate.net/publication/365774722_Building_optimal_regime-switching_portfolios</w:t>
        </w:r>
      </w:hyperlink>
    </w:p>
    <w:p w14:paraId="52388B65"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A Study of Hierarchical Risk Parity in Portfolio Construction - IDEAS/</w:t>
      </w:r>
      <w:proofErr w:type="spellStart"/>
      <w:r>
        <w:rPr>
          <w:rFonts w:ascii="Google Sans" w:eastAsia="Google Sans" w:hAnsi="Google Sans" w:cs="Google Sans"/>
          <w:sz w:val="24"/>
          <w:szCs w:val="24"/>
        </w:rPr>
        <w:t>RePEc</w:t>
      </w:r>
      <w:proofErr w:type="spellEnd"/>
      <w:r>
        <w:rPr>
          <w:rFonts w:ascii="Google Sans" w:eastAsia="Google Sans" w:hAnsi="Google Sans" w:cs="Google Sans"/>
          <w:sz w:val="24"/>
          <w:szCs w:val="24"/>
        </w:rPr>
        <w:t xml:space="preserve">, accessed on May 23, 2026, </w:t>
      </w:r>
      <w:hyperlink r:id="rId39">
        <w:r>
          <w:rPr>
            <w:rFonts w:ascii="Google Sans" w:eastAsia="Google Sans" w:hAnsi="Google Sans" w:cs="Google Sans"/>
            <w:color w:val="0000EE"/>
            <w:sz w:val="24"/>
            <w:szCs w:val="24"/>
            <w:u w:val="single"/>
          </w:rPr>
          <w:t>https://ideas.repec.org/a/bba/j00001/v3y2024i3p106-125d218.html</w:t>
        </w:r>
      </w:hyperlink>
    </w:p>
    <w:p w14:paraId="5E48935B"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Hierarchical Risk Parity Rebalancing Methods - </w:t>
      </w:r>
      <w:proofErr w:type="spellStart"/>
      <w:r>
        <w:rPr>
          <w:rFonts w:ascii="Google Sans" w:eastAsia="Google Sans" w:hAnsi="Google Sans" w:cs="Google Sans"/>
          <w:sz w:val="24"/>
          <w:szCs w:val="24"/>
        </w:rPr>
        <w:t>LuxAlgo</w:t>
      </w:r>
      <w:proofErr w:type="spellEnd"/>
      <w:r>
        <w:rPr>
          <w:rFonts w:ascii="Google Sans" w:eastAsia="Google Sans" w:hAnsi="Google Sans" w:cs="Google Sans"/>
          <w:sz w:val="24"/>
          <w:szCs w:val="24"/>
        </w:rPr>
        <w:t xml:space="preserve">, accessed on May 23, 2026, </w:t>
      </w:r>
      <w:hyperlink r:id="rId40">
        <w:r>
          <w:rPr>
            <w:rFonts w:ascii="Google Sans" w:eastAsia="Google Sans" w:hAnsi="Google Sans" w:cs="Google Sans"/>
            <w:color w:val="0000EE"/>
            <w:sz w:val="24"/>
            <w:szCs w:val="24"/>
            <w:u w:val="single"/>
          </w:rPr>
          <w:t>https://www.luxalgo.com/blog/hierarchical-risk-parity-rebalancing-methods/</w:t>
        </w:r>
      </w:hyperlink>
    </w:p>
    <w:p w14:paraId="2149F8F4"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Portfolio Optimization and Asset Allocation - MATLAB &amp; Simulink - MathWorks, accessed on May 23, 2026, </w:t>
      </w:r>
      <w:hyperlink r:id="rId41">
        <w:r>
          <w:rPr>
            <w:rFonts w:ascii="Google Sans" w:eastAsia="Google Sans" w:hAnsi="Google Sans" w:cs="Google Sans"/>
            <w:color w:val="0000EE"/>
            <w:sz w:val="24"/>
            <w:szCs w:val="24"/>
            <w:u w:val="single"/>
          </w:rPr>
          <w:t>https://www.mathworks.com/help/finance/asset-allocation-and-portfolio-optimization.html</w:t>
        </w:r>
      </w:hyperlink>
    </w:p>
    <w:p w14:paraId="2DE07BE3"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An Orthogonal Hierarchical Risk Parity Allocation Method for Improved Portfolio Out-of-Sample Performance - IEEE Xplore, accessed on May 23, 2026, </w:t>
      </w:r>
      <w:hyperlink r:id="rId42">
        <w:r>
          <w:rPr>
            <w:rFonts w:ascii="Google Sans" w:eastAsia="Google Sans" w:hAnsi="Google Sans" w:cs="Google Sans"/>
            <w:color w:val="0000EE"/>
            <w:sz w:val="24"/>
            <w:szCs w:val="24"/>
            <w:u w:val="single"/>
          </w:rPr>
          <w:t>https://ieeexplore.ieee.org/document/11359686/</w:t>
        </w:r>
      </w:hyperlink>
    </w:p>
    <w:p w14:paraId="17FD85BD"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Optimal Portfolio Construction -- A Reinforcement Learning Embedded Bayesian Hierarchical Risk Parity (RL-BHRP) Approach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on May 23, 2026, </w:t>
      </w:r>
      <w:hyperlink r:id="rId43">
        <w:r>
          <w:rPr>
            <w:rFonts w:ascii="Google Sans" w:eastAsia="Google Sans" w:hAnsi="Google Sans" w:cs="Google Sans"/>
            <w:color w:val="0000EE"/>
            <w:sz w:val="24"/>
            <w:szCs w:val="24"/>
            <w:u w:val="single"/>
          </w:rPr>
          <w:t>https://arxiv.org/pdf/2508.11856</w:t>
        </w:r>
      </w:hyperlink>
    </w:p>
    <w:p w14:paraId="74006811"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Hierarchical Risk Parity: A Hierarchical Clustering-based Portfolio Optimization - </w:t>
      </w:r>
      <w:r>
        <w:rPr>
          <w:rFonts w:ascii="Google Sans" w:eastAsia="Google Sans" w:hAnsi="Google Sans" w:cs="Google Sans"/>
          <w:sz w:val="24"/>
          <w:szCs w:val="24"/>
        </w:rPr>
        <w:lastRenderedPageBreak/>
        <w:t xml:space="preserve">CBS Research Portal, accessed on May 23, 2026, </w:t>
      </w:r>
      <w:hyperlink r:id="rId44">
        <w:r>
          <w:rPr>
            <w:rFonts w:ascii="Google Sans" w:eastAsia="Google Sans" w:hAnsi="Google Sans" w:cs="Google Sans"/>
            <w:color w:val="0000EE"/>
            <w:sz w:val="24"/>
            <w:szCs w:val="24"/>
            <w:u w:val="single"/>
          </w:rPr>
          <w:t>https://research.cbs.dk/en/studentProjects/hierarchical-risk-parity-a-hierarchical-clustering-based-portfoli/</w:t>
        </w:r>
      </w:hyperlink>
    </w:p>
    <w:p w14:paraId="4EA54E29"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Portfolio - </w:t>
      </w:r>
      <w:proofErr w:type="spellStart"/>
      <w:r>
        <w:rPr>
          <w:rFonts w:ascii="Google Sans" w:eastAsia="Google Sans" w:hAnsi="Google Sans" w:cs="Google Sans"/>
          <w:sz w:val="24"/>
          <w:szCs w:val="24"/>
        </w:rPr>
        <w:t>skfolio</w:t>
      </w:r>
      <w:proofErr w:type="spellEnd"/>
      <w:r>
        <w:rPr>
          <w:rFonts w:ascii="Google Sans" w:eastAsia="Google Sans" w:hAnsi="Google Sans" w:cs="Google Sans"/>
          <w:sz w:val="24"/>
          <w:szCs w:val="24"/>
        </w:rPr>
        <w:t xml:space="preserve">, accessed on May 23, 2026, </w:t>
      </w:r>
      <w:hyperlink r:id="rId45">
        <w:r>
          <w:rPr>
            <w:rFonts w:ascii="Google Sans" w:eastAsia="Google Sans" w:hAnsi="Google Sans" w:cs="Google Sans"/>
            <w:color w:val="0000EE"/>
            <w:sz w:val="24"/>
            <w:szCs w:val="24"/>
            <w:u w:val="single"/>
          </w:rPr>
          <w:t>https://skfolio.org/user_guide/portfolio.html</w:t>
        </w:r>
      </w:hyperlink>
    </w:p>
    <w:p w14:paraId="36B449A5"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Portfolio Optimization with Python: Hierarchical Risk Parity - Yang Wu, accessed on May 23, 2026, </w:t>
      </w:r>
      <w:hyperlink r:id="rId46">
        <w:r>
          <w:rPr>
            <w:rFonts w:ascii="Google Sans" w:eastAsia="Google Sans" w:hAnsi="Google Sans" w:cs="Google Sans"/>
            <w:color w:val="0000EE"/>
            <w:sz w:val="24"/>
            <w:szCs w:val="24"/>
            <w:u w:val="single"/>
          </w:rPr>
          <w:t>https://kenwuyang.com/posts/2024_10_20_portfolio_optimization_with_python_hierarchical_risk_parity/</w:t>
        </w:r>
      </w:hyperlink>
    </w:p>
    <w:p w14:paraId="3D7A151C" w14:textId="77777777" w:rsidR="000204E1" w:rsidRDefault="00000000">
      <w:pPr>
        <w:numPr>
          <w:ilvl w:val="0"/>
          <w:numId w:val="5"/>
        </w:numPr>
        <w:pBdr>
          <w:top w:val="nil"/>
          <w:left w:val="nil"/>
          <w:bottom w:val="nil"/>
          <w:right w:val="nil"/>
          <w:between w:val="nil"/>
        </w:pBdr>
      </w:pPr>
      <w:proofErr w:type="spellStart"/>
      <w:proofErr w:type="gramStart"/>
      <w:r>
        <w:rPr>
          <w:rFonts w:ascii="Google Sans" w:eastAsia="Google Sans" w:hAnsi="Google Sans" w:cs="Google Sans"/>
          <w:sz w:val="24"/>
          <w:szCs w:val="24"/>
        </w:rPr>
        <w:t>skfolio.optimization</w:t>
      </w:r>
      <w:proofErr w:type="gramEnd"/>
      <w:r>
        <w:rPr>
          <w:rFonts w:ascii="Google Sans" w:eastAsia="Google Sans" w:hAnsi="Google Sans" w:cs="Google Sans"/>
          <w:sz w:val="24"/>
          <w:szCs w:val="24"/>
        </w:rPr>
        <w:t>.HierarchicalEqualRiskContribution</w:t>
      </w:r>
      <w:proofErr w:type="spellEnd"/>
      <w:r>
        <w:rPr>
          <w:rFonts w:ascii="Google Sans" w:eastAsia="Google Sans" w:hAnsi="Google Sans" w:cs="Google Sans"/>
          <w:sz w:val="24"/>
          <w:szCs w:val="24"/>
        </w:rPr>
        <w:t xml:space="preserve">, accessed on May 23, 2026, </w:t>
      </w:r>
      <w:hyperlink r:id="rId47">
        <w:r>
          <w:rPr>
            <w:rFonts w:ascii="Google Sans" w:eastAsia="Google Sans" w:hAnsi="Google Sans" w:cs="Google Sans"/>
            <w:color w:val="0000EE"/>
            <w:sz w:val="24"/>
            <w:szCs w:val="24"/>
            <w:u w:val="single"/>
          </w:rPr>
          <w:t>https://skfolio.org/generated/skfolio.optimization.HierarchicalEqualRiskContribution.html</w:t>
        </w:r>
      </w:hyperlink>
    </w:p>
    <w:p w14:paraId="0F88A8AB" w14:textId="77777777" w:rsidR="000204E1" w:rsidRDefault="00000000">
      <w:pPr>
        <w:numPr>
          <w:ilvl w:val="0"/>
          <w:numId w:val="5"/>
        </w:numPr>
        <w:pBdr>
          <w:top w:val="nil"/>
          <w:left w:val="nil"/>
          <w:bottom w:val="nil"/>
          <w:right w:val="nil"/>
          <w:between w:val="nil"/>
        </w:pBdr>
      </w:pPr>
      <w:proofErr w:type="gramStart"/>
      <w:r>
        <w:rPr>
          <w:rFonts w:ascii="Google Sans" w:eastAsia="Google Sans" w:hAnsi="Google Sans" w:cs="Google Sans"/>
          <w:sz w:val="24"/>
          <w:szCs w:val="24"/>
        </w:rPr>
        <w:t>statsmodels.tsa.regime</w:t>
      </w:r>
      <w:proofErr w:type="gramEnd"/>
      <w:r>
        <w:rPr>
          <w:rFonts w:ascii="Google Sans" w:eastAsia="Google Sans" w:hAnsi="Google Sans" w:cs="Google Sans"/>
          <w:sz w:val="24"/>
          <w:szCs w:val="24"/>
        </w:rPr>
        <w:t>_</w:t>
      </w:r>
      <w:proofErr w:type="gramStart"/>
      <w:r>
        <w:rPr>
          <w:rFonts w:ascii="Google Sans" w:eastAsia="Google Sans" w:hAnsi="Google Sans" w:cs="Google Sans"/>
          <w:sz w:val="24"/>
          <w:szCs w:val="24"/>
        </w:rPr>
        <w:t>switching.markov</w:t>
      </w:r>
      <w:proofErr w:type="gramEnd"/>
      <w:r>
        <w:rPr>
          <w:rFonts w:ascii="Google Sans" w:eastAsia="Google Sans" w:hAnsi="Google Sans" w:cs="Google Sans"/>
          <w:sz w:val="24"/>
          <w:szCs w:val="24"/>
        </w:rPr>
        <w:t>_</w:t>
      </w:r>
      <w:proofErr w:type="gramStart"/>
      <w:r>
        <w:rPr>
          <w:rFonts w:ascii="Google Sans" w:eastAsia="Google Sans" w:hAnsi="Google Sans" w:cs="Google Sans"/>
          <w:sz w:val="24"/>
          <w:szCs w:val="24"/>
        </w:rPr>
        <w:t>autoregression.MarkovAutoregression.predict</w:t>
      </w:r>
      <w:proofErr w:type="gramEnd"/>
      <w:r>
        <w:rPr>
          <w:rFonts w:ascii="Google Sans" w:eastAsia="Google Sans" w:hAnsi="Google Sans" w:cs="Google Sans"/>
          <w:sz w:val="24"/>
          <w:szCs w:val="24"/>
        </w:rPr>
        <w:t xml:space="preserve">, accessed on May 23, 2026, </w:t>
      </w:r>
      <w:hyperlink r:id="rId48">
        <w:r>
          <w:rPr>
            <w:rFonts w:ascii="Google Sans" w:eastAsia="Google Sans" w:hAnsi="Google Sans" w:cs="Google Sans"/>
            <w:color w:val="0000EE"/>
            <w:sz w:val="24"/>
            <w:szCs w:val="24"/>
            <w:u w:val="single"/>
          </w:rPr>
          <w:t>https://www.statsmodels.org/stable/generated/statsmodels.tsa.regime_switching.markov_autoregression.MarkovAutoregression.predict.html</w:t>
        </w:r>
      </w:hyperlink>
    </w:p>
    <w:p w14:paraId="08BB6544"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Risk Parity | CAIA, accessed on May 23, 2026, </w:t>
      </w:r>
      <w:hyperlink r:id="rId49">
        <w:r>
          <w:rPr>
            <w:rFonts w:ascii="Google Sans" w:eastAsia="Google Sans" w:hAnsi="Google Sans" w:cs="Google Sans"/>
            <w:color w:val="0000EE"/>
            <w:sz w:val="24"/>
            <w:szCs w:val="24"/>
            <w:u w:val="single"/>
          </w:rPr>
          <w:t>https://caia.org/sites/default/files/risk_parity_0.pdf</w:t>
        </w:r>
      </w:hyperlink>
    </w:p>
    <w:p w14:paraId="18289D93"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MiMIC: Multi-Modal Indian Earnings Calls Dataset to Predict Stock Prices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on May 23, 2026, </w:t>
      </w:r>
      <w:hyperlink r:id="rId50">
        <w:r>
          <w:rPr>
            <w:rFonts w:ascii="Google Sans" w:eastAsia="Google Sans" w:hAnsi="Google Sans" w:cs="Google Sans"/>
            <w:color w:val="0000EE"/>
            <w:sz w:val="24"/>
            <w:szCs w:val="24"/>
            <w:u w:val="single"/>
          </w:rPr>
          <w:t>https://arxiv.org/html/2504.09257v1</w:t>
        </w:r>
      </w:hyperlink>
    </w:p>
    <w:p w14:paraId="6931C8E5"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Words That Unite </w:t>
      </w:r>
      <w:proofErr w:type="gramStart"/>
      <w:r>
        <w:rPr>
          <w:rFonts w:ascii="Google Sans" w:eastAsia="Google Sans" w:hAnsi="Google Sans" w:cs="Google Sans"/>
          <w:sz w:val="24"/>
          <w:szCs w:val="24"/>
        </w:rPr>
        <w:t>The</w:t>
      </w:r>
      <w:proofErr w:type="gramEnd"/>
      <w:r>
        <w:rPr>
          <w:rFonts w:ascii="Google Sans" w:eastAsia="Google Sans" w:hAnsi="Google Sans" w:cs="Google Sans"/>
          <w:sz w:val="24"/>
          <w:szCs w:val="24"/>
        </w:rPr>
        <w:t xml:space="preserve"> World: A Unified Framework for Deciphering Central Bank Communications | </w:t>
      </w:r>
      <w:proofErr w:type="spellStart"/>
      <w:r>
        <w:rPr>
          <w:rFonts w:ascii="Google Sans" w:eastAsia="Google Sans" w:hAnsi="Google Sans" w:cs="Google Sans"/>
          <w:sz w:val="24"/>
          <w:szCs w:val="24"/>
        </w:rPr>
        <w:t>OpenReview</w:t>
      </w:r>
      <w:proofErr w:type="spellEnd"/>
      <w:r>
        <w:rPr>
          <w:rFonts w:ascii="Google Sans" w:eastAsia="Google Sans" w:hAnsi="Google Sans" w:cs="Google Sans"/>
          <w:sz w:val="24"/>
          <w:szCs w:val="24"/>
        </w:rPr>
        <w:t xml:space="preserve">, accessed on May 23, 2026, </w:t>
      </w:r>
      <w:hyperlink r:id="rId51">
        <w:r>
          <w:rPr>
            <w:rFonts w:ascii="Google Sans" w:eastAsia="Google Sans" w:hAnsi="Google Sans" w:cs="Google Sans"/>
            <w:color w:val="0000EE"/>
            <w:sz w:val="24"/>
            <w:szCs w:val="24"/>
            <w:u w:val="single"/>
          </w:rPr>
          <w:t>https://openreview.net/</w:t>
        </w:r>
        <w:proofErr w:type="spellStart"/>
        <w:r>
          <w:rPr>
            <w:rFonts w:ascii="Google Sans" w:eastAsia="Google Sans" w:hAnsi="Google Sans" w:cs="Google Sans"/>
            <w:color w:val="0000EE"/>
            <w:sz w:val="24"/>
            <w:szCs w:val="24"/>
            <w:u w:val="single"/>
          </w:rPr>
          <w:t>forum?id</w:t>
        </w:r>
        <w:proofErr w:type="spellEnd"/>
        <w:r>
          <w:rPr>
            <w:rFonts w:ascii="Google Sans" w:eastAsia="Google Sans" w:hAnsi="Google Sans" w:cs="Google Sans"/>
            <w:color w:val="0000EE"/>
            <w:sz w:val="24"/>
            <w:szCs w:val="24"/>
            <w:u w:val="single"/>
          </w:rPr>
          <w:t>=cU5W9Z3r8p¬eId=1lf5dXRyvW</w:t>
        </w:r>
      </w:hyperlink>
    </w:p>
    <w:p w14:paraId="35F4F7BF"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HRP vs HERC - </w:t>
      </w:r>
      <w:proofErr w:type="spellStart"/>
      <w:r>
        <w:rPr>
          <w:rFonts w:ascii="Google Sans" w:eastAsia="Google Sans" w:hAnsi="Google Sans" w:cs="Google Sans"/>
          <w:sz w:val="24"/>
          <w:szCs w:val="24"/>
        </w:rPr>
        <w:t>skfolio</w:t>
      </w:r>
      <w:proofErr w:type="spellEnd"/>
      <w:r>
        <w:rPr>
          <w:rFonts w:ascii="Google Sans" w:eastAsia="Google Sans" w:hAnsi="Google Sans" w:cs="Google Sans"/>
          <w:sz w:val="24"/>
          <w:szCs w:val="24"/>
        </w:rPr>
        <w:t xml:space="preserve">, accessed on May 23, 2026, </w:t>
      </w:r>
      <w:hyperlink r:id="rId52">
        <w:r>
          <w:rPr>
            <w:rFonts w:ascii="Google Sans" w:eastAsia="Google Sans" w:hAnsi="Google Sans" w:cs="Google Sans"/>
            <w:color w:val="0000EE"/>
            <w:sz w:val="24"/>
            <w:szCs w:val="24"/>
            <w:u w:val="single"/>
          </w:rPr>
          <w:t>https://skfolio.org/auto_examples/clustering/plot_3_hrp_vs_herc.html</w:t>
        </w:r>
      </w:hyperlink>
    </w:p>
    <w:p w14:paraId="11D12C36"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FY-2000-2026 Indian Stock Market Data - Kaggle, accessed on May 23, 2026, </w:t>
      </w:r>
      <w:hyperlink r:id="rId53">
        <w:r>
          <w:rPr>
            <w:rFonts w:ascii="Google Sans" w:eastAsia="Google Sans" w:hAnsi="Google Sans" w:cs="Google Sans"/>
            <w:color w:val="0000EE"/>
            <w:sz w:val="24"/>
            <w:szCs w:val="24"/>
            <w:u w:val="single"/>
          </w:rPr>
          <w:t>https://www.kaggle.com/datasets/ishan2608/20-years-indian-stock-market-data</w:t>
        </w:r>
      </w:hyperlink>
    </w:p>
    <w:p w14:paraId="2099D495"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Adaptive </w:t>
      </w:r>
      <w:proofErr w:type="spellStart"/>
      <w:r>
        <w:rPr>
          <w:rFonts w:ascii="Google Sans" w:eastAsia="Google Sans" w:hAnsi="Google Sans" w:cs="Google Sans"/>
          <w:sz w:val="24"/>
          <w:szCs w:val="24"/>
        </w:rPr>
        <w:t>Seriational</w:t>
      </w:r>
      <w:proofErr w:type="spellEnd"/>
      <w:r>
        <w:rPr>
          <w:rFonts w:ascii="Google Sans" w:eastAsia="Google Sans" w:hAnsi="Google Sans" w:cs="Google Sans"/>
          <w:sz w:val="24"/>
          <w:szCs w:val="24"/>
        </w:rPr>
        <w:t xml:space="preserve"> Risk Parity and Other Extensions for Heuristic Portfolio Construction Using Machine Learning and Graph Theory, accessed on May 23, 2026, </w:t>
      </w:r>
      <w:hyperlink r:id="rId54">
        <w:r>
          <w:rPr>
            <w:rFonts w:ascii="Google Sans" w:eastAsia="Google Sans" w:hAnsi="Google Sans" w:cs="Google Sans"/>
            <w:color w:val="0000EE"/>
            <w:sz w:val="24"/>
            <w:szCs w:val="24"/>
            <w:u w:val="single"/>
          </w:rPr>
          <w:t>https://www.pm-research.com/content/iijjfds/3/4/65</w:t>
        </w:r>
      </w:hyperlink>
    </w:p>
    <w:p w14:paraId="487D1E1D"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Hierarchical Equal Risk Contribution - </w:t>
      </w:r>
      <w:proofErr w:type="spellStart"/>
      <w:r>
        <w:rPr>
          <w:rFonts w:ascii="Google Sans" w:eastAsia="Google Sans" w:hAnsi="Google Sans" w:cs="Google Sans"/>
          <w:sz w:val="24"/>
          <w:szCs w:val="24"/>
        </w:rPr>
        <w:t>CDaR</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skfolio</w:t>
      </w:r>
      <w:proofErr w:type="spellEnd"/>
      <w:r>
        <w:rPr>
          <w:rFonts w:ascii="Google Sans" w:eastAsia="Google Sans" w:hAnsi="Google Sans" w:cs="Google Sans"/>
          <w:sz w:val="24"/>
          <w:szCs w:val="24"/>
        </w:rPr>
        <w:t xml:space="preserve">, accessed on May 23, 2026, </w:t>
      </w:r>
      <w:hyperlink r:id="rId55">
        <w:r>
          <w:rPr>
            <w:rFonts w:ascii="Google Sans" w:eastAsia="Google Sans" w:hAnsi="Google Sans" w:cs="Google Sans"/>
            <w:color w:val="0000EE"/>
            <w:sz w:val="24"/>
            <w:szCs w:val="24"/>
            <w:u w:val="single"/>
          </w:rPr>
          <w:t>https://skfolio.org/auto_examples/clustering/plot_2_herc_cdar.html</w:t>
        </w:r>
      </w:hyperlink>
    </w:p>
    <w:p w14:paraId="02F90B0A" w14:textId="77777777" w:rsidR="000204E1" w:rsidRDefault="00000000">
      <w:pPr>
        <w:numPr>
          <w:ilvl w:val="0"/>
          <w:numId w:val="5"/>
        </w:numPr>
        <w:pBdr>
          <w:top w:val="nil"/>
          <w:left w:val="nil"/>
          <w:bottom w:val="nil"/>
          <w:right w:val="nil"/>
          <w:between w:val="nil"/>
        </w:pBdr>
      </w:pPr>
      <w:proofErr w:type="spellStart"/>
      <w:proofErr w:type="gramStart"/>
      <w:r>
        <w:rPr>
          <w:rFonts w:ascii="Google Sans" w:eastAsia="Google Sans" w:hAnsi="Google Sans" w:cs="Google Sans"/>
          <w:sz w:val="24"/>
          <w:szCs w:val="24"/>
        </w:rPr>
        <w:t>skfolio.optimization</w:t>
      </w:r>
      <w:proofErr w:type="gramEnd"/>
      <w:r>
        <w:rPr>
          <w:rFonts w:ascii="Google Sans" w:eastAsia="Google Sans" w:hAnsi="Google Sans" w:cs="Google Sans"/>
          <w:sz w:val="24"/>
          <w:szCs w:val="24"/>
        </w:rPr>
        <w:t>.HierarchicalRiskParity</w:t>
      </w:r>
      <w:proofErr w:type="spellEnd"/>
      <w:r>
        <w:rPr>
          <w:rFonts w:ascii="Google Sans" w:eastAsia="Google Sans" w:hAnsi="Google Sans" w:cs="Google Sans"/>
          <w:sz w:val="24"/>
          <w:szCs w:val="24"/>
        </w:rPr>
        <w:t xml:space="preserve">, accessed on May 23, 2026, </w:t>
      </w:r>
      <w:hyperlink r:id="rId56">
        <w:r>
          <w:rPr>
            <w:rFonts w:ascii="Google Sans" w:eastAsia="Google Sans" w:hAnsi="Google Sans" w:cs="Google Sans"/>
            <w:color w:val="0000EE"/>
            <w:sz w:val="24"/>
            <w:szCs w:val="24"/>
            <w:u w:val="single"/>
          </w:rPr>
          <w:t>https://skfolio.org/generated/skfolio.optimization.HierarchicalRiskParity.html</w:t>
        </w:r>
      </w:hyperlink>
    </w:p>
    <w:p w14:paraId="27294392"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When to Route? Regime-Adaptive Meta- Policies for Hierarchical Portfolio Agents - Preprints.org, accessed on May 23, 2026, </w:t>
      </w:r>
      <w:hyperlink r:id="rId57">
        <w:r>
          <w:rPr>
            <w:rFonts w:ascii="Google Sans" w:eastAsia="Google Sans" w:hAnsi="Google Sans" w:cs="Google Sans"/>
            <w:color w:val="0000EE"/>
            <w:sz w:val="24"/>
            <w:szCs w:val="24"/>
            <w:u w:val="single"/>
          </w:rPr>
          <w:t>https://www.preprints.org/frontend/manuscript/b2cae9be9907689dae928187f4227a9d/download_pub</w:t>
        </w:r>
      </w:hyperlink>
    </w:p>
    <w:p w14:paraId="7511EFB6"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When to Route? Regime-Adaptive Meta-Policies for Hierarchical Portfolio Agents, accessed on May 23, 2026, </w:t>
      </w:r>
      <w:hyperlink r:id="rId58">
        <w:r>
          <w:rPr>
            <w:rFonts w:ascii="Google Sans" w:eastAsia="Google Sans" w:hAnsi="Google Sans" w:cs="Google Sans"/>
            <w:color w:val="0000EE"/>
            <w:sz w:val="24"/>
            <w:szCs w:val="24"/>
            <w:u w:val="single"/>
          </w:rPr>
          <w:t>https://www.preprints.org/manuscript/202605.0517</w:t>
        </w:r>
      </w:hyperlink>
    </w:p>
    <w:p w14:paraId="4C260863"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lastRenderedPageBreak/>
        <w:t xml:space="preserve">hierarchical-risk-parity · GitHub Topics, accessed on May 23, 2026, </w:t>
      </w:r>
      <w:hyperlink r:id="rId59">
        <w:r>
          <w:rPr>
            <w:rFonts w:ascii="Google Sans" w:eastAsia="Google Sans" w:hAnsi="Google Sans" w:cs="Google Sans"/>
            <w:color w:val="0000EE"/>
            <w:sz w:val="24"/>
            <w:szCs w:val="24"/>
            <w:u w:val="single"/>
          </w:rPr>
          <w:t>https://github.com/topics/hierarchical-risk-parity</w:t>
        </w:r>
      </w:hyperlink>
    </w:p>
    <w:p w14:paraId="6A1C8DC3"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 Modified Hierarchical Risk Parity Framework for Portfolio Management, accessed on May 23, 2026, </w:t>
      </w:r>
      <w:hyperlink r:id="rId60">
        <w:r>
          <w:rPr>
            <w:rFonts w:ascii="Google Sans" w:eastAsia="Google Sans" w:hAnsi="Google Sans" w:cs="Google Sans"/>
            <w:color w:val="0000EE"/>
            <w:sz w:val="24"/>
            <w:szCs w:val="24"/>
            <w:u w:val="single"/>
          </w:rPr>
          <w:t>https://www.pm-research.com/content/iijjfds/2/3/128</w:t>
        </w:r>
      </w:hyperlink>
    </w:p>
    <w:p w14:paraId="64775CD6"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 Constrained Hierarchical Risk Parity Algorithm with Cluster-based Capital Allocation, accessed on May 23, 2026, </w:t>
      </w:r>
      <w:hyperlink r:id="rId61">
        <w:r>
          <w:rPr>
            <w:rFonts w:ascii="Google Sans" w:eastAsia="Google Sans" w:hAnsi="Google Sans" w:cs="Google Sans"/>
            <w:color w:val="0000EE"/>
            <w:sz w:val="24"/>
            <w:szCs w:val="24"/>
            <w:u w:val="single"/>
          </w:rPr>
          <w:t>https://www.fmx.nfkatzke.com/Projects/HRP.pdf</w:t>
        </w:r>
      </w:hyperlink>
    </w:p>
    <w:p w14:paraId="52316644"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Embracing machine learning to tackle portfolio optimisers limitations - CFA UK, accessed on May 23, 2026, </w:t>
      </w:r>
      <w:hyperlink r:id="rId62">
        <w:r>
          <w:rPr>
            <w:rFonts w:ascii="Google Sans" w:eastAsia="Google Sans" w:hAnsi="Google Sans" w:cs="Google Sans"/>
            <w:color w:val="0000EE"/>
            <w:sz w:val="24"/>
            <w:szCs w:val="24"/>
            <w:u w:val="single"/>
          </w:rPr>
          <w:t>https://www.cfauk.org/pi-listing/embracing-machine-learning-to-tackle-portfolio-optimisers-limitations</w:t>
        </w:r>
      </w:hyperlink>
    </w:p>
    <w:p w14:paraId="4C2D2774"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ishitamehta028/LSTM-Portfolio-Optimization-using-Gerber-Estimator - GitHub, accessed on May 23, 2026, </w:t>
      </w:r>
      <w:hyperlink r:id="rId63">
        <w:r>
          <w:rPr>
            <w:rFonts w:ascii="Google Sans" w:eastAsia="Google Sans" w:hAnsi="Google Sans" w:cs="Google Sans"/>
            <w:color w:val="0000EE"/>
            <w:sz w:val="24"/>
            <w:szCs w:val="24"/>
            <w:u w:val="single"/>
          </w:rPr>
          <w:t>https://github.com/ishitamehta028/LSTM-Portfolio-Optimization-using-Gerber-Estimator</w:t>
        </w:r>
      </w:hyperlink>
    </w:p>
    <w:p w14:paraId="7B4F646E"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The Gerber Statistic: A Robust Co-Movement Measure for Correlation Matrix Estimation | Portfolio Optimizer, accessed on May 23, 2026, </w:t>
      </w:r>
      <w:hyperlink r:id="rId64">
        <w:r>
          <w:rPr>
            <w:rFonts w:ascii="Google Sans" w:eastAsia="Google Sans" w:hAnsi="Google Sans" w:cs="Google Sans"/>
            <w:color w:val="0000EE"/>
            <w:sz w:val="24"/>
            <w:szCs w:val="24"/>
            <w:u w:val="single"/>
          </w:rPr>
          <w:t>https://portfoliooptimizer.io/blog/the-gerber-statistic-a-robust-co-movement-measure-for-correlation-matrix-estimation/</w:t>
        </w:r>
      </w:hyperlink>
    </w:p>
    <w:p w14:paraId="2FCCC141"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Portfolio Optimization with Robust Covariance and Conditional Value-at-Risk Constraints, accessed on May 23, 2026, </w:t>
      </w:r>
      <w:hyperlink r:id="rId65">
        <w:r>
          <w:rPr>
            <w:rFonts w:ascii="Google Sans" w:eastAsia="Google Sans" w:hAnsi="Google Sans" w:cs="Google Sans"/>
            <w:color w:val="0000EE"/>
            <w:sz w:val="24"/>
            <w:szCs w:val="24"/>
            <w:u w:val="single"/>
          </w:rPr>
          <w:t>https://arxiv.org/html/2406.00610v1</w:t>
        </w:r>
      </w:hyperlink>
    </w:p>
    <w:p w14:paraId="5D1EA6AA"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LSTM-Based Portfolio Optimization with Gerber Covariance Estimator for Increased Robustness | springerprofessional.de, accessed on May 23, 2026, </w:t>
      </w:r>
      <w:hyperlink r:id="rId66">
        <w:r>
          <w:rPr>
            <w:rFonts w:ascii="Google Sans" w:eastAsia="Google Sans" w:hAnsi="Google Sans" w:cs="Google Sans"/>
            <w:color w:val="0000EE"/>
            <w:sz w:val="24"/>
            <w:szCs w:val="24"/>
            <w:u w:val="single"/>
          </w:rPr>
          <w:t>https://www.springerprofessional.de/en/lstm-based-portfolio-optimization-with-gerber-covariance-estimat/50573694</w:t>
        </w:r>
      </w:hyperlink>
    </w:p>
    <w:p w14:paraId="7BECAF9B"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The Gerber Statistic: a Robust Co-movement Measure for Portfolio Optimization - Hudson Bay Capital, accessed on May 23, 2026, </w:t>
      </w:r>
      <w:hyperlink r:id="rId67">
        <w:r>
          <w:rPr>
            <w:rFonts w:ascii="Google Sans" w:eastAsia="Google Sans" w:hAnsi="Google Sans" w:cs="Google Sans"/>
            <w:color w:val="0000EE"/>
            <w:sz w:val="24"/>
            <w:szCs w:val="24"/>
            <w:u w:val="single"/>
          </w:rPr>
          <w:t>https://www.hudsonbaycapital.com/documents/FG/hudsonbay/news/621114_Wolfe_Conference_Presentation.pdf</w:t>
        </w:r>
      </w:hyperlink>
    </w:p>
    <w:p w14:paraId="4219C412" w14:textId="77777777" w:rsidR="000204E1"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dcajasn</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Riskfolio</w:t>
      </w:r>
      <w:proofErr w:type="spellEnd"/>
      <w:r>
        <w:rPr>
          <w:rFonts w:ascii="Google Sans" w:eastAsia="Google Sans" w:hAnsi="Google Sans" w:cs="Google Sans"/>
          <w:sz w:val="24"/>
          <w:szCs w:val="24"/>
        </w:rPr>
        <w:t xml:space="preserve">-Lib: Portfolio Optimization and Quantitative Strategic Asset Allocation in Python · GitHub, accessed on May 23, 2026, </w:t>
      </w:r>
      <w:hyperlink r:id="rId68">
        <w:r>
          <w:rPr>
            <w:rFonts w:ascii="Google Sans" w:eastAsia="Google Sans" w:hAnsi="Google Sans" w:cs="Google Sans"/>
            <w:color w:val="0000EE"/>
            <w:sz w:val="24"/>
            <w:szCs w:val="24"/>
            <w:u w:val="single"/>
          </w:rPr>
          <w:t>https://github.com/dcajasn/Riskfolio-Lib</w:t>
        </w:r>
      </w:hyperlink>
    </w:p>
    <w:p w14:paraId="7183BCA1"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Causal Portfolio Optimization: Modern Portfolio Theory 2.0 - </w:t>
      </w:r>
      <w:proofErr w:type="spellStart"/>
      <w:r>
        <w:rPr>
          <w:rFonts w:ascii="Google Sans" w:eastAsia="Google Sans" w:hAnsi="Google Sans" w:cs="Google Sans"/>
          <w:sz w:val="24"/>
          <w:szCs w:val="24"/>
        </w:rPr>
        <w:t>causaLens</w:t>
      </w:r>
      <w:proofErr w:type="spellEnd"/>
      <w:r>
        <w:rPr>
          <w:rFonts w:ascii="Google Sans" w:eastAsia="Google Sans" w:hAnsi="Google Sans" w:cs="Google Sans"/>
          <w:sz w:val="24"/>
          <w:szCs w:val="24"/>
        </w:rPr>
        <w:t xml:space="preserve">, accessed on May 23, 2026, </w:t>
      </w:r>
      <w:hyperlink r:id="rId69">
        <w:r>
          <w:rPr>
            <w:rFonts w:ascii="Google Sans" w:eastAsia="Google Sans" w:hAnsi="Google Sans" w:cs="Google Sans"/>
            <w:color w:val="0000EE"/>
            <w:sz w:val="24"/>
            <w:szCs w:val="24"/>
            <w:u w:val="single"/>
          </w:rPr>
          <w:t>https://causalai.causalens.com/resources/white-papers/portfolio-optimization-beyond-machine-learning/</w:t>
        </w:r>
      </w:hyperlink>
    </w:p>
    <w:p w14:paraId="65E86160" w14:textId="77777777" w:rsidR="000204E1"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Riskfolio</w:t>
      </w:r>
      <w:proofErr w:type="spellEnd"/>
      <w:r>
        <w:rPr>
          <w:rFonts w:ascii="Google Sans" w:eastAsia="Google Sans" w:hAnsi="Google Sans" w:cs="Google Sans"/>
          <w:sz w:val="24"/>
          <w:szCs w:val="24"/>
        </w:rPr>
        <w:t xml:space="preserve">-Lib: Portfolio Optimization with Python | by </w:t>
      </w:r>
      <w:proofErr w:type="spellStart"/>
      <w:r>
        <w:rPr>
          <w:rFonts w:ascii="Google Sans" w:eastAsia="Google Sans" w:hAnsi="Google Sans" w:cs="Google Sans"/>
          <w:sz w:val="24"/>
          <w:szCs w:val="24"/>
        </w:rPr>
        <w:t>Orenji</w:t>
      </w:r>
      <w:proofErr w:type="spellEnd"/>
      <w:r>
        <w:rPr>
          <w:rFonts w:ascii="Google Sans" w:eastAsia="Google Sans" w:hAnsi="Google Sans" w:cs="Google Sans"/>
          <w:sz w:val="24"/>
          <w:szCs w:val="24"/>
        </w:rPr>
        <w:t xml:space="preserve"> - Medium, accessed on May 23, 2026, </w:t>
      </w:r>
      <w:hyperlink r:id="rId70">
        <w:r>
          <w:rPr>
            <w:rFonts w:ascii="Google Sans" w:eastAsia="Google Sans" w:hAnsi="Google Sans" w:cs="Google Sans"/>
            <w:color w:val="0000EE"/>
            <w:sz w:val="24"/>
            <w:szCs w:val="24"/>
            <w:u w:val="single"/>
          </w:rPr>
          <w:t>https://medium.com/@orenji.eirl/riskfolio-lib-portfolio-optimization-with-python-650c6223e8b1</w:t>
        </w:r>
      </w:hyperlink>
    </w:p>
    <w:p w14:paraId="1EEC8781"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Downside risk-return volatilities during Covid 19 outbreak: a comparison across developed and emerging markets - PMC, accessed on May 23, 2026, </w:t>
      </w:r>
      <w:hyperlink r:id="rId71">
        <w:r>
          <w:rPr>
            <w:rFonts w:ascii="Google Sans" w:eastAsia="Google Sans" w:hAnsi="Google Sans" w:cs="Google Sans"/>
            <w:color w:val="0000EE"/>
            <w:sz w:val="24"/>
            <w:szCs w:val="24"/>
            <w:u w:val="single"/>
          </w:rPr>
          <w:t>https://pmc.ncbi.nlm.nih.gov/articles/PMC9114284/</w:t>
        </w:r>
      </w:hyperlink>
    </w:p>
    <w:p w14:paraId="73171B5B"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Transaction Costs - </w:t>
      </w:r>
      <w:proofErr w:type="spellStart"/>
      <w:r>
        <w:rPr>
          <w:rFonts w:ascii="Google Sans" w:eastAsia="Google Sans" w:hAnsi="Google Sans" w:cs="Google Sans"/>
          <w:sz w:val="24"/>
          <w:szCs w:val="24"/>
        </w:rPr>
        <w:t>skfolio</w:t>
      </w:r>
      <w:proofErr w:type="spellEnd"/>
      <w:r>
        <w:rPr>
          <w:rFonts w:ascii="Google Sans" w:eastAsia="Google Sans" w:hAnsi="Google Sans" w:cs="Google Sans"/>
          <w:sz w:val="24"/>
          <w:szCs w:val="24"/>
        </w:rPr>
        <w:t xml:space="preserve">, accessed on May 23, 2026, </w:t>
      </w:r>
      <w:hyperlink r:id="rId72">
        <w:r>
          <w:rPr>
            <w:rFonts w:ascii="Google Sans" w:eastAsia="Google Sans" w:hAnsi="Google Sans" w:cs="Google Sans"/>
            <w:color w:val="0000EE"/>
            <w:sz w:val="24"/>
            <w:szCs w:val="24"/>
            <w:u w:val="single"/>
          </w:rPr>
          <w:t>https://skfolio.org/auto_examples/mean_risk/plot_6_transaction_costs.html</w:t>
        </w:r>
      </w:hyperlink>
    </w:p>
    <w:p w14:paraId="58815470"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Management Fees - </w:t>
      </w:r>
      <w:proofErr w:type="spellStart"/>
      <w:r>
        <w:rPr>
          <w:rFonts w:ascii="Google Sans" w:eastAsia="Google Sans" w:hAnsi="Google Sans" w:cs="Google Sans"/>
          <w:sz w:val="24"/>
          <w:szCs w:val="24"/>
        </w:rPr>
        <w:t>skfolio</w:t>
      </w:r>
      <w:proofErr w:type="spellEnd"/>
      <w:r>
        <w:rPr>
          <w:rFonts w:ascii="Google Sans" w:eastAsia="Google Sans" w:hAnsi="Google Sans" w:cs="Google Sans"/>
          <w:sz w:val="24"/>
          <w:szCs w:val="24"/>
        </w:rPr>
        <w:t xml:space="preserve">, accessed on May 23, 2026, </w:t>
      </w:r>
      <w:hyperlink r:id="rId73">
        <w:r>
          <w:rPr>
            <w:rFonts w:ascii="Google Sans" w:eastAsia="Google Sans" w:hAnsi="Google Sans" w:cs="Google Sans"/>
            <w:color w:val="0000EE"/>
            <w:sz w:val="24"/>
            <w:szCs w:val="24"/>
            <w:u w:val="single"/>
          </w:rPr>
          <w:t>https://skfolio.org/auto_examples/mean_risk/plot_7_management_fees.html</w:t>
        </w:r>
      </w:hyperlink>
    </w:p>
    <w:p w14:paraId="7491398E" w14:textId="77777777" w:rsidR="000204E1" w:rsidRDefault="00000000">
      <w:pPr>
        <w:numPr>
          <w:ilvl w:val="0"/>
          <w:numId w:val="5"/>
        </w:numPr>
        <w:pBdr>
          <w:top w:val="nil"/>
          <w:left w:val="nil"/>
          <w:bottom w:val="nil"/>
          <w:right w:val="nil"/>
          <w:between w:val="nil"/>
        </w:pBdr>
      </w:pPr>
      <w:proofErr w:type="spellStart"/>
      <w:proofErr w:type="gramStart"/>
      <w:r>
        <w:rPr>
          <w:rFonts w:ascii="Google Sans" w:eastAsia="Google Sans" w:hAnsi="Google Sans" w:cs="Google Sans"/>
          <w:sz w:val="24"/>
          <w:szCs w:val="24"/>
        </w:rPr>
        <w:lastRenderedPageBreak/>
        <w:t>skfolio.optimization</w:t>
      </w:r>
      <w:proofErr w:type="gramEnd"/>
      <w:r>
        <w:rPr>
          <w:rFonts w:ascii="Google Sans" w:eastAsia="Google Sans" w:hAnsi="Google Sans" w:cs="Google Sans"/>
          <w:sz w:val="24"/>
          <w:szCs w:val="24"/>
        </w:rPr>
        <w:t>.EqualWeighted</w:t>
      </w:r>
      <w:proofErr w:type="spellEnd"/>
      <w:r>
        <w:rPr>
          <w:rFonts w:ascii="Google Sans" w:eastAsia="Google Sans" w:hAnsi="Google Sans" w:cs="Google Sans"/>
          <w:sz w:val="24"/>
          <w:szCs w:val="24"/>
        </w:rPr>
        <w:t xml:space="preserve">, accessed on May 23, 2026, </w:t>
      </w:r>
      <w:hyperlink r:id="rId74">
        <w:r>
          <w:rPr>
            <w:rFonts w:ascii="Google Sans" w:eastAsia="Google Sans" w:hAnsi="Google Sans" w:cs="Google Sans"/>
            <w:color w:val="0000EE"/>
            <w:sz w:val="24"/>
            <w:szCs w:val="24"/>
            <w:u w:val="single"/>
          </w:rPr>
          <w:t>https://skfolio.org/generated/skfolio.optimization.EqualWeighted.html</w:t>
        </w:r>
      </w:hyperlink>
    </w:p>
    <w:p w14:paraId="0259F9DF" w14:textId="77777777" w:rsidR="000204E1" w:rsidRDefault="00000000">
      <w:pPr>
        <w:numPr>
          <w:ilvl w:val="0"/>
          <w:numId w:val="5"/>
        </w:numPr>
        <w:pBdr>
          <w:top w:val="nil"/>
          <w:left w:val="nil"/>
          <w:bottom w:val="nil"/>
          <w:right w:val="nil"/>
          <w:between w:val="nil"/>
        </w:pBdr>
      </w:pPr>
      <w:proofErr w:type="spellStart"/>
      <w:proofErr w:type="gramStart"/>
      <w:r>
        <w:rPr>
          <w:rFonts w:ascii="Google Sans" w:eastAsia="Google Sans" w:hAnsi="Google Sans" w:cs="Google Sans"/>
          <w:sz w:val="24"/>
          <w:szCs w:val="24"/>
        </w:rPr>
        <w:t>skfolio.optimization</w:t>
      </w:r>
      <w:proofErr w:type="gramEnd"/>
      <w:r>
        <w:rPr>
          <w:rFonts w:ascii="Google Sans" w:eastAsia="Google Sans" w:hAnsi="Google Sans" w:cs="Google Sans"/>
          <w:sz w:val="24"/>
          <w:szCs w:val="24"/>
        </w:rPr>
        <w:t>.RiskBudgeting</w:t>
      </w:r>
      <w:proofErr w:type="spellEnd"/>
      <w:r>
        <w:rPr>
          <w:rFonts w:ascii="Google Sans" w:eastAsia="Google Sans" w:hAnsi="Google Sans" w:cs="Google Sans"/>
          <w:sz w:val="24"/>
          <w:szCs w:val="24"/>
        </w:rPr>
        <w:t xml:space="preserve">, accessed on May 23, 2026, </w:t>
      </w:r>
      <w:hyperlink r:id="rId75">
        <w:r>
          <w:rPr>
            <w:rFonts w:ascii="Google Sans" w:eastAsia="Google Sans" w:hAnsi="Google Sans" w:cs="Google Sans"/>
            <w:color w:val="0000EE"/>
            <w:sz w:val="24"/>
            <w:szCs w:val="24"/>
            <w:u w:val="single"/>
          </w:rPr>
          <w:t>https://skfolio.org/generated/skfolio.optimization.RiskBudgeting.html</w:t>
        </w:r>
      </w:hyperlink>
    </w:p>
    <w:p w14:paraId="50D38819" w14:textId="77777777" w:rsidR="000204E1" w:rsidRDefault="00000000">
      <w:pPr>
        <w:numPr>
          <w:ilvl w:val="0"/>
          <w:numId w:val="5"/>
        </w:numPr>
        <w:pBdr>
          <w:top w:val="nil"/>
          <w:left w:val="nil"/>
          <w:bottom w:val="nil"/>
          <w:right w:val="nil"/>
          <w:between w:val="nil"/>
        </w:pBdr>
      </w:pPr>
      <w:proofErr w:type="gramStart"/>
      <w:r>
        <w:rPr>
          <w:rFonts w:ascii="Google Sans" w:eastAsia="Google Sans" w:hAnsi="Google Sans" w:cs="Google Sans"/>
          <w:sz w:val="24"/>
          <w:szCs w:val="24"/>
        </w:rPr>
        <w:t>skfolio.optimization</w:t>
      </w:r>
      <w:proofErr w:type="gramEnd"/>
      <w:r>
        <w:rPr>
          <w:rFonts w:ascii="Google Sans" w:eastAsia="Google Sans" w:hAnsi="Google Sans" w:cs="Google Sans"/>
          <w:sz w:val="24"/>
          <w:szCs w:val="24"/>
        </w:rPr>
        <w:t>.</w:t>
      </w:r>
      <w:proofErr w:type="gramStart"/>
      <w:r>
        <w:rPr>
          <w:rFonts w:ascii="Google Sans" w:eastAsia="Google Sans" w:hAnsi="Google Sans" w:cs="Google Sans"/>
          <w:sz w:val="24"/>
          <w:szCs w:val="24"/>
        </w:rPr>
        <w:t>convex._</w:t>
      </w:r>
      <w:proofErr w:type="spellStart"/>
      <w:proofErr w:type="gramEnd"/>
      <w:r>
        <w:rPr>
          <w:rFonts w:ascii="Google Sans" w:eastAsia="Google Sans" w:hAnsi="Google Sans" w:cs="Google Sans"/>
          <w:sz w:val="24"/>
          <w:szCs w:val="24"/>
        </w:rPr>
        <w:t>risk_budgeting</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skfolio</w:t>
      </w:r>
      <w:proofErr w:type="spellEnd"/>
      <w:r>
        <w:rPr>
          <w:rFonts w:ascii="Google Sans" w:eastAsia="Google Sans" w:hAnsi="Google Sans" w:cs="Google Sans"/>
          <w:sz w:val="24"/>
          <w:szCs w:val="24"/>
        </w:rPr>
        <w:t xml:space="preserve"> 0.7.0, accessed on May 23, 2026, </w:t>
      </w:r>
      <w:hyperlink r:id="rId76">
        <w:r>
          <w:rPr>
            <w:rFonts w:ascii="Google Sans" w:eastAsia="Google Sans" w:hAnsi="Google Sans" w:cs="Google Sans"/>
            <w:color w:val="0000EE"/>
            <w:sz w:val="24"/>
            <w:szCs w:val="24"/>
            <w:u w:val="single"/>
          </w:rPr>
          <w:t>https://www.aidoczh.com/skfolio/_modules/skfolio/optimization/convex/_risk_budgeting.html</w:t>
        </w:r>
      </w:hyperlink>
    </w:p>
    <w:p w14:paraId="5E1907BE"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Machine Learning in Portfolio Optimization: A Comparative Study of Hierarchical Risk Parity and Traditional Allocation Methods - </w:t>
      </w:r>
      <w:proofErr w:type="spellStart"/>
      <w:r>
        <w:rPr>
          <w:rFonts w:ascii="Google Sans" w:eastAsia="Google Sans" w:hAnsi="Google Sans" w:cs="Google Sans"/>
          <w:sz w:val="24"/>
          <w:szCs w:val="24"/>
        </w:rPr>
        <w:t>Gupea</w:t>
      </w:r>
      <w:proofErr w:type="spellEnd"/>
      <w:r>
        <w:rPr>
          <w:rFonts w:ascii="Google Sans" w:eastAsia="Google Sans" w:hAnsi="Google Sans" w:cs="Google Sans"/>
          <w:sz w:val="24"/>
          <w:szCs w:val="24"/>
        </w:rPr>
        <w:t xml:space="preserve">, accessed on May 23, 2026, </w:t>
      </w:r>
      <w:hyperlink r:id="rId77">
        <w:r>
          <w:rPr>
            <w:rFonts w:ascii="Google Sans" w:eastAsia="Google Sans" w:hAnsi="Google Sans" w:cs="Google Sans"/>
            <w:color w:val="0000EE"/>
            <w:sz w:val="24"/>
            <w:szCs w:val="24"/>
            <w:u w:val="single"/>
          </w:rPr>
          <w:t>https://gupea.ub.gu.se/bitstreams/eaf33c7c-0d37-4830-a616-96bf52f57c67/download</w:t>
        </w:r>
      </w:hyperlink>
    </w:p>
    <w:p w14:paraId="014ADAA5"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Volatility is Back: Better to Target Returns or Target Risk? - Man Group, accessed on May 23, 2026, </w:t>
      </w:r>
      <w:hyperlink r:id="rId78">
        <w:r>
          <w:rPr>
            <w:rFonts w:ascii="Google Sans" w:eastAsia="Google Sans" w:hAnsi="Google Sans" w:cs="Google Sans"/>
            <w:color w:val="0000EE"/>
            <w:sz w:val="24"/>
            <w:szCs w:val="24"/>
            <w:u w:val="single"/>
          </w:rPr>
          <w:t>https://www.man.com/insights/volatility-is-back-better-to-target-returns-or-target-risk</w:t>
        </w:r>
      </w:hyperlink>
    </w:p>
    <w:p w14:paraId="2FB29E85"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(PDF) Risk parity portfolio optimization under a Markov regime-switching framework, accessed on May 23, 2026, </w:t>
      </w:r>
      <w:hyperlink r:id="rId79">
        <w:r>
          <w:rPr>
            <w:rFonts w:ascii="Google Sans" w:eastAsia="Google Sans" w:hAnsi="Google Sans" w:cs="Google Sans"/>
            <w:color w:val="0000EE"/>
            <w:sz w:val="24"/>
            <w:szCs w:val="24"/>
            <w:u w:val="single"/>
          </w:rPr>
          <w:t>https://www.researchgate.net/publication/326756996_Risk_parity_portfolio_optimization_under_a_Markov_regime-switching_framework</w:t>
        </w:r>
      </w:hyperlink>
    </w:p>
    <w:p w14:paraId="72781F18"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Markov switching autoregression models - </w:t>
      </w:r>
      <w:proofErr w:type="spellStart"/>
      <w:r>
        <w:rPr>
          <w:rFonts w:ascii="Google Sans" w:eastAsia="Google Sans" w:hAnsi="Google Sans" w:cs="Google Sans"/>
          <w:sz w:val="24"/>
          <w:szCs w:val="24"/>
        </w:rPr>
        <w:t>statsmodels</w:t>
      </w:r>
      <w:proofErr w:type="spellEnd"/>
      <w:r>
        <w:rPr>
          <w:rFonts w:ascii="Google Sans" w:eastAsia="Google Sans" w:hAnsi="Google Sans" w:cs="Google Sans"/>
          <w:sz w:val="24"/>
          <w:szCs w:val="24"/>
        </w:rPr>
        <w:t xml:space="preserve"> 0.15.0 (+990), accessed on May 23, 2026, </w:t>
      </w:r>
      <w:hyperlink r:id="rId80">
        <w:r>
          <w:rPr>
            <w:rFonts w:ascii="Google Sans" w:eastAsia="Google Sans" w:hAnsi="Google Sans" w:cs="Google Sans"/>
            <w:color w:val="0000EE"/>
            <w:sz w:val="24"/>
            <w:szCs w:val="24"/>
            <w:u w:val="single"/>
          </w:rPr>
          <w:t>https://www.statsmodels.org/dev/examples/notebooks/generated/markov_autoregression.html</w:t>
        </w:r>
      </w:hyperlink>
    </w:p>
    <w:p w14:paraId="054DCBB4"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Markov switching autoregression models - </w:t>
      </w:r>
      <w:proofErr w:type="spellStart"/>
      <w:r>
        <w:rPr>
          <w:rFonts w:ascii="Google Sans" w:eastAsia="Google Sans" w:hAnsi="Google Sans" w:cs="Google Sans"/>
          <w:sz w:val="24"/>
          <w:szCs w:val="24"/>
        </w:rPr>
        <w:t>Statsmodels</w:t>
      </w:r>
      <w:proofErr w:type="spellEnd"/>
      <w:r>
        <w:rPr>
          <w:rFonts w:ascii="Google Sans" w:eastAsia="Google Sans" w:hAnsi="Google Sans" w:cs="Google Sans"/>
          <w:sz w:val="24"/>
          <w:szCs w:val="24"/>
        </w:rPr>
        <w:t xml:space="preserve">, accessed on May 23, 2026, </w:t>
      </w:r>
      <w:hyperlink r:id="rId81">
        <w:r>
          <w:rPr>
            <w:rFonts w:ascii="Google Sans" w:eastAsia="Google Sans" w:hAnsi="Google Sans" w:cs="Google Sans"/>
            <w:color w:val="0000EE"/>
            <w:sz w:val="24"/>
            <w:szCs w:val="24"/>
            <w:u w:val="single"/>
          </w:rPr>
          <w:t>https://www.statsmodels.org/0.8.0/examples/notebooks/generated/markov_autoregression.html</w:t>
        </w:r>
      </w:hyperlink>
    </w:p>
    <w:p w14:paraId="148C6A85" w14:textId="77777777" w:rsidR="000204E1" w:rsidRDefault="00000000">
      <w:pPr>
        <w:numPr>
          <w:ilvl w:val="0"/>
          <w:numId w:val="5"/>
        </w:numPr>
        <w:pBdr>
          <w:top w:val="nil"/>
          <w:left w:val="nil"/>
          <w:bottom w:val="nil"/>
          <w:right w:val="nil"/>
          <w:between w:val="nil"/>
        </w:pBdr>
      </w:pPr>
      <w:proofErr w:type="gramStart"/>
      <w:r>
        <w:rPr>
          <w:rFonts w:ascii="Google Sans" w:eastAsia="Google Sans" w:hAnsi="Google Sans" w:cs="Google Sans"/>
          <w:sz w:val="24"/>
          <w:szCs w:val="24"/>
        </w:rPr>
        <w:t>statsmodels.tsa.regime</w:t>
      </w:r>
      <w:proofErr w:type="gramEnd"/>
      <w:r>
        <w:rPr>
          <w:rFonts w:ascii="Google Sans" w:eastAsia="Google Sans" w:hAnsi="Google Sans" w:cs="Google Sans"/>
          <w:sz w:val="24"/>
          <w:szCs w:val="24"/>
        </w:rPr>
        <w:t>_</w:t>
      </w:r>
      <w:proofErr w:type="gramStart"/>
      <w:r>
        <w:rPr>
          <w:rFonts w:ascii="Google Sans" w:eastAsia="Google Sans" w:hAnsi="Google Sans" w:cs="Google Sans"/>
          <w:sz w:val="24"/>
          <w:szCs w:val="24"/>
        </w:rPr>
        <w:t>switching.markov</w:t>
      </w:r>
      <w:proofErr w:type="gramEnd"/>
      <w:r>
        <w:rPr>
          <w:rFonts w:ascii="Google Sans" w:eastAsia="Google Sans" w:hAnsi="Google Sans" w:cs="Google Sans"/>
          <w:sz w:val="24"/>
          <w:szCs w:val="24"/>
        </w:rPr>
        <w:t>_</w:t>
      </w:r>
      <w:proofErr w:type="gramStart"/>
      <w:r>
        <w:rPr>
          <w:rFonts w:ascii="Google Sans" w:eastAsia="Google Sans" w:hAnsi="Google Sans" w:cs="Google Sans"/>
          <w:sz w:val="24"/>
          <w:szCs w:val="24"/>
        </w:rPr>
        <w:t>autoregression.MarkovAutoregression</w:t>
      </w:r>
      <w:proofErr w:type="gramEnd"/>
      <w:r>
        <w:rPr>
          <w:rFonts w:ascii="Google Sans" w:eastAsia="Google Sans" w:hAnsi="Google Sans" w:cs="Google Sans"/>
          <w:sz w:val="24"/>
          <w:szCs w:val="24"/>
        </w:rPr>
        <w:t xml:space="preserve">, accessed on May 23, 2026, </w:t>
      </w:r>
      <w:hyperlink r:id="rId82">
        <w:r>
          <w:rPr>
            <w:rFonts w:ascii="Google Sans" w:eastAsia="Google Sans" w:hAnsi="Google Sans" w:cs="Google Sans"/>
            <w:color w:val="0000EE"/>
            <w:sz w:val="24"/>
            <w:szCs w:val="24"/>
            <w:u w:val="single"/>
          </w:rPr>
          <w:t>https://www.statsmodels.org/stable/generated/statsmodels.tsa.regime_switching.markov_autoregression.MarkovAutoregression.html</w:t>
        </w:r>
      </w:hyperlink>
    </w:p>
    <w:p w14:paraId="69DF37A5"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Indexing Risk Parity Strategies - S&amp;P Global, accessed on May 23, 2026, </w:t>
      </w:r>
      <w:hyperlink r:id="rId83">
        <w:r>
          <w:rPr>
            <w:rFonts w:ascii="Google Sans" w:eastAsia="Google Sans" w:hAnsi="Google Sans" w:cs="Google Sans"/>
            <w:color w:val="0000EE"/>
            <w:sz w:val="24"/>
            <w:szCs w:val="24"/>
            <w:u w:val="single"/>
          </w:rPr>
          <w:t>https://www.spglobal.com/spdji/en/documents/research/research-indexing-risk-parity-strategies.pdf</w:t>
        </w:r>
      </w:hyperlink>
    </w:p>
    <w:p w14:paraId="3366B226"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Exchange Traded Fund (ETF's) - NSE India, accessed on May 23, 2026, </w:t>
      </w:r>
      <w:hyperlink r:id="rId84">
        <w:r>
          <w:rPr>
            <w:rFonts w:ascii="Google Sans" w:eastAsia="Google Sans" w:hAnsi="Google Sans" w:cs="Google Sans"/>
            <w:color w:val="0000EE"/>
            <w:sz w:val="24"/>
            <w:szCs w:val="24"/>
            <w:u w:val="single"/>
          </w:rPr>
          <w:t>https://www.nseindia.com/market-data/exchange-traded-funds-etf</w:t>
        </w:r>
      </w:hyperlink>
    </w:p>
    <w:p w14:paraId="05CD234A"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Learning Time Varying Risk Preferences from Investment Portfolios using Inverse Optimization with Applications on Mutual Funds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on May 23, 2026, </w:t>
      </w:r>
      <w:hyperlink r:id="rId85">
        <w:r>
          <w:rPr>
            <w:rFonts w:ascii="Google Sans" w:eastAsia="Google Sans" w:hAnsi="Google Sans" w:cs="Google Sans"/>
            <w:color w:val="0000EE"/>
            <w:sz w:val="24"/>
            <w:szCs w:val="24"/>
            <w:u w:val="single"/>
          </w:rPr>
          <w:t>https://arxiv.org/pdf/2010.01687</w:t>
        </w:r>
      </w:hyperlink>
    </w:p>
    <w:p w14:paraId="29CF8C4D"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Earnings-Call-Dataset - GitHub, accessed on May 23, 2026, </w:t>
      </w:r>
      <w:hyperlink r:id="rId86">
        <w:r>
          <w:rPr>
            <w:rFonts w:ascii="Google Sans" w:eastAsia="Google Sans" w:hAnsi="Google Sans" w:cs="Google Sans"/>
            <w:color w:val="0000EE"/>
            <w:sz w:val="24"/>
            <w:szCs w:val="24"/>
            <w:u w:val="single"/>
          </w:rPr>
          <w:t>https://github.com/Earnings-Call-Dataset</w:t>
        </w:r>
      </w:hyperlink>
    </w:p>
    <w:p w14:paraId="1A462537"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Words That Unite </w:t>
      </w:r>
      <w:proofErr w:type="gramStart"/>
      <w:r>
        <w:rPr>
          <w:rFonts w:ascii="Google Sans" w:eastAsia="Google Sans" w:hAnsi="Google Sans" w:cs="Google Sans"/>
          <w:sz w:val="24"/>
          <w:szCs w:val="24"/>
        </w:rPr>
        <w:t>The</w:t>
      </w:r>
      <w:proofErr w:type="gramEnd"/>
      <w:r>
        <w:rPr>
          <w:rFonts w:ascii="Google Sans" w:eastAsia="Google Sans" w:hAnsi="Google Sans" w:cs="Google Sans"/>
          <w:sz w:val="24"/>
          <w:szCs w:val="24"/>
        </w:rPr>
        <w:t xml:space="preserve"> World: A Unified Framework for Deciphering Central‑Bank Communications Globally - GitHub, accessed on May 23, 2026, </w:t>
      </w:r>
      <w:hyperlink r:id="rId87">
        <w:r>
          <w:rPr>
            <w:rFonts w:ascii="Google Sans" w:eastAsia="Google Sans" w:hAnsi="Google Sans" w:cs="Google Sans"/>
            <w:color w:val="0000EE"/>
            <w:sz w:val="24"/>
            <w:szCs w:val="24"/>
            <w:u w:val="single"/>
          </w:rPr>
          <w:t>https://github.com/gtfintechlab/WorldsCentralBanks</w:t>
        </w:r>
      </w:hyperlink>
    </w:p>
    <w:p w14:paraId="100E6E26" w14:textId="77777777" w:rsidR="000204E1"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gtfintechlab</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model_WCB_stance_label</w:t>
      </w:r>
      <w:proofErr w:type="spellEnd"/>
      <w:r>
        <w:rPr>
          <w:rFonts w:ascii="Google Sans" w:eastAsia="Google Sans" w:hAnsi="Google Sans" w:cs="Google Sans"/>
          <w:sz w:val="24"/>
          <w:szCs w:val="24"/>
        </w:rPr>
        <w:t xml:space="preserve"> - Hugging Face, accessed on May 23, 2026, </w:t>
      </w:r>
      <w:hyperlink r:id="rId88">
        <w:r>
          <w:rPr>
            <w:rFonts w:ascii="Google Sans" w:eastAsia="Google Sans" w:hAnsi="Google Sans" w:cs="Google Sans"/>
            <w:color w:val="0000EE"/>
            <w:sz w:val="24"/>
            <w:szCs w:val="24"/>
            <w:u w:val="single"/>
          </w:rPr>
          <w:t>https://huggingface.co/gtfintechlab/model_WCB_stance_label</w:t>
        </w:r>
      </w:hyperlink>
    </w:p>
    <w:p w14:paraId="14A46001" w14:textId="77777777" w:rsidR="000204E1"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martingeew</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central_bank_sentiment</w:t>
      </w:r>
      <w:proofErr w:type="spellEnd"/>
      <w:r>
        <w:rPr>
          <w:rFonts w:ascii="Google Sans" w:eastAsia="Google Sans" w:hAnsi="Google Sans" w:cs="Google Sans"/>
          <w:sz w:val="24"/>
          <w:szCs w:val="24"/>
        </w:rPr>
        <w:t xml:space="preserve"> - GitHub, accessed on May 23, 2026, </w:t>
      </w:r>
      <w:hyperlink r:id="rId89">
        <w:r>
          <w:rPr>
            <w:rFonts w:ascii="Google Sans" w:eastAsia="Google Sans" w:hAnsi="Google Sans" w:cs="Google Sans"/>
            <w:color w:val="0000EE"/>
            <w:sz w:val="24"/>
            <w:szCs w:val="24"/>
            <w:u w:val="single"/>
          </w:rPr>
          <w:t>https://github.com/martingeew/central_bank_sentiment</w:t>
        </w:r>
      </w:hyperlink>
    </w:p>
    <w:p w14:paraId="0103C2AF" w14:textId="77777777" w:rsidR="000204E1"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danieleongari</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investing_economic_indicators</w:t>
      </w:r>
      <w:proofErr w:type="spellEnd"/>
      <w:r>
        <w:rPr>
          <w:rFonts w:ascii="Google Sans" w:eastAsia="Google Sans" w:hAnsi="Google Sans" w:cs="Google Sans"/>
          <w:sz w:val="24"/>
          <w:szCs w:val="24"/>
        </w:rPr>
        <w:t xml:space="preserve">: List of economic indicators from Investing.com - GitHub, accessed on May 23, 2026, </w:t>
      </w:r>
      <w:hyperlink r:id="rId90">
        <w:r>
          <w:rPr>
            <w:rFonts w:ascii="Google Sans" w:eastAsia="Google Sans" w:hAnsi="Google Sans" w:cs="Google Sans"/>
            <w:color w:val="0000EE"/>
            <w:sz w:val="24"/>
            <w:szCs w:val="24"/>
            <w:u w:val="single"/>
          </w:rPr>
          <w:t>https://github.com/danieleongari/investing_economic_indicators</w:t>
        </w:r>
      </w:hyperlink>
    </w:p>
    <w:p w14:paraId="08506F85"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Reserve Bank of India Monetary Policy, accessed on May 23, 2026, </w:t>
      </w:r>
      <w:hyperlink r:id="rId91">
        <w:r>
          <w:rPr>
            <w:rFonts w:ascii="Google Sans" w:eastAsia="Google Sans" w:hAnsi="Google Sans" w:cs="Google Sans"/>
            <w:color w:val="0000EE"/>
            <w:sz w:val="24"/>
            <w:szCs w:val="24"/>
            <w:u w:val="single"/>
          </w:rPr>
          <w:t>https://rbi.org.in/commonperson/English/scripts/commpol.aspx</w:t>
        </w:r>
      </w:hyperlink>
    </w:p>
    <w:p w14:paraId="10D300C9"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RBI Issues June 2025 Monetary Policy Update - PIB, accessed on May 23, 2026, </w:t>
      </w:r>
      <w:hyperlink r:id="rId92">
        <w:r>
          <w:rPr>
            <w:rFonts w:ascii="Google Sans" w:eastAsia="Google Sans" w:hAnsi="Google Sans" w:cs="Google Sans"/>
            <w:color w:val="0000EE"/>
            <w:sz w:val="24"/>
            <w:szCs w:val="24"/>
            <w:u w:val="single"/>
          </w:rPr>
          <w:t>https://www.pib.gov.in/PressNoteDetails.aspx?NoteId=154573&amp;ModuleId=3</w:t>
        </w:r>
      </w:hyperlink>
    </w:p>
    <w:p w14:paraId="09D1D83B"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WCB - a </w:t>
      </w:r>
      <w:proofErr w:type="spellStart"/>
      <w:r>
        <w:rPr>
          <w:rFonts w:ascii="Google Sans" w:eastAsia="Google Sans" w:hAnsi="Google Sans" w:cs="Google Sans"/>
          <w:sz w:val="24"/>
          <w:szCs w:val="24"/>
        </w:rPr>
        <w:t>gtfintechlab</w:t>
      </w:r>
      <w:proofErr w:type="spellEnd"/>
      <w:r>
        <w:rPr>
          <w:rFonts w:ascii="Google Sans" w:eastAsia="Google Sans" w:hAnsi="Google Sans" w:cs="Google Sans"/>
          <w:sz w:val="24"/>
          <w:szCs w:val="24"/>
        </w:rPr>
        <w:t xml:space="preserve"> Collection - Hugging Face, accessed on May 23, 2026, </w:t>
      </w:r>
      <w:hyperlink r:id="rId93">
        <w:r>
          <w:rPr>
            <w:rFonts w:ascii="Google Sans" w:eastAsia="Google Sans" w:hAnsi="Google Sans" w:cs="Google Sans"/>
            <w:color w:val="0000EE"/>
            <w:sz w:val="24"/>
            <w:szCs w:val="24"/>
            <w:u w:val="single"/>
          </w:rPr>
          <w:t>https://huggingface.co/collections/gtfintechlab/wcb</w:t>
        </w:r>
      </w:hyperlink>
    </w:p>
    <w:p w14:paraId="526109EA" w14:textId="77777777" w:rsidR="000204E1"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gtfintechlab</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model_reserve_bank_of_india_stance_label</w:t>
      </w:r>
      <w:proofErr w:type="spellEnd"/>
      <w:r>
        <w:rPr>
          <w:rFonts w:ascii="Google Sans" w:eastAsia="Google Sans" w:hAnsi="Google Sans" w:cs="Google Sans"/>
          <w:sz w:val="24"/>
          <w:szCs w:val="24"/>
        </w:rPr>
        <w:t xml:space="preserve"> - Hugging Face, accessed on May 23, 2026, </w:t>
      </w:r>
      <w:hyperlink r:id="rId94">
        <w:r>
          <w:rPr>
            <w:rFonts w:ascii="Google Sans" w:eastAsia="Google Sans" w:hAnsi="Google Sans" w:cs="Google Sans"/>
            <w:color w:val="0000EE"/>
            <w:sz w:val="24"/>
            <w:szCs w:val="24"/>
            <w:u w:val="single"/>
          </w:rPr>
          <w:t>https://huggingface.co/gtfintechlab/model_reserve_bank_of_india_stance_label</w:t>
        </w:r>
      </w:hyperlink>
    </w:p>
    <w:p w14:paraId="6FC63A39" w14:textId="77777777" w:rsidR="000204E1"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gtfintechlab</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model_reserve_bank_of_india_certain_label</w:t>
      </w:r>
      <w:proofErr w:type="spellEnd"/>
      <w:r>
        <w:rPr>
          <w:rFonts w:ascii="Google Sans" w:eastAsia="Google Sans" w:hAnsi="Google Sans" w:cs="Google Sans"/>
          <w:sz w:val="24"/>
          <w:szCs w:val="24"/>
        </w:rPr>
        <w:t xml:space="preserve"> · Hugging, accessed on May 23, 2026, </w:t>
      </w:r>
      <w:hyperlink r:id="rId95">
        <w:r>
          <w:rPr>
            <w:rFonts w:ascii="Google Sans" w:eastAsia="Google Sans" w:hAnsi="Google Sans" w:cs="Google Sans"/>
            <w:color w:val="0000EE"/>
            <w:sz w:val="24"/>
            <w:szCs w:val="24"/>
            <w:u w:val="single"/>
          </w:rPr>
          <w:t>https://huggingface.co/gtfintechlab/model_reserve_bank_of_india_certain_label</w:t>
        </w:r>
      </w:hyperlink>
    </w:p>
    <w:p w14:paraId="22B4878F" w14:textId="77777777" w:rsidR="000204E1"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gtfintechlab</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model_reserve_bank_of_india_time_label</w:t>
      </w:r>
      <w:proofErr w:type="spellEnd"/>
      <w:r>
        <w:rPr>
          <w:rFonts w:ascii="Google Sans" w:eastAsia="Google Sans" w:hAnsi="Google Sans" w:cs="Google Sans"/>
          <w:sz w:val="24"/>
          <w:szCs w:val="24"/>
        </w:rPr>
        <w:t xml:space="preserve"> - Hugging Face, accessed on May 23, 2026, </w:t>
      </w:r>
      <w:hyperlink r:id="rId96">
        <w:r>
          <w:rPr>
            <w:rFonts w:ascii="Google Sans" w:eastAsia="Google Sans" w:hAnsi="Google Sans" w:cs="Google Sans"/>
            <w:color w:val="0000EE"/>
            <w:sz w:val="24"/>
            <w:szCs w:val="24"/>
            <w:u w:val="single"/>
          </w:rPr>
          <w:t>https://huggingface.co/gtfintechlab/model_reserve_bank_of_india_time_label</w:t>
        </w:r>
      </w:hyperlink>
    </w:p>
    <w:p w14:paraId="02C12D54"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 Comprehensive Appraisal of Style-Integration Methods - City Research Online, accessed on May 23, 2026, </w:t>
      </w:r>
      <w:hyperlink r:id="rId97">
        <w:r>
          <w:rPr>
            <w:rFonts w:ascii="Google Sans" w:eastAsia="Google Sans" w:hAnsi="Google Sans" w:cs="Google Sans"/>
            <w:color w:val="0000EE"/>
            <w:sz w:val="24"/>
            <w:szCs w:val="24"/>
            <w:u w:val="single"/>
          </w:rPr>
          <w:t>https://openaccess.city.ac.uk/id/eprint/22246/</w:t>
        </w:r>
      </w:hyperlink>
    </w:p>
    <w:p w14:paraId="47F4A1B8"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Investing in Megatrends: A Risk-Adjusted Performance Comparison of Thematic and Sector ETFs - Helda, accessed on May 23, 2026, </w:t>
      </w:r>
      <w:hyperlink r:id="rId98">
        <w:r>
          <w:rPr>
            <w:rFonts w:ascii="Google Sans" w:eastAsia="Google Sans" w:hAnsi="Google Sans" w:cs="Google Sans"/>
            <w:color w:val="0000EE"/>
            <w:sz w:val="24"/>
            <w:szCs w:val="24"/>
            <w:u w:val="single"/>
          </w:rPr>
          <w:t>https://helda.helsinki.fi/bitstreams/2bc06479-8315-4314-8779-5102a5706190/download</w:t>
        </w:r>
      </w:hyperlink>
    </w:p>
    <w:p w14:paraId="0EECDE26"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 new class of Shariah-compliant portfolio optimization model: diversification analysis, accessed on May 23, 2026, </w:t>
      </w:r>
      <w:hyperlink r:id="rId99">
        <w:r>
          <w:rPr>
            <w:rFonts w:ascii="Google Sans" w:eastAsia="Google Sans" w:hAnsi="Google Sans" w:cs="Google Sans"/>
            <w:color w:val="0000EE"/>
            <w:sz w:val="24"/>
            <w:szCs w:val="24"/>
            <w:u w:val="single"/>
          </w:rPr>
          <w:t>https://www.aimspress.com/article/doi/10.3934/math.20231066?viewType=HTML</w:t>
        </w:r>
      </w:hyperlink>
    </w:p>
    <w:p w14:paraId="30131B2B"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MiMIC: Multi-Modal Indian Earnings Calls Dataset to Predict Stock Prices - ResearchGate, accessed on May 23, 2026, </w:t>
      </w:r>
      <w:hyperlink r:id="rId100">
        <w:r>
          <w:rPr>
            <w:rFonts w:ascii="Google Sans" w:eastAsia="Google Sans" w:hAnsi="Google Sans" w:cs="Google Sans"/>
            <w:color w:val="0000EE"/>
            <w:sz w:val="24"/>
            <w:szCs w:val="24"/>
            <w:u w:val="single"/>
          </w:rPr>
          <w:t>https://www.researchgate.net/publication/390773323_MiMIC_Multi-Modal_Indian_Earnings_Calls_Dataset_to_Predict_Stock_Prices</w:t>
        </w:r>
      </w:hyperlink>
    </w:p>
    <w:p w14:paraId="6805FF69"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MiMIC: Multi-Modal Indian Earnings Calls Dataset to Predict Stock Prices - Hugging Face, accessed on May 23, 2026, </w:t>
      </w:r>
      <w:hyperlink r:id="rId101">
        <w:r>
          <w:rPr>
            <w:rFonts w:ascii="Google Sans" w:eastAsia="Google Sans" w:hAnsi="Google Sans" w:cs="Google Sans"/>
            <w:color w:val="0000EE"/>
            <w:sz w:val="24"/>
            <w:szCs w:val="24"/>
            <w:u w:val="single"/>
          </w:rPr>
          <w:t>https://huggingface.co/papers/2504.09257</w:t>
        </w:r>
      </w:hyperlink>
    </w:p>
    <w:p w14:paraId="4924413A"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 Combined Algorithm Approach for Optimizing Portfolio Performance in Automated Trading: A Study of SET50 Stocks - MDPI, accessed on May 23, 2026, </w:t>
      </w:r>
      <w:hyperlink r:id="rId102">
        <w:r>
          <w:rPr>
            <w:rFonts w:ascii="Google Sans" w:eastAsia="Google Sans" w:hAnsi="Google Sans" w:cs="Google Sans"/>
            <w:color w:val="0000EE"/>
            <w:sz w:val="24"/>
            <w:szCs w:val="24"/>
            <w:u w:val="single"/>
          </w:rPr>
          <w:t>https://www.mdpi.com/2227-7390/13/3/461</w:t>
        </w:r>
      </w:hyperlink>
    </w:p>
    <w:p w14:paraId="0EE71EFF"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Dynamic multi-period sparse portfolio selection model with asymmetric </w:t>
      </w:r>
      <w:r>
        <w:rPr>
          <w:rFonts w:ascii="Google Sans" w:eastAsia="Google Sans" w:hAnsi="Google Sans" w:cs="Google Sans"/>
          <w:sz w:val="24"/>
          <w:szCs w:val="24"/>
        </w:rPr>
        <w:lastRenderedPageBreak/>
        <w:t xml:space="preserve">investors' sentiments, accessed on May 23, 2026, </w:t>
      </w:r>
      <w:hyperlink r:id="rId103">
        <w:r>
          <w:rPr>
            <w:rFonts w:ascii="Google Sans" w:eastAsia="Google Sans" w:hAnsi="Google Sans" w:cs="Google Sans"/>
            <w:color w:val="0000EE"/>
            <w:sz w:val="24"/>
            <w:szCs w:val="24"/>
            <w:u w:val="single"/>
          </w:rPr>
          <w:t>https://www.researchgate.net/publication/350565868_Dynamic_multi-period_sparse_portfolio_selection_model_with_asymmetric_investors'_sentiments</w:t>
        </w:r>
      </w:hyperlink>
    </w:p>
    <w:p w14:paraId="539CD6B5"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 </w:t>
      </w:r>
      <w:proofErr w:type="spellStart"/>
      <w:r>
        <w:rPr>
          <w:rFonts w:ascii="Google Sans" w:eastAsia="Google Sans" w:hAnsi="Google Sans" w:cs="Google Sans"/>
          <w:sz w:val="24"/>
          <w:szCs w:val="24"/>
        </w:rPr>
        <w:t>Behavioral</w:t>
      </w:r>
      <w:proofErr w:type="spellEnd"/>
      <w:r>
        <w:rPr>
          <w:rFonts w:ascii="Google Sans" w:eastAsia="Google Sans" w:hAnsi="Google Sans" w:cs="Google Sans"/>
          <w:sz w:val="24"/>
          <w:szCs w:val="24"/>
        </w:rPr>
        <w:t xml:space="preserve"> Portfolio Model with Interval Return and Investor's Sentiment, accessed on May 23, 2026, </w:t>
      </w:r>
      <w:hyperlink r:id="rId104">
        <w:r>
          <w:rPr>
            <w:rFonts w:ascii="Google Sans" w:eastAsia="Google Sans" w:hAnsi="Google Sans" w:cs="Google Sans"/>
            <w:color w:val="0000EE"/>
            <w:sz w:val="24"/>
            <w:szCs w:val="24"/>
            <w:u w:val="single"/>
          </w:rPr>
          <w:t>https://pubs.sciepub.com/jfe/7/4/1/index.html</w:t>
        </w:r>
      </w:hyperlink>
    </w:p>
    <w:p w14:paraId="42E5AED4"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Historical Index Data - NSE, accessed on May 23, 2026, </w:t>
      </w:r>
      <w:hyperlink r:id="rId105">
        <w:r>
          <w:rPr>
            <w:rFonts w:ascii="Google Sans" w:eastAsia="Google Sans" w:hAnsi="Google Sans" w:cs="Google Sans"/>
            <w:color w:val="0000EE"/>
            <w:sz w:val="24"/>
            <w:szCs w:val="24"/>
            <w:u w:val="single"/>
          </w:rPr>
          <w:t>https://www.nseindia.com/reports-indices-historical-index-data</w:t>
        </w:r>
      </w:hyperlink>
    </w:p>
    <w:p w14:paraId="0070C307"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SIP ETF Dataset (Nifty, </w:t>
      </w:r>
      <w:proofErr w:type="spellStart"/>
      <w:r>
        <w:rPr>
          <w:rFonts w:ascii="Google Sans" w:eastAsia="Google Sans" w:hAnsi="Google Sans" w:cs="Google Sans"/>
          <w:sz w:val="24"/>
          <w:szCs w:val="24"/>
        </w:rPr>
        <w:t>BankNifty</w:t>
      </w:r>
      <w:proofErr w:type="spellEnd"/>
      <w:r>
        <w:rPr>
          <w:rFonts w:ascii="Google Sans" w:eastAsia="Google Sans" w:hAnsi="Google Sans" w:cs="Google Sans"/>
          <w:sz w:val="24"/>
          <w:szCs w:val="24"/>
        </w:rPr>
        <w:t xml:space="preserve">, Gold &amp; Silver) - Kaggle, accessed on May 23, 2026, </w:t>
      </w:r>
      <w:hyperlink r:id="rId106">
        <w:r>
          <w:rPr>
            <w:rFonts w:ascii="Google Sans" w:eastAsia="Google Sans" w:hAnsi="Google Sans" w:cs="Google Sans"/>
            <w:color w:val="0000EE"/>
            <w:sz w:val="24"/>
            <w:szCs w:val="24"/>
            <w:u w:val="single"/>
          </w:rPr>
          <w:t>https://www.kaggle.com/datasets/vivek468/sip-dataset-nifty-banknifty-gold-and-silver</w:t>
        </w:r>
      </w:hyperlink>
    </w:p>
    <w:p w14:paraId="00F68604"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Daily ETF Picker, accessed on May 23, 2026, </w:t>
      </w:r>
      <w:hyperlink r:id="rId107">
        <w:r>
          <w:rPr>
            <w:rFonts w:ascii="Google Sans" w:eastAsia="Google Sans" w:hAnsi="Google Sans" w:cs="Google Sans"/>
            <w:color w:val="0000EE"/>
            <w:sz w:val="24"/>
            <w:szCs w:val="24"/>
            <w:u w:val="single"/>
          </w:rPr>
          <w:t>https://eftpickerwithbacktest.streamlit.app/</w:t>
        </w:r>
      </w:hyperlink>
    </w:p>
    <w:p w14:paraId="0C7FE9DA"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Importing Financial Data from Yahoo Finance - Kaggle, accessed on May 23, 2026, </w:t>
      </w:r>
      <w:hyperlink r:id="rId108">
        <w:r>
          <w:rPr>
            <w:rFonts w:ascii="Google Sans" w:eastAsia="Google Sans" w:hAnsi="Google Sans" w:cs="Google Sans"/>
            <w:color w:val="0000EE"/>
            <w:sz w:val="24"/>
            <w:szCs w:val="24"/>
            <w:u w:val="single"/>
          </w:rPr>
          <w:t>https://www.kaggle.com/code/dheerparikh/importing-financial-data-from-yahoo-finance</w:t>
        </w:r>
      </w:hyperlink>
    </w:p>
    <w:p w14:paraId="223AF71F" w14:textId="77777777" w:rsidR="000204E1"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sohomghosh</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MiMIC_Multi-Modal_Indian_Earnings_Calls_Dataset</w:t>
      </w:r>
      <w:proofErr w:type="spellEnd"/>
      <w:r>
        <w:rPr>
          <w:rFonts w:ascii="Google Sans" w:eastAsia="Google Sans" w:hAnsi="Google Sans" w:cs="Google Sans"/>
          <w:sz w:val="24"/>
          <w:szCs w:val="24"/>
        </w:rPr>
        <w:t xml:space="preserve"> · Datasets at Hugging Face, accessed on May 23, 2026, </w:t>
      </w:r>
      <w:hyperlink r:id="rId109">
        <w:r>
          <w:rPr>
            <w:rFonts w:ascii="Google Sans" w:eastAsia="Google Sans" w:hAnsi="Google Sans" w:cs="Google Sans"/>
            <w:color w:val="0000EE"/>
            <w:sz w:val="24"/>
            <w:szCs w:val="24"/>
            <w:u w:val="single"/>
          </w:rPr>
          <w:t>https://huggingface.co/datasets/sohomghosh/MiMIC_Multi-Modal_Indian_Earnings_Calls_Dataset</w:t>
        </w:r>
      </w:hyperlink>
    </w:p>
    <w:p w14:paraId="4B271DD3" w14:textId="77777777" w:rsidR="000204E1"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gtfintechlab</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reserve_bank_of_india</w:t>
      </w:r>
      <w:proofErr w:type="spellEnd"/>
      <w:r>
        <w:rPr>
          <w:rFonts w:ascii="Google Sans" w:eastAsia="Google Sans" w:hAnsi="Google Sans" w:cs="Google Sans"/>
          <w:sz w:val="24"/>
          <w:szCs w:val="24"/>
        </w:rPr>
        <w:t xml:space="preserve"> · Datasets at Hugging Face, accessed on May 23, 2026, </w:t>
      </w:r>
      <w:hyperlink r:id="rId110">
        <w:r>
          <w:rPr>
            <w:rFonts w:ascii="Google Sans" w:eastAsia="Google Sans" w:hAnsi="Google Sans" w:cs="Google Sans"/>
            <w:color w:val="0000EE"/>
            <w:sz w:val="24"/>
            <w:szCs w:val="24"/>
            <w:u w:val="single"/>
          </w:rPr>
          <w:t>https://huggingface.co/datasets/gtfintechlab/reserve_bank_of_india</w:t>
        </w:r>
      </w:hyperlink>
    </w:p>
    <w:p w14:paraId="36B005EA"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NIFTY 50 Stock Market Data (2000-2023) - Kaggle, accessed on May 23, 2026, </w:t>
      </w:r>
      <w:hyperlink r:id="rId111">
        <w:r>
          <w:rPr>
            <w:rFonts w:ascii="Google Sans" w:eastAsia="Google Sans" w:hAnsi="Google Sans" w:cs="Google Sans"/>
            <w:color w:val="0000EE"/>
            <w:sz w:val="24"/>
            <w:szCs w:val="24"/>
            <w:u w:val="single"/>
          </w:rPr>
          <w:t>https://www.kaggle.com/datasets/rockyjoseph/nifty-50-stock-market-data-2000-2023</w:t>
        </w:r>
      </w:hyperlink>
    </w:p>
    <w:p w14:paraId="19DFA8D1"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Using Deep Reinforcement Learning with Hierarchical Risk Parity for Portfolio Optimization, accessed on May 23, 2026, </w:t>
      </w:r>
      <w:hyperlink r:id="rId112">
        <w:r>
          <w:rPr>
            <w:rFonts w:ascii="Google Sans" w:eastAsia="Google Sans" w:hAnsi="Google Sans" w:cs="Google Sans"/>
            <w:color w:val="0000EE"/>
            <w:sz w:val="24"/>
            <w:szCs w:val="24"/>
            <w:u w:val="single"/>
          </w:rPr>
          <w:t>https://ideas.repec.org/a/gam/jijfss/v11y2022i1p10-d1019580.html</w:t>
        </w:r>
      </w:hyperlink>
    </w:p>
    <w:p w14:paraId="345C265B"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Maximizing the Rebalancing Premium: Why Risk Parity portfolios are much greater than the sum of their parts - </w:t>
      </w:r>
      <w:proofErr w:type="spellStart"/>
      <w:r>
        <w:rPr>
          <w:rFonts w:ascii="Google Sans" w:eastAsia="Google Sans" w:hAnsi="Google Sans" w:cs="Google Sans"/>
          <w:sz w:val="24"/>
          <w:szCs w:val="24"/>
        </w:rPr>
        <w:t>ReSolve</w:t>
      </w:r>
      <w:proofErr w:type="spellEnd"/>
      <w:r>
        <w:rPr>
          <w:rFonts w:ascii="Google Sans" w:eastAsia="Google Sans" w:hAnsi="Google Sans" w:cs="Google Sans"/>
          <w:sz w:val="24"/>
          <w:szCs w:val="24"/>
        </w:rPr>
        <w:t xml:space="preserve"> Asset Management, accessed on May 23, 2026, </w:t>
      </w:r>
      <w:hyperlink r:id="rId113">
        <w:r>
          <w:rPr>
            <w:rFonts w:ascii="Google Sans" w:eastAsia="Google Sans" w:hAnsi="Google Sans" w:cs="Google Sans"/>
            <w:color w:val="0000EE"/>
            <w:sz w:val="24"/>
            <w:szCs w:val="24"/>
            <w:u w:val="single"/>
          </w:rPr>
          <w:t>https://investresolve.com/maximizing-the-rebalancing-premium-why-risk-parity-portfolios-are-much-greater-than-the-sum-of-their-parts/</w:t>
        </w:r>
      </w:hyperlink>
    </w:p>
    <w:p w14:paraId="4E382F06"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General-code-trading-bot/</w:t>
      </w:r>
      <w:proofErr w:type="spellStart"/>
      <w:r>
        <w:rPr>
          <w:rFonts w:ascii="Google Sans" w:eastAsia="Google Sans" w:hAnsi="Google Sans" w:cs="Google Sans"/>
          <w:sz w:val="24"/>
          <w:szCs w:val="24"/>
        </w:rPr>
        <w:t>skfolio</w:t>
      </w:r>
      <w:proofErr w:type="spellEnd"/>
      <w:r>
        <w:rPr>
          <w:rFonts w:ascii="Google Sans" w:eastAsia="Google Sans" w:hAnsi="Google Sans" w:cs="Google Sans"/>
          <w:sz w:val="24"/>
          <w:szCs w:val="24"/>
        </w:rPr>
        <w:t>-portfolio-</w:t>
      </w:r>
      <w:proofErr w:type="spellStart"/>
      <w:r>
        <w:rPr>
          <w:rFonts w:ascii="Google Sans" w:eastAsia="Google Sans" w:hAnsi="Google Sans" w:cs="Google Sans"/>
          <w:sz w:val="24"/>
          <w:szCs w:val="24"/>
        </w:rPr>
        <w:t>optimisation.ipynb</w:t>
      </w:r>
      <w:proofErr w:type="spellEnd"/>
      <w:r>
        <w:rPr>
          <w:rFonts w:ascii="Google Sans" w:eastAsia="Google Sans" w:hAnsi="Google Sans" w:cs="Google Sans"/>
          <w:sz w:val="24"/>
          <w:szCs w:val="24"/>
        </w:rPr>
        <w:t xml:space="preserve"> at main - GitHub, accessed on May 23, 2026, </w:t>
      </w:r>
      <w:hyperlink r:id="rId114">
        <w:r>
          <w:rPr>
            <w:rFonts w:ascii="Google Sans" w:eastAsia="Google Sans" w:hAnsi="Google Sans" w:cs="Google Sans"/>
            <w:color w:val="0000EE"/>
            <w:sz w:val="24"/>
            <w:szCs w:val="24"/>
            <w:u w:val="single"/>
          </w:rPr>
          <w:t>https://github.com/CryptoRobotFr/General-code-trading-bot/blob/main/skfolio-portfolio-optimisation.ipynb?ref=crypto-robot.com</w:t>
        </w:r>
      </w:hyperlink>
    </w:p>
    <w:p w14:paraId="5C70DB56" w14:textId="77777777" w:rsidR="000204E1"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CarloNicolini</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autoresearch-skfolio</w:t>
      </w:r>
      <w:proofErr w:type="spellEnd"/>
      <w:r>
        <w:rPr>
          <w:rFonts w:ascii="Google Sans" w:eastAsia="Google Sans" w:hAnsi="Google Sans" w:cs="Google Sans"/>
          <w:sz w:val="24"/>
          <w:szCs w:val="24"/>
        </w:rPr>
        <w:t xml:space="preserve">: Inspired by </w:t>
      </w:r>
      <w:proofErr w:type="spellStart"/>
      <w:r>
        <w:rPr>
          <w:rFonts w:ascii="Google Sans" w:eastAsia="Google Sans" w:hAnsi="Google Sans" w:cs="Google Sans"/>
          <w:sz w:val="24"/>
          <w:szCs w:val="24"/>
        </w:rPr>
        <w:t>autoresearch</w:t>
      </w:r>
      <w:proofErr w:type="spellEnd"/>
      <w:r>
        <w:rPr>
          <w:rFonts w:ascii="Google Sans" w:eastAsia="Google Sans" w:hAnsi="Google Sans" w:cs="Google Sans"/>
          <w:sz w:val="24"/>
          <w:szCs w:val="24"/>
        </w:rPr>
        <w:t xml:space="preserve"> but for finance - GitHub, accessed on May 23, 2026, </w:t>
      </w:r>
      <w:hyperlink r:id="rId115">
        <w:r>
          <w:rPr>
            <w:rFonts w:ascii="Google Sans" w:eastAsia="Google Sans" w:hAnsi="Google Sans" w:cs="Google Sans"/>
            <w:color w:val="0000EE"/>
            <w:sz w:val="24"/>
            <w:szCs w:val="24"/>
            <w:u w:val="single"/>
          </w:rPr>
          <w:t>https://github.com/carlonicolini/autoresearch-skfolio</w:t>
        </w:r>
      </w:hyperlink>
    </w:p>
    <w:p w14:paraId="709B4A21"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Optimizing Portfolio Construction: Hierarchical Risk Parity (HRP) and Modified HRP Against Traditional Methods - CBS Research Portal, accessed on May 23, 2026, </w:t>
      </w:r>
      <w:hyperlink r:id="rId116">
        <w:r>
          <w:rPr>
            <w:rFonts w:ascii="Google Sans" w:eastAsia="Google Sans" w:hAnsi="Google Sans" w:cs="Google Sans"/>
            <w:color w:val="0000EE"/>
            <w:sz w:val="24"/>
            <w:szCs w:val="24"/>
            <w:u w:val="single"/>
          </w:rPr>
          <w:t>https://research.cbs.dk/files/108049172/1850844_Master_Thesis_HRP_Rasul_Rok</w:t>
        </w:r>
        <w:r>
          <w:rPr>
            <w:rFonts w:ascii="Google Sans" w:eastAsia="Google Sans" w:hAnsi="Google Sans" w:cs="Google Sans"/>
            <w:color w:val="0000EE"/>
            <w:sz w:val="24"/>
            <w:szCs w:val="24"/>
            <w:u w:val="single"/>
          </w:rPr>
          <w:lastRenderedPageBreak/>
          <w:t>as_.pdf</w:t>
        </w:r>
      </w:hyperlink>
    </w:p>
    <w:p w14:paraId="1077D6AB"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Black-</w:t>
      </w:r>
      <w:proofErr w:type="spellStart"/>
      <w:r>
        <w:rPr>
          <w:rFonts w:ascii="Google Sans" w:eastAsia="Google Sans" w:hAnsi="Google Sans" w:cs="Google Sans"/>
          <w:sz w:val="24"/>
          <w:szCs w:val="24"/>
        </w:rPr>
        <w:t>Litterman</w:t>
      </w:r>
      <w:proofErr w:type="spellEnd"/>
      <w:r>
        <w:rPr>
          <w:rFonts w:ascii="Google Sans" w:eastAsia="Google Sans" w:hAnsi="Google Sans" w:cs="Google Sans"/>
          <w:sz w:val="24"/>
          <w:szCs w:val="24"/>
        </w:rPr>
        <w:t xml:space="preserve"> Model Explained: Bayesian Portfolio Optimization Guide (2026), accessed on May 23, 2026, </w:t>
      </w:r>
      <w:hyperlink r:id="rId117">
        <w:r>
          <w:rPr>
            <w:rFonts w:ascii="Google Sans" w:eastAsia="Google Sans" w:hAnsi="Google Sans" w:cs="Google Sans"/>
            <w:color w:val="0000EE"/>
            <w:sz w:val="24"/>
            <w:szCs w:val="24"/>
            <w:u w:val="single"/>
          </w:rPr>
          <w:t>https://alcapitaladvisory.com/research/frameworks/black-litterman.html</w:t>
        </w:r>
      </w:hyperlink>
    </w:p>
    <w:p w14:paraId="60730934"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Optimization - </w:t>
      </w:r>
      <w:proofErr w:type="spellStart"/>
      <w:r>
        <w:rPr>
          <w:rFonts w:ascii="Google Sans" w:eastAsia="Google Sans" w:hAnsi="Google Sans" w:cs="Google Sans"/>
          <w:sz w:val="24"/>
          <w:szCs w:val="24"/>
        </w:rPr>
        <w:t>skfolio</w:t>
      </w:r>
      <w:proofErr w:type="spellEnd"/>
      <w:r>
        <w:rPr>
          <w:rFonts w:ascii="Google Sans" w:eastAsia="Google Sans" w:hAnsi="Google Sans" w:cs="Google Sans"/>
          <w:sz w:val="24"/>
          <w:szCs w:val="24"/>
        </w:rPr>
        <w:t xml:space="preserve">, accessed on May 23, 2026, </w:t>
      </w:r>
      <w:hyperlink r:id="rId118">
        <w:r>
          <w:rPr>
            <w:rFonts w:ascii="Google Sans" w:eastAsia="Google Sans" w:hAnsi="Google Sans" w:cs="Google Sans"/>
            <w:color w:val="0000EE"/>
            <w:sz w:val="24"/>
            <w:szCs w:val="24"/>
            <w:u w:val="single"/>
          </w:rPr>
          <w:t>https://skfolio.org/user_guide/optimization.html</w:t>
        </w:r>
      </w:hyperlink>
    </w:p>
    <w:p w14:paraId="3834FABD" w14:textId="77777777" w:rsidR="000204E1"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 constrained hierarchical risk parity algorithm with cluster-based capital allocation, accessed on May 23, 2026, </w:t>
      </w:r>
      <w:hyperlink r:id="rId119">
        <w:r>
          <w:rPr>
            <w:rFonts w:ascii="Google Sans" w:eastAsia="Google Sans" w:hAnsi="Google Sans" w:cs="Google Sans"/>
            <w:color w:val="0000EE"/>
            <w:sz w:val="24"/>
            <w:szCs w:val="24"/>
            <w:u w:val="single"/>
          </w:rPr>
          <w:t>https://ideas.repec.org/p/sza/wpaper/wpapers328.html</w:t>
        </w:r>
      </w:hyperlink>
    </w:p>
    <w:sectPr w:rsidR="000204E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89312C5-DB4D-4F3E-AE0A-E138E838E9CF}"/>
  </w:font>
  <w:font w:name="Google Sans">
    <w:charset w:val="00"/>
    <w:family w:val="auto"/>
    <w:pitch w:val="default"/>
    <w:embedRegular r:id="rId2" w:fontKey="{D0196158-A81C-4BBF-9BCE-227655A40B9B}"/>
    <w:embedBold r:id="rId3" w:fontKey="{71DF9DB1-8A31-417B-916A-44FCF85DEE07}"/>
  </w:font>
  <w:font w:name="Calibri">
    <w:panose1 w:val="020F0502020204030204"/>
    <w:charset w:val="00"/>
    <w:family w:val="swiss"/>
    <w:pitch w:val="variable"/>
    <w:sig w:usb0="E4002EFF" w:usb1="C200247B" w:usb2="00000009" w:usb3="00000000" w:csb0="000001FF" w:csb1="00000000"/>
    <w:embedRegular r:id="rId4" w:fontKey="{7873E3DB-0169-451E-9267-0FAE8DFBD898}"/>
  </w:font>
  <w:font w:name="Cambria">
    <w:panose1 w:val="02040503050406030204"/>
    <w:charset w:val="00"/>
    <w:family w:val="roman"/>
    <w:pitch w:val="variable"/>
    <w:sig w:usb0="E00006FF" w:usb1="420024FF" w:usb2="02000000" w:usb3="00000000" w:csb0="0000019F" w:csb1="00000000"/>
    <w:embedRegular r:id="rId5" w:fontKey="{B38F30A9-5424-46F9-820C-D394F3C999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14E41"/>
    <w:multiLevelType w:val="multilevel"/>
    <w:tmpl w:val="B458117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B6626AD"/>
    <w:multiLevelType w:val="multilevel"/>
    <w:tmpl w:val="03C846E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FEA68D8"/>
    <w:multiLevelType w:val="multilevel"/>
    <w:tmpl w:val="C2D887D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1247F13"/>
    <w:multiLevelType w:val="multilevel"/>
    <w:tmpl w:val="96DAC31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5997C57"/>
    <w:multiLevelType w:val="multilevel"/>
    <w:tmpl w:val="5A4C879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73532084">
    <w:abstractNumId w:val="4"/>
  </w:num>
  <w:num w:numId="2" w16cid:durableId="1882553444">
    <w:abstractNumId w:val="1"/>
  </w:num>
  <w:num w:numId="3" w16cid:durableId="932543792">
    <w:abstractNumId w:val="3"/>
  </w:num>
  <w:num w:numId="4" w16cid:durableId="781340529">
    <w:abstractNumId w:val="0"/>
  </w:num>
  <w:num w:numId="5" w16cid:durableId="1753159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4E1"/>
    <w:rsid w:val="000204E1"/>
    <w:rsid w:val="00D91D69"/>
    <w:rsid w:val="00EB26F9"/>
    <w:rsid w:val="00F36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6962B"/>
  <w15:docId w15:val="{8EA28D8B-C7BB-49B8-96D2-00BE21F13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hyperlink" Target="https://alcapitaladvisory.com/research/frameworks/black-litterman.html" TargetMode="External"/><Relationship Id="rId21" Type="http://schemas.openxmlformats.org/officeDocument/2006/relationships/image" Target="media/image17.png"/><Relationship Id="rId42" Type="http://schemas.openxmlformats.org/officeDocument/2006/relationships/hyperlink" Target="https://ieeexplore.ieee.org/document/11359686/" TargetMode="External"/><Relationship Id="rId47" Type="http://schemas.openxmlformats.org/officeDocument/2006/relationships/hyperlink" Target="https://skfolio.org/generated/skfolio.optimization.HierarchicalEqualRiskContribution.html" TargetMode="External"/><Relationship Id="rId63" Type="http://schemas.openxmlformats.org/officeDocument/2006/relationships/hyperlink" Target="https://github.com/ishitamehta028/LSTM-Portfolio-Optimization-using-Gerber-Estimator" TargetMode="External"/><Relationship Id="rId68" Type="http://schemas.openxmlformats.org/officeDocument/2006/relationships/hyperlink" Target="https://github.com/dcajasn/Riskfolio-Lib" TargetMode="External"/><Relationship Id="rId84" Type="http://schemas.openxmlformats.org/officeDocument/2006/relationships/hyperlink" Target="https://www.nseindia.com/market-data/exchange-traded-funds-etf" TargetMode="External"/><Relationship Id="rId89" Type="http://schemas.openxmlformats.org/officeDocument/2006/relationships/hyperlink" Target="https://github.com/martingeew/central_bank_sentiment" TargetMode="External"/><Relationship Id="rId112" Type="http://schemas.openxmlformats.org/officeDocument/2006/relationships/hyperlink" Target="https://ideas.repec.org/a/gam/jijfss/v11y2022i1p10-d1019580.html" TargetMode="External"/><Relationship Id="rId16" Type="http://schemas.openxmlformats.org/officeDocument/2006/relationships/image" Target="media/image12.png"/><Relationship Id="rId107" Type="http://schemas.openxmlformats.org/officeDocument/2006/relationships/hyperlink" Target="https://eftpickerwithbacktest.streamlit.app/" TargetMode="External"/><Relationship Id="rId11" Type="http://schemas.openxmlformats.org/officeDocument/2006/relationships/image" Target="media/image7.png"/><Relationship Id="rId32" Type="http://schemas.openxmlformats.org/officeDocument/2006/relationships/hyperlink" Target="https://cfe.columbia.edu/sites/cfe.columbia.edu/files/content/Posters/2025/Mean-variance%20and%20hierarchical%20risk%20parity%20An%20empirical%20study%20of%20large-cap%20stock%20portfolios.pdf" TargetMode="External"/><Relationship Id="rId37" Type="http://schemas.openxmlformats.org/officeDocument/2006/relationships/hyperlink" Target="https://www.pm-research.com/content/iijjfds/3/2/1" TargetMode="External"/><Relationship Id="rId53" Type="http://schemas.openxmlformats.org/officeDocument/2006/relationships/hyperlink" Target="https://www.kaggle.com/datasets/ishan2608/20-years-indian-stock-market-data" TargetMode="External"/><Relationship Id="rId58" Type="http://schemas.openxmlformats.org/officeDocument/2006/relationships/hyperlink" Target="https://www.preprints.org/manuscript/202605.0517" TargetMode="External"/><Relationship Id="rId74" Type="http://schemas.openxmlformats.org/officeDocument/2006/relationships/hyperlink" Target="https://skfolio.org/generated/skfolio.optimization.EqualWeighted.html" TargetMode="External"/><Relationship Id="rId79" Type="http://schemas.openxmlformats.org/officeDocument/2006/relationships/hyperlink" Target="https://www.researchgate.net/publication/326756996_Risk_parity_portfolio_optimization_under_a_Markov_regime-switching_framework" TargetMode="External"/><Relationship Id="rId102" Type="http://schemas.openxmlformats.org/officeDocument/2006/relationships/hyperlink" Target="https://www.mdpi.com/2227-7390/13/3/461" TargetMode="External"/><Relationship Id="rId5" Type="http://schemas.openxmlformats.org/officeDocument/2006/relationships/image" Target="media/image1.png"/><Relationship Id="rId90" Type="http://schemas.openxmlformats.org/officeDocument/2006/relationships/hyperlink" Target="https://github.com/danieleongari/investing_economic_indicators" TargetMode="External"/><Relationship Id="rId95" Type="http://schemas.openxmlformats.org/officeDocument/2006/relationships/hyperlink" Target="https://huggingface.co/gtfintechlab/model_reserve_bank_of_india_certain_label"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hyperlink" Target="https://arxiv.org/pdf/2508.11856" TargetMode="External"/><Relationship Id="rId48" Type="http://schemas.openxmlformats.org/officeDocument/2006/relationships/hyperlink" Target="https://www.statsmodels.org/stable/generated/statsmodels.tsa.regime_switching.markov_autoregression.MarkovAutoregression.predict.html" TargetMode="External"/><Relationship Id="rId64" Type="http://schemas.openxmlformats.org/officeDocument/2006/relationships/hyperlink" Target="https://portfoliooptimizer.io/blog/the-gerber-statistic-a-robust-co-movement-measure-for-correlation-matrix-estimation/" TargetMode="External"/><Relationship Id="rId69" Type="http://schemas.openxmlformats.org/officeDocument/2006/relationships/hyperlink" Target="https://causalai.causalens.com/resources/white-papers/portfolio-optimization-beyond-machine-learning/" TargetMode="External"/><Relationship Id="rId113" Type="http://schemas.openxmlformats.org/officeDocument/2006/relationships/hyperlink" Target="https://investresolve.com/maximizing-the-rebalancing-premium-why-risk-parity-portfolios-are-much-greater-than-the-sum-of-their-parts/" TargetMode="External"/><Relationship Id="rId118" Type="http://schemas.openxmlformats.org/officeDocument/2006/relationships/hyperlink" Target="https://skfolio.org/user_guide/optimization.html" TargetMode="External"/><Relationship Id="rId80" Type="http://schemas.openxmlformats.org/officeDocument/2006/relationships/hyperlink" Target="https://www.statsmodels.org/dev/examples/notebooks/generated/markov_autoregression.html" TargetMode="External"/><Relationship Id="rId85" Type="http://schemas.openxmlformats.org/officeDocument/2006/relationships/hyperlink" Target="https://arxiv.org/pdf/2010.01687" TargetMode="Externa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hyperlink" Target="https://medium.com/@varunp96/portfolio-construction-with-hierarchical-risk-parity-hrp-f63d66d19023" TargetMode="External"/><Relationship Id="rId38" Type="http://schemas.openxmlformats.org/officeDocument/2006/relationships/hyperlink" Target="https://www.researchgate.net/publication/365774722_Building_optimal_regime-switching_portfolios" TargetMode="External"/><Relationship Id="rId59" Type="http://schemas.openxmlformats.org/officeDocument/2006/relationships/hyperlink" Target="https://github.com/topics/hierarchical-risk-parity" TargetMode="External"/><Relationship Id="rId103" Type="http://schemas.openxmlformats.org/officeDocument/2006/relationships/hyperlink" Target="https://www.researchgate.net/publication/350565868_Dynamic_multi-period_sparse_portfolio_selection_model_with_asymmetric_investors'_sentiments" TargetMode="External"/><Relationship Id="rId108" Type="http://schemas.openxmlformats.org/officeDocument/2006/relationships/hyperlink" Target="https://www.kaggle.com/code/dheerparikh/importing-financial-data-from-yahoo-finance" TargetMode="External"/><Relationship Id="rId54" Type="http://schemas.openxmlformats.org/officeDocument/2006/relationships/hyperlink" Target="https://www.pm-research.com/content/iijjfds/3/4/65" TargetMode="External"/><Relationship Id="rId70" Type="http://schemas.openxmlformats.org/officeDocument/2006/relationships/hyperlink" Target="https://medium.com/@orenji.eirl/riskfolio-lib-portfolio-optimization-with-python-650c6223e8b1" TargetMode="External"/><Relationship Id="rId75" Type="http://schemas.openxmlformats.org/officeDocument/2006/relationships/hyperlink" Target="https://skfolio.org/generated/skfolio.optimization.RiskBudgeting.html" TargetMode="External"/><Relationship Id="rId91" Type="http://schemas.openxmlformats.org/officeDocument/2006/relationships/hyperlink" Target="https://rbi.org.in/commonperson/English/scripts/commpol.aspx" TargetMode="External"/><Relationship Id="rId96" Type="http://schemas.openxmlformats.org/officeDocument/2006/relationships/hyperlink" Target="https://huggingface.co/gtfintechlab/model_reserve_bank_of_india_time_label"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hyperlink" Target="https://caia.org/sites/default/files/risk_parity_0.pdf" TargetMode="External"/><Relationship Id="rId114" Type="http://schemas.openxmlformats.org/officeDocument/2006/relationships/hyperlink" Target="https://github.com/CryptoRobotFr/General-code-trading-bot/blob/main/skfolio-portfolio-optimisation.ipynb?ref=crypto-robot.com" TargetMode="External"/><Relationship Id="rId119" Type="http://schemas.openxmlformats.org/officeDocument/2006/relationships/hyperlink" Target="https://ideas.repec.org/p/sza/wpaper/wpapers328.html" TargetMode="External"/><Relationship Id="rId44" Type="http://schemas.openxmlformats.org/officeDocument/2006/relationships/hyperlink" Target="https://research.cbs.dk/en/studentProjects/hierarchical-risk-parity-a-hierarchical-clustering-based-portfoli/" TargetMode="External"/><Relationship Id="rId60" Type="http://schemas.openxmlformats.org/officeDocument/2006/relationships/hyperlink" Target="https://www.pm-research.com/content/iijjfds/2/3/128" TargetMode="External"/><Relationship Id="rId65" Type="http://schemas.openxmlformats.org/officeDocument/2006/relationships/hyperlink" Target="https://arxiv.org/html/2406.00610v1" TargetMode="External"/><Relationship Id="rId81" Type="http://schemas.openxmlformats.org/officeDocument/2006/relationships/hyperlink" Target="https://www.statsmodels.org/0.8.0/examples/notebooks/generated/markov_autoregression.html" TargetMode="External"/><Relationship Id="rId86" Type="http://schemas.openxmlformats.org/officeDocument/2006/relationships/hyperlink" Target="https://github.com/Earnings-Call-Dataset"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ideas.repec.org/a/bba/j00001/v3y2024i3p106-125d218.html" TargetMode="External"/><Relationship Id="rId109" Type="http://schemas.openxmlformats.org/officeDocument/2006/relationships/hyperlink" Target="https://huggingface.co/datasets/sohomghosh/MiMIC_Multi-Modal_Indian_Earnings_Calls_Dataset" TargetMode="External"/><Relationship Id="rId34" Type="http://schemas.openxmlformats.org/officeDocument/2006/relationships/hyperlink" Target="https://pmc.ncbi.nlm.nih.gov/articles/PMC11033520/" TargetMode="External"/><Relationship Id="rId50" Type="http://schemas.openxmlformats.org/officeDocument/2006/relationships/hyperlink" Target="https://arxiv.org/html/2504.09257v1" TargetMode="External"/><Relationship Id="rId55" Type="http://schemas.openxmlformats.org/officeDocument/2006/relationships/hyperlink" Target="https://skfolio.org/auto_examples/clustering/plot_2_herc_cdar.html" TargetMode="External"/><Relationship Id="rId76" Type="http://schemas.openxmlformats.org/officeDocument/2006/relationships/hyperlink" Target="https://www.aidoczh.com/skfolio/_modules/skfolio/optimization/convex/_risk_budgeting.html" TargetMode="External"/><Relationship Id="rId97" Type="http://schemas.openxmlformats.org/officeDocument/2006/relationships/hyperlink" Target="https://openaccess.city.ac.uk/id/eprint/22246/" TargetMode="External"/><Relationship Id="rId104" Type="http://schemas.openxmlformats.org/officeDocument/2006/relationships/hyperlink" Target="https://pubs.sciepub.com/jfe/7/4/1/index.html" TargetMode="External"/><Relationship Id="rId120"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hyperlink" Target="https://pmc.ncbi.nlm.nih.gov/articles/PMC9114284/" TargetMode="External"/><Relationship Id="rId92" Type="http://schemas.openxmlformats.org/officeDocument/2006/relationships/hyperlink" Target="https://www.pib.gov.in/PressNoteDetails.aspx?NoteId=154573&amp;ModuleId=3"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hyperlink" Target="https://www.luxalgo.com/blog/hierarchical-risk-parity-rebalancing-methods/" TargetMode="External"/><Relationship Id="rId45" Type="http://schemas.openxmlformats.org/officeDocument/2006/relationships/hyperlink" Target="https://skfolio.org/user_guide/portfolio.html" TargetMode="External"/><Relationship Id="rId66" Type="http://schemas.openxmlformats.org/officeDocument/2006/relationships/hyperlink" Target="https://www.springerprofessional.de/en/lstm-based-portfolio-optimization-with-gerber-covariance-estimat/50573694" TargetMode="External"/><Relationship Id="rId87" Type="http://schemas.openxmlformats.org/officeDocument/2006/relationships/hyperlink" Target="https://github.com/gtfintechlab/WorldsCentralBanks" TargetMode="External"/><Relationship Id="rId110" Type="http://schemas.openxmlformats.org/officeDocument/2006/relationships/hyperlink" Target="https://huggingface.co/datasets/gtfintechlab/reserve_bank_of_india" TargetMode="External"/><Relationship Id="rId115" Type="http://schemas.openxmlformats.org/officeDocument/2006/relationships/hyperlink" Target="https://github.com/carlonicolini/autoresearch-skfolio" TargetMode="External"/><Relationship Id="rId61" Type="http://schemas.openxmlformats.org/officeDocument/2006/relationships/hyperlink" Target="https://www.fmx.nfkatzke.com/Projects/HRP.pdf" TargetMode="External"/><Relationship Id="rId82" Type="http://schemas.openxmlformats.org/officeDocument/2006/relationships/hyperlink" Target="https://www.statsmodels.org/stable/generated/statsmodels.tsa.regime_switching.markov_autoregression.MarkovAutoregression.html"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hyperlink" Target="https://skfolio.org/" TargetMode="External"/><Relationship Id="rId56" Type="http://schemas.openxmlformats.org/officeDocument/2006/relationships/hyperlink" Target="https://skfolio.org/generated/skfolio.optimization.HierarchicalRiskParity.html" TargetMode="External"/><Relationship Id="rId77" Type="http://schemas.openxmlformats.org/officeDocument/2006/relationships/hyperlink" Target="https://gupea.ub.gu.se/bitstreams/eaf33c7c-0d37-4830-a616-96bf52f57c67/download" TargetMode="External"/><Relationship Id="rId100" Type="http://schemas.openxmlformats.org/officeDocument/2006/relationships/hyperlink" Target="https://www.researchgate.net/publication/390773323_MiMIC_Multi-Modal_Indian_Earnings_Calls_Dataset_to_Predict_Stock_Prices" TargetMode="External"/><Relationship Id="rId105" Type="http://schemas.openxmlformats.org/officeDocument/2006/relationships/hyperlink" Target="https://www.nseindia.com/reports-indices-historical-index-data" TargetMode="External"/><Relationship Id="rId8" Type="http://schemas.openxmlformats.org/officeDocument/2006/relationships/image" Target="media/image4.png"/><Relationship Id="rId51" Type="http://schemas.openxmlformats.org/officeDocument/2006/relationships/hyperlink" Target="https://openreview.net/forum?id=cU5W9Z3r8p&amp;noteId=1lf5dXRyvW" TargetMode="External"/><Relationship Id="rId72" Type="http://schemas.openxmlformats.org/officeDocument/2006/relationships/hyperlink" Target="https://skfolio.org/auto_examples/mean_risk/plot_6_transaction_costs.html" TargetMode="External"/><Relationship Id="rId93" Type="http://schemas.openxmlformats.org/officeDocument/2006/relationships/hyperlink" Target="https://huggingface.co/collections/gtfintechlab/wcb" TargetMode="External"/><Relationship Id="rId98" Type="http://schemas.openxmlformats.org/officeDocument/2006/relationships/hyperlink" Target="https://helda.helsinki.fi/bitstreams/2bc06479-8315-4314-8779-5102a5706190/download"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hyperlink" Target="https://kenwuyang.com/posts/2024_10_20_portfolio_optimization_with_python_hierarchical_risk_parity/" TargetMode="External"/><Relationship Id="rId67" Type="http://schemas.openxmlformats.org/officeDocument/2006/relationships/hyperlink" Target="https://www.hudsonbaycapital.com/documents/FG/hudsonbay/news/621114_Wolfe_Conference_Presentation.pdf" TargetMode="External"/><Relationship Id="rId116" Type="http://schemas.openxmlformats.org/officeDocument/2006/relationships/hyperlink" Target="https://research.cbs.dk/files/108049172/1850844_Master_Thesis_HRP_Rasul_Rokas_.pdf" TargetMode="External"/><Relationship Id="rId20" Type="http://schemas.openxmlformats.org/officeDocument/2006/relationships/image" Target="media/image16.png"/><Relationship Id="rId41" Type="http://schemas.openxmlformats.org/officeDocument/2006/relationships/hyperlink" Target="https://www.mathworks.com/help/finance/asset-allocation-and-portfolio-optimization.html" TargetMode="External"/><Relationship Id="rId62" Type="http://schemas.openxmlformats.org/officeDocument/2006/relationships/hyperlink" Target="https://www.cfauk.org/pi-listing/embracing-machine-learning-to-tackle-portfolio-optimisers-limitations" TargetMode="External"/><Relationship Id="rId83" Type="http://schemas.openxmlformats.org/officeDocument/2006/relationships/hyperlink" Target="https://www.spglobal.com/spdji/en/documents/research/research-indexing-risk-parity-strategies.pdf" TargetMode="External"/><Relationship Id="rId88" Type="http://schemas.openxmlformats.org/officeDocument/2006/relationships/hyperlink" Target="https://huggingface.co/gtfintechlab/model_WCB_stance_label" TargetMode="External"/><Relationship Id="rId111" Type="http://schemas.openxmlformats.org/officeDocument/2006/relationships/hyperlink" Target="https://www.kaggle.com/datasets/rockyjoseph/nifty-50-stock-market-data-2000-2023" TargetMode="External"/><Relationship Id="rId15" Type="http://schemas.openxmlformats.org/officeDocument/2006/relationships/image" Target="media/image11.png"/><Relationship Id="rId36" Type="http://schemas.openxmlformats.org/officeDocument/2006/relationships/hyperlink" Target="https://pictureperfectportfolios.com/how-i-invest-adaptive-risk-parity-portfolio-daniel-snover/" TargetMode="External"/><Relationship Id="rId57" Type="http://schemas.openxmlformats.org/officeDocument/2006/relationships/hyperlink" Target="https://www.preprints.org/frontend/manuscript/b2cae9be9907689dae928187f4227a9d/download_pub" TargetMode="External"/><Relationship Id="rId106" Type="http://schemas.openxmlformats.org/officeDocument/2006/relationships/hyperlink" Target="https://www.kaggle.com/datasets/vivek468/sip-dataset-nifty-banknifty-gold-and-silver" TargetMode="External"/><Relationship Id="rId10" Type="http://schemas.openxmlformats.org/officeDocument/2006/relationships/image" Target="media/image6.png"/><Relationship Id="rId31" Type="http://schemas.openxmlformats.org/officeDocument/2006/relationships/hyperlink" Target="https://developer.nvidia.com/blog/hierarchical-risk-parity-on-rapids-an-ml-approach-to-portfolio-allocation/" TargetMode="External"/><Relationship Id="rId52" Type="http://schemas.openxmlformats.org/officeDocument/2006/relationships/hyperlink" Target="https://skfolio.org/auto_examples/clustering/plot_3_hrp_vs_herc.html" TargetMode="External"/><Relationship Id="rId73" Type="http://schemas.openxmlformats.org/officeDocument/2006/relationships/hyperlink" Target="https://skfolio.org/auto_examples/mean_risk/plot_7_management_fees.html" TargetMode="External"/><Relationship Id="rId78" Type="http://schemas.openxmlformats.org/officeDocument/2006/relationships/hyperlink" Target="https://www.man.com/insights/volatility-is-back-better-to-target-returns-or-target-risk" TargetMode="External"/><Relationship Id="rId94" Type="http://schemas.openxmlformats.org/officeDocument/2006/relationships/hyperlink" Target="https://huggingface.co/gtfintechlab/model_reserve_bank_of_india_stance_label" TargetMode="External"/><Relationship Id="rId99" Type="http://schemas.openxmlformats.org/officeDocument/2006/relationships/hyperlink" Target="https://www.aimspress.com/article/doi/10.3934/math.20231066?viewType=HTML" TargetMode="External"/><Relationship Id="rId101" Type="http://schemas.openxmlformats.org/officeDocument/2006/relationships/hyperlink" Target="https://huggingface.co/papers/2504.0925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21</Pages>
  <Words>9020</Words>
  <Characters>51415</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Karthik Ashtekar</cp:lastModifiedBy>
  <cp:revision>2</cp:revision>
  <dcterms:created xsi:type="dcterms:W3CDTF">2026-05-30T10:55:00Z</dcterms:created>
  <dcterms:modified xsi:type="dcterms:W3CDTF">2026-05-30T11:22:00Z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4c895c62-7bc6-4597-b99b-369b6794776b</vt:lpwstr>
  </property>
</Properties>
</file>