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Dayglow Technical Design</w:t>
      </w:r>
    </w:p>
    <w:p>
      <w:r>
        <w:t>Karthik Murugan  |  Version 1  |  October 10 2026</w:t>
      </w:r>
    </w:p>
    <w:p>
      <w:r>
        <w:t>This document describes the implemented Dayglow personal planning application, its local Ollama agent, deterministic LangGraph scheduler, browser behavior, and verification approach. It also identifies the changes required before cloud deployment. The current system runs locally with seeded data; its polished interface does not imply production infrastructure or connected calendars.</w:t>
      </w:r>
    </w:p>
    <w:p>
      <w:pPr>
        <w:pStyle w:val="Heading1"/>
      </w:pPr>
      <w:r>
        <w:t>Application architecture</w:t>
      </w:r>
    </w:p>
    <w:p>
      <w:r>
        <w:t>FastAPI serves both the static frontend and JSON APIs from one origin. A LangChain agent interprets planning and chat requests using qwen3:8b through Ollama. Scheduling is performed by a separate LangGraph workflow. The structured scheduler result is the authority for calendar rendering; the model provides a conversational explanation.</w:t>
      </w:r>
    </w:p>
    <w:p>
      <w:pPr>
        <w:spacing w:after="20" w:line="240" w:lineRule="auto"/>
      </w:pPr>
      <w:r>
        <w:rPr>
          <w:rFonts w:ascii="Consolas" w:hAnsi="Consolas"/>
          <w:sz w:val="18"/>
        </w:rPr>
        <w:t>Browser HTML CSS JavaScript</w:t>
      </w:r>
    </w:p>
    <w:p>
      <w:pPr>
        <w:spacing w:after="20" w:line="240" w:lineRule="auto"/>
      </w:pPr>
      <w:r>
        <w:rPr>
          <w:rFonts w:ascii="Consolas" w:hAnsi="Consolas"/>
          <w:sz w:val="18"/>
        </w:rPr>
        <w:t xml:space="preserve">  -&gt; FastAPI APIs and static files</w:t>
      </w:r>
    </w:p>
    <w:p>
      <w:pPr>
        <w:spacing w:after="20" w:line="240" w:lineRule="auto"/>
      </w:pPr>
      <w:r>
        <w:rPr>
          <w:rFonts w:ascii="Consolas" w:hAnsi="Consolas"/>
          <w:sz w:val="18"/>
        </w:rPr>
        <w:t xml:space="preserve">     -&gt; LangChain agent -&gt; Ollama qwen3:8b</w:t>
      </w:r>
    </w:p>
    <w:p>
      <w:pPr>
        <w:spacing w:after="20" w:line="240" w:lineRule="auto"/>
      </w:pPr>
      <w:r>
        <w:rPr>
          <w:rFonts w:ascii="Consolas" w:hAnsi="Consolas"/>
          <w:sz w:val="18"/>
        </w:rPr>
        <w:t xml:space="preserve">        -&gt; read tools and build_day_plan tool</w:t>
      </w:r>
    </w:p>
    <w:p>
      <w:pPr>
        <w:spacing w:after="20" w:line="240" w:lineRule="auto"/>
      </w:pPr>
      <w:r>
        <w:rPr>
          <w:rFonts w:ascii="Consolas" w:hAnsi="Consolas"/>
          <w:sz w:val="18"/>
        </w:rPr>
        <w:t xml:space="preserve">           -&gt; LangGraph scheduler -&gt; SQLite checkpoints</w:t>
      </w:r>
    </w:p>
    <w:p>
      <w:pPr>
        <w:spacing w:after="20" w:line="240" w:lineRule="auto"/>
      </w:pPr>
      <w:r>
        <w:rPr>
          <w:rFonts w:ascii="Consolas" w:hAnsi="Consolas"/>
          <w:sz w:val="18"/>
        </w:rPr>
        <w:t xml:space="preserve">     -&gt; Agent message checkpoints in separate SQLite database</w:t>
      </w:r>
    </w:p>
    <w:tbl>
      <w:tblPr>
        <w:tblW w:type="auto" w:w="0"/>
        <w:jc w:val="center"/>
        <w:tblLayout w:type="fixed"/>
        <w:tblLook w:firstColumn="1" w:firstRow="1" w:lastColumn="0" w:lastRow="0" w:noHBand="0" w:noVBand="1" w:val="04A0"/>
      </w:tblPr>
      <w:tblGrid>
        <w:gridCol w:w="1944"/>
        <w:gridCol w:w="7992"/>
      </w:tblGrid>
      <w:tr>
        <w:trPr>
          <w:tblHeader/>
        </w:trPr>
        <w:tc>
          <w:tcPr>
            <w:tcW w:type="dxa" w:w="1944"/>
            <w:vAlign w:val="center"/>
            <w:tcBorders>
              <w:top w:val="single" w:sz="4" w:color="D9D9D9"/>
              <w:left w:val="single" w:sz="4" w:color="D9D9D9"/>
              <w:bottom w:val="single" w:sz="4" w:color="D9D9D9"/>
              <w:right w:val="single" w:sz="4" w:color="D9D9D9"/>
            </w:tcBorders>
            <w:shd w:fill="DDE8E5"/>
            <w:tcMar>
              <w:top w:w="85" w:type="dxa"/>
              <w:left w:w="85" w:type="dxa"/>
              <w:bottom w:w="85" w:type="dxa"/>
              <w:right w:w="85" w:type="dxa"/>
            </w:tcMar>
          </w:tcPr>
          <w:p>
            <w:pPr>
              <w:spacing w:after="40"/>
            </w:pPr>
            <w:r>
              <w:rPr>
                <w:b/>
                <w:sz w:val="20"/>
              </w:rPr>
              <w:t>Component</w:t>
            </w:r>
          </w:p>
        </w:tc>
        <w:tc>
          <w:tcPr>
            <w:tcW w:type="dxa" w:w="7992"/>
            <w:vAlign w:val="center"/>
            <w:tcBorders>
              <w:top w:val="single" w:sz="4" w:color="D9D9D9"/>
              <w:left w:val="single" w:sz="4" w:color="D9D9D9"/>
              <w:bottom w:val="single" w:sz="4" w:color="D9D9D9"/>
              <w:right w:val="single" w:sz="4" w:color="D9D9D9"/>
            </w:tcBorders>
            <w:shd w:fill="DDE8E5"/>
            <w:tcMar>
              <w:top w:w="85" w:type="dxa"/>
              <w:left w:w="85" w:type="dxa"/>
              <w:bottom w:w="85" w:type="dxa"/>
              <w:right w:w="85" w:type="dxa"/>
            </w:tcMar>
          </w:tcPr>
          <w:p>
            <w:pPr>
              <w:spacing w:after="40"/>
            </w:pPr>
            <w:r>
              <w:rPr>
                <w:b/>
                <w:sz w:val="20"/>
              </w:rPr>
              <w:t>Implementation and 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Frontend</w:t>
            </w:r>
          </w:p>
        </w:tc>
        <w:tc>
          <w:tcPr>
            <w:tcW w:type="dxa" w:w="79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dist/index.html, styles.css and app.js; navigation, tasks, calendar and one shared Copilot panel.</w:t>
            </w:r>
          </w:p>
        </w:tc>
      </w:tr>
      <w:tr>
        <w:tc>
          <w:tcPr>
            <w:tcW w:type="dxa" w:w="1944"/>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API adapter</w:t>
            </w:r>
          </w:p>
        </w:tc>
        <w:tc>
          <w:tcPr>
            <w:tcW w:type="dxa" w:w="7992"/>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dist/api.js; same-origin requests, user-facing errors and timeouts.</w:t>
            </w:r>
          </w:p>
        </w:tc>
      </w:tr>
      <w:tr>
        <w:tc>
          <w:tcPr>
            <w:tcW w:type="dxa" w:w="19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API server</w:t>
            </w:r>
          </w:p>
        </w:tc>
        <w:tc>
          <w:tcPr>
            <w:tcW w:type="dxa" w:w="79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backend/main.py; validated requests, endpoint handlers, locks and static hosting.</w:t>
            </w:r>
          </w:p>
        </w:tc>
      </w:tr>
      <w:tr>
        <w:tc>
          <w:tcPr>
            <w:tcW w:type="dxa" w:w="1944"/>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Agent</w:t>
            </w:r>
          </w:p>
        </w:tc>
        <w:tc>
          <w:tcPr>
            <w:tcW w:type="dxa" w:w="7992"/>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backend/agent_service.py; model configuration, four tools and conversational memory.</w:t>
            </w:r>
          </w:p>
        </w:tc>
      </w:tr>
      <w:tr>
        <w:tc>
          <w:tcPr>
            <w:tcW w:type="dxa" w:w="1944"/>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Scheduler and data</w:t>
            </w:r>
          </w:p>
        </w:tc>
        <w:tc>
          <w:tcPr>
            <w:tcW w:type="dxa" w:w="7992"/>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backend/planner.py provides scheduling; repository.py returns seeded calendar and task data.</w:t>
            </w:r>
          </w:p>
        </w:tc>
      </w:tr>
    </w:tbl>
    <w:p>
      <w:pPr>
        <w:spacing w:after="0"/>
      </w:pPr>
    </w:p>
    <w:p>
      <w:r>
        <w:t>React, Next.js, Vercel, Docker, authentication and external calendar integrations are not part of the current runtime. The Git repository is LifeOSAgent; the displayed product name is Dayglow.</w:t>
      </w:r>
    </w:p>
    <w:p>
      <w:r>
        <w:br w:type="page"/>
      </w:r>
    </w:p>
    <w:p>
      <w:pPr>
        <w:pStyle w:val="Heading1"/>
      </w:pPr>
      <w:r>
        <w:t>Planning and conversation flow</w:t>
      </w:r>
    </w:p>
    <w:p>
      <w:pPr>
        <w:pStyle w:val="Heading2"/>
      </w:pPr>
      <w:r>
        <w:t>Plan my day</w:t>
      </w:r>
    </w:p>
    <w:p>
      <w:r>
        <w:t>The browser submits its session UUID, local date, IANA timezone and completed task IDs to POST /api/agent/plan. It disables planning, chat and task inputs while waiting. The server invokes the model with a planning instruction and requires the planning tool to execute. A prose-only response is rejected with HTTP 502.</w:t>
      </w:r>
    </w:p>
    <w:p>
      <w:r>
        <w:t>The build_day_plan tool calls the LangGraph scheduler and captures the complete structured result for the API. It returns a smaller result with exact clock labels to the model. The API returns reply plus plan. The browser renders the original commitments and scheduled blocks, updates the summary and activity, and keeps an open Copilot panel visible beside the calendar.</w:t>
      </w:r>
    </w:p>
    <w:p>
      <w:pPr>
        <w:pStyle w:val="Heading2"/>
      </w:pPr>
      <w:r>
        <w:t>Scheduler workflow</w:t>
      </w:r>
    </w:p>
    <w:p>
      <w:pPr>
        <w:spacing w:after="20" w:line="240" w:lineRule="auto"/>
      </w:pPr>
      <w:r>
        <w:rPr>
          <w:rFonts w:ascii="Consolas" w:hAnsi="Consolas"/>
          <w:sz w:val="18"/>
        </w:rPr>
        <w:t>START -&gt; gather_context -&gt; detect_conflicts</w:t>
      </w:r>
    </w:p>
    <w:p>
      <w:pPr>
        <w:spacing w:after="20" w:line="240" w:lineRule="auto"/>
      </w:pPr>
      <w:r>
        <w:rPr>
          <w:rFonts w:ascii="Consolas" w:hAnsi="Consolas"/>
          <w:sz w:val="18"/>
        </w:rPr>
        <w:t xml:space="preserve">      -&gt; schedule_tasks -&gt; validate_plan -&gt; summarize -&gt; END</w:t>
      </w:r>
    </w:p>
    <w:p>
      <w:r>
        <w:t>Gathering loads calendar, work and home data, applies optional request overrides, and replaces current run inputs. Conflict detection reports overlapping calendar commitments without moving or deleting them. Completed tasks are excluded before scheduling.</w:t>
      </w:r>
    </w:p>
    <w:p>
      <w:r>
        <w:t>Tasks are ordered by earliest deadline, then priority, then ID. For each task, the scheduler finds the first uninterrupted slot after the later of day_start and earliest, ending before the earlier of day_end and deadline. Defaults are 09:00 to 18:00. Existing commitments and already scheduled tasks form the occupied intervals. Tasks that cannot fit are deferred with a reason; tasks are not split.</w:t>
      </w:r>
    </w:p>
    <w:p>
      <w:r>
        <w:t>Validation independently checks each generated task against calendar events and other generated tasks. The summary includes scheduled counts, existing calendar conflicts and deferrals. This is a greedy scheduling algorithm, not a global optimizer or a preference-aware scheduling engine.</w:t>
      </w:r>
    </w:p>
    <w:p>
      <w:pPr>
        <w:pStyle w:val="Heading2"/>
      </w:pPr>
      <w:r>
        <w:t>Copilot conversation</w:t>
      </w:r>
    </w:p>
    <w:p>
      <w:r>
        <w:t>POST /api/chat runs the same agent with the entered message. Tools are get_calendar, get_work_tasks, get_home_tasks and build_day_plan. Follow-up questions may use checkpointed history. A new plan is applied only when the planning tool actually runs in that invocation; otherwise plan is null. Words such as schedule in a question do not trigger frontend replanning.</w:t>
      </w:r>
    </w:p>
    <w:p>
      <w:r>
        <w:t>The model cannot write tasks or calendar events. Natural-language preferences do not become scheduler constraints automatically. Exact time labels are supplied to reduce explanation errors, but model prose can still be inaccurate; calendar blocks use structured results.</w:t>
      </w:r>
    </w:p>
    <w:p>
      <w:r>
        <w:br w:type="page"/>
      </w:r>
    </w:p>
    <w:p>
      <w:pPr>
        <w:pStyle w:val="Heading1"/>
      </w:pPr>
      <w:r>
        <w:t>API contracts and data model</w:t>
      </w:r>
    </w:p>
    <w:tbl>
      <w:tblPr>
        <w:tblW w:type="auto" w:w="0"/>
        <w:jc w:val="center"/>
        <w:tblLayout w:type="fixed"/>
        <w:tblLook w:firstColumn="1" w:firstRow="1" w:lastColumn="0" w:lastRow="0" w:noHBand="0" w:noVBand="1" w:val="04A0"/>
      </w:tblPr>
      <w:tblGrid>
        <w:gridCol w:w="3240"/>
        <w:gridCol w:w="6696"/>
      </w:tblGrid>
      <w:tr>
        <w:trPr>
          <w:tblHeader/>
        </w:trPr>
        <w:tc>
          <w:tcPr>
            <w:tcW w:type="dxa" w:w="3240"/>
            <w:vAlign w:val="center"/>
            <w:tcBorders>
              <w:top w:val="single" w:sz="4" w:color="D9D9D9"/>
              <w:left w:val="single" w:sz="4" w:color="D9D9D9"/>
              <w:bottom w:val="single" w:sz="4" w:color="D9D9D9"/>
              <w:right w:val="single" w:sz="4" w:color="D9D9D9"/>
            </w:tcBorders>
            <w:shd w:fill="DDE8E5"/>
            <w:tcMar>
              <w:top w:w="85" w:type="dxa"/>
              <w:left w:w="85" w:type="dxa"/>
              <w:bottom w:w="85" w:type="dxa"/>
              <w:right w:w="85" w:type="dxa"/>
            </w:tcMar>
          </w:tcPr>
          <w:p>
            <w:pPr>
              <w:spacing w:after="40"/>
            </w:pPr>
            <w:r>
              <w:rPr>
                <w:b/>
                <w:sz w:val="20"/>
              </w:rPr>
              <w:t>Method and route</w:t>
            </w:r>
          </w:p>
        </w:tc>
        <w:tc>
          <w:tcPr>
            <w:tcW w:type="dxa" w:w="6696"/>
            <w:vAlign w:val="center"/>
            <w:tcBorders>
              <w:top w:val="single" w:sz="4" w:color="D9D9D9"/>
              <w:left w:val="single" w:sz="4" w:color="D9D9D9"/>
              <w:bottom w:val="single" w:sz="4" w:color="D9D9D9"/>
              <w:right w:val="single" w:sz="4" w:color="D9D9D9"/>
            </w:tcBorders>
            <w:shd w:fill="DDE8E5"/>
            <w:tcMar>
              <w:top w:w="85" w:type="dxa"/>
              <w:left w:w="85" w:type="dxa"/>
              <w:bottom w:w="85" w:type="dxa"/>
              <w:right w:w="85" w:type="dxa"/>
            </w:tcMar>
          </w:tcPr>
          <w:p>
            <w:pPr>
              <w:spacing w:after="40"/>
            </w:pPr>
            <w:r>
              <w:rPr>
                <w:b/>
                <w:sz w:val="20"/>
              </w:rPr>
              <w:t>Contract</w:t>
            </w:r>
          </w:p>
        </w:tc>
      </w:tr>
      <w:tr>
        <w:tc>
          <w:tcPr>
            <w:tcW w:type="dxa" w:w="32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GET /api/health</w:t>
            </w:r>
          </w:p>
        </w:tc>
        <w:tc>
          <w:tcPr>
            <w:tcW w:type="dxa" w:w="669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Service status and scheduler identifier. Does not verify Ollama readiness.</w:t>
            </w:r>
          </w:p>
        </w:tc>
      </w:tr>
      <w:tr>
        <w:tc>
          <w:tcPr>
            <w:tcW w:type="dxa" w:w="3240"/>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GET /api/calendar</w:t>
            </w:r>
          </w:p>
        </w:tc>
        <w:tc>
          <w:tcPr>
            <w:tcW w:type="dxa" w:w="6696"/>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Date and calendar items; optional date query parameter.</w:t>
            </w:r>
          </w:p>
        </w:tc>
      </w:tr>
      <w:tr>
        <w:tc>
          <w:tcPr>
            <w:tcW w:type="dxa" w:w="32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GET /api/work</w:t>
            </w:r>
          </w:p>
        </w:tc>
        <w:tc>
          <w:tcPr>
            <w:tcW w:type="dxa" w:w="669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Date and work task items; optional date query parameter.</w:t>
            </w:r>
          </w:p>
        </w:tc>
      </w:tr>
      <w:tr>
        <w:tc>
          <w:tcPr>
            <w:tcW w:type="dxa" w:w="3240"/>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GET /api/home</w:t>
            </w:r>
          </w:p>
        </w:tc>
        <w:tc>
          <w:tcPr>
            <w:tcW w:type="dxa" w:w="6696"/>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Date and home task items; optional date query parameter.</w:t>
            </w:r>
          </w:p>
        </w:tc>
      </w:tr>
      <w:tr>
        <w:tc>
          <w:tcPr>
            <w:tcW w:type="dxa" w:w="32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POST /api/plan</w:t>
            </w:r>
          </w:p>
        </w:tc>
        <w:tc>
          <w:tcPr>
            <w:tcW w:type="dxa" w:w="669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Deterministic scheduler result without a model call.</w:t>
            </w:r>
          </w:p>
        </w:tc>
      </w:tr>
      <w:tr>
        <w:tc>
          <w:tcPr>
            <w:tcW w:type="dxa" w:w="3240"/>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POST /api/agent/plan</w:t>
            </w:r>
          </w:p>
        </w:tc>
        <w:tc>
          <w:tcPr>
            <w:tcW w:type="dxa" w:w="6696"/>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Agent reply and required newly generated plan.</w:t>
            </w:r>
          </w:p>
        </w:tc>
      </w:tr>
      <w:tr>
        <w:tc>
          <w:tcPr>
            <w:tcW w:type="dxa" w:w="3240"/>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POST /api/chat</w:t>
            </w:r>
          </w:p>
        </w:tc>
        <w:tc>
          <w:tcPr>
            <w:tcW w:type="dxa" w:w="6696"/>
            <w:vAlign w:val="center"/>
            <w:tcBorders>
              <w:top w:val="single" w:sz="4" w:color="D9D9D9"/>
              <w:left w:val="single" w:sz="4" w:color="D9D9D9"/>
              <w:bottom w:val="single" w:sz="4" w:color="D9D9D9"/>
              <w:right w:val="single" w:sz="4" w:color="D9D9D9"/>
            </w:tcBorders>
            <w:shd w:fill="FFFFFF"/>
            <w:tcMar>
              <w:top w:w="85" w:type="dxa"/>
              <w:left w:w="85" w:type="dxa"/>
              <w:bottom w:w="85" w:type="dxa"/>
              <w:right w:w="85" w:type="dxa"/>
            </w:tcMar>
          </w:tcPr>
          <w:p>
            <w:pPr>
              <w:spacing w:after="40"/>
            </w:pPr>
            <w:r>
              <w:rPr>
                <w:b w:val="0"/>
                <w:sz w:val="20"/>
              </w:rPr>
              <w:t>Agent reply and optional newly generated plan.</w:t>
            </w:r>
          </w:p>
        </w:tc>
      </w:tr>
      <w:tr>
        <w:tc>
          <w:tcPr>
            <w:tcW w:type="dxa" w:w="3240"/>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GET /api/plan/{thread_id}</w:t>
            </w:r>
          </w:p>
        </w:tc>
        <w:tc>
          <w:tcPr>
            <w:tcW w:type="dxa" w:w="6696"/>
            <w:vAlign w:val="center"/>
            <w:tcBorders>
              <w:top w:val="single" w:sz="4" w:color="D9D9D9"/>
              <w:left w:val="single" w:sz="4" w:color="D9D9D9"/>
              <w:bottom w:val="single" w:sz="4" w:color="D9D9D9"/>
              <w:right w:val="single" w:sz="4" w:color="D9D9D9"/>
            </w:tcBorders>
            <w:shd w:fill="F5F7F6"/>
            <w:tcMar>
              <w:top w:w="85" w:type="dxa"/>
              <w:left w:w="85" w:type="dxa"/>
              <w:bottom w:w="85" w:type="dxa"/>
              <w:right w:w="85" w:type="dxa"/>
            </w:tcMar>
          </w:tcPr>
          <w:p>
            <w:pPr>
              <w:spacing w:after="40"/>
            </w:pPr>
            <w:r>
              <w:rPr>
                <w:b w:val="0"/>
                <w:sz w:val="20"/>
              </w:rPr>
              <w:t>Stored scheduler state; HTTP 404 when absent. Not automatically called on page load.</w:t>
            </w:r>
          </w:p>
        </w:tc>
      </w:tr>
    </w:tbl>
    <w:p>
      <w:pPr>
        <w:spacing w:after="0"/>
      </w:pPr>
    </w:p>
    <w:p>
      <w:pPr>
        <w:pStyle w:val="Heading2"/>
      </w:pPr>
      <w:r>
        <w:t>Planning request example</w:t>
      </w:r>
    </w:p>
    <w:p>
      <w:pPr>
        <w:spacing w:after="20" w:line="240" w:lineRule="auto"/>
      </w:pPr>
      <w:r>
        <w:rPr>
          <w:rFonts w:ascii="Consolas" w:hAnsi="Consolas"/>
          <w:sz w:val="18"/>
        </w:rPr>
        <w:t>{</w:t>
      </w:r>
    </w:p>
    <w:p>
      <w:pPr>
        <w:spacing w:after="20" w:line="240" w:lineRule="auto"/>
      </w:pPr>
      <w:r>
        <w:rPr>
          <w:rFonts w:ascii="Consolas" w:hAnsi="Consolas"/>
          <w:sz w:val="18"/>
        </w:rPr>
        <w:t xml:space="preserve">  "thread_id": "00000000-0000-4000-8000-000000000001",</w:t>
      </w:r>
    </w:p>
    <w:p>
      <w:pPr>
        <w:spacing w:after="20" w:line="240" w:lineRule="auto"/>
      </w:pPr>
      <w:r>
        <w:rPr>
          <w:rFonts w:ascii="Consolas" w:hAnsi="Consolas"/>
          <w:sz w:val="18"/>
        </w:rPr>
        <w:t xml:space="preserve">  "date": "2026-10-10",</w:t>
      </w:r>
    </w:p>
    <w:p>
      <w:pPr>
        <w:spacing w:after="20" w:line="240" w:lineRule="auto"/>
      </w:pPr>
      <w:r>
        <w:rPr>
          <w:rFonts w:ascii="Consolas" w:hAnsi="Consolas"/>
          <w:sz w:val="18"/>
        </w:rPr>
        <w:t xml:space="preserve">  "timezone": "America/Los_Angeles",</w:t>
      </w:r>
    </w:p>
    <w:p>
      <w:pPr>
        <w:spacing w:after="20" w:line="240" w:lineRule="auto"/>
      </w:pPr>
      <w:r>
        <w:rPr>
          <w:rFonts w:ascii="Consolas" w:hAnsi="Consolas"/>
          <w:sz w:val="18"/>
        </w:rPr>
        <w:t xml:space="preserve">  "day_start": 540, "day_end": 1080,</w:t>
      </w:r>
    </w:p>
    <w:p>
      <w:pPr>
        <w:spacing w:after="20" w:line="240" w:lineRule="auto"/>
      </w:pPr>
      <w:r>
        <w:rPr>
          <w:rFonts w:ascii="Consolas" w:hAnsi="Consolas"/>
          <w:sz w:val="18"/>
        </w:rPr>
        <w:t xml:space="preserve">  "completed_ids": ["w1"]</w:t>
      </w:r>
    </w:p>
    <w:p>
      <w:pPr>
        <w:spacing w:after="20" w:line="240" w:lineRule="auto"/>
      </w:pPr>
      <w:r>
        <w:rPr>
          <w:rFonts w:ascii="Consolas" w:hAnsi="Consolas"/>
          <w:sz w:val="18"/>
        </w:rPr>
        <w:t>}</w:t>
      </w:r>
    </w:p>
    <w:p>
      <w:r>
        <w:t>Chat adds message, a nonempty string limited to 2,000 characters. Optional calendar, work and home arrays override their corresponding data source. Empty arrays intentionally remove that source for the request; omitted or null arrays use the seeded readers.</w:t>
      </w:r>
    </w:p>
    <w:p>
      <w:r>
        <w:t>Calendar events contain id, title, start, end and kind. Tasks contain id, title, minutes, priority, earliest, deadline and optional meta. Times are integer local minutes after midnight. The timezone identifies the local clock; no external UTC conversion or overnight scheduling is implemented.</w:t>
      </w:r>
    </w:p>
    <w:p>
      <w:r>
        <w:t>Pydantic validates UUIDs, IANA timezones, day bounds, positive durations, ordered event and task windows, list limits and unique effective IDs. Invalid requests return HTTP 422. The scheduler response contains thread_id, date, timezone, run_count, summary, blocks, calendar, conflicts, deferred and activity.</w:t>
      </w:r>
    </w:p>
    <w:p>
      <w:r>
        <w:t>The seeded day contains four calendar blocks, four work tasks and three home tasks. Completing a task updates browser state and the next planning request; it does not persist a task update to an external task service.</w:t>
      </w:r>
    </w:p>
    <w:p>
      <w:r>
        <w:br w:type="page"/>
      </w:r>
    </w:p>
    <w:p>
      <w:pPr>
        <w:pStyle w:val="Heading1"/>
      </w:pPr>
      <w:r>
        <w:t>State persistence and interface behavior</w:t>
      </w:r>
    </w:p>
    <w:p>
      <w:pPr>
        <w:pStyle w:val="Heading2"/>
      </w:pPr>
      <w:r>
        <w:t>Browser state and refresh</w:t>
      </w:r>
    </w:p>
    <w:p>
      <w:r>
        <w:t>Each page load creates a fresh UUID and stores it in sessionStorage as dayglow-thread. Planning and chat share that UUID for the current page lifetime. Refresh starts on Today even when the previous route was Calendar or Copilot. The calendar, summary and Copilot close, selections reset and the conversation starts fresh. No previous plan is automatically restored.</w:t>
      </w:r>
    </w:p>
    <w:p>
      <w:r>
        <w:t>Within the same page, opening and closing Copilot preserves its messages and does not issue a planning or chat request. Today and the Copilot navigation tab reuse the same messages, form and event handlers. The calendar stays visible while replanning or after a planning failure. Copilot opens before planning as well as beside an existing plan. Mobile stacks Copilot above the calendar.</w:t>
      </w:r>
    </w:p>
    <w:p>
      <w:r>
        <w:t>The top header bar, workspace labels, development badges and personal account label are removed. The profile displays Karthik Murugan and KM. CSS and JavaScript URLs use version query strings so changed assets are requested after refresh. Navigation remains in the sidebar.</w:t>
      </w:r>
    </w:p>
    <w:p>
      <w:pPr>
        <w:pStyle w:val="Heading2"/>
      </w:pPr>
      <w:r>
        <w:t>Server memory and concurrency</w:t>
      </w:r>
    </w:p>
    <w:p>
      <w:r>
        <w:t>backend/data/checkpoints.sqlite stores scheduler state per UUID, including request, context, blocks, conflicts, activity and run count. backend/data/api-agent-checkpoints.sqlite stores conversational messages under copilot:{UUID}. Checkpoints survive server restarts and browser refresh; starting a fresh browser session does not erase earlier records.</w:t>
      </w:r>
    </w:p>
    <w:p>
      <w:r>
        <w:t>Two process-local reentrant locks protect the scheduler and agent paths separately. Agent requests are serialized for the entire model invocation, and its planning tool acquires the separate scheduler lock. This fits a single-process local app, but limits throughput. It is not a multi-worker concurrency strategy.</w:t>
      </w:r>
    </w:p>
    <w:p>
      <w:pPr>
        <w:pStyle w:val="Heading2"/>
      </w:pPr>
      <w:r>
        <w:t>Loading failures and timeouts</w:t>
      </w:r>
    </w:p>
    <w:p>
      <w:r>
        <w:t>Context reads use a 30-second browser timeout; planning and chat use five minutes. The UI disables submitted inputs while waiting and restores them on success or failure. Copilot can still be opened or closed while busy; opening focuses Close when the message field is disabled. Escape closes Copilot and returns focus to its opener.</w:t>
      </w:r>
    </w:p>
    <w:p>
      <w:r>
        <w:t>Model errors and missing required planning output become HTTP 502. Frontend errors use product wording rather than setup instructions. Messages are inserted as plain text. A browser timeout or refresh does not cancel an in-flight server request. There is no explicit server deadline, job cancellation API or automatic retry loop.</w:t>
      </w:r>
    </w:p>
    <w:p>
      <w:r>
        <w:br w:type="page"/>
      </w:r>
    </w:p>
    <w:p>
      <w:pPr>
        <w:pStyle w:val="Heading1"/>
      </w:pPr>
      <w:r>
        <w:t>Verification and deployment</w:t>
      </w:r>
    </w:p>
    <w:p>
      <w:pPr>
        <w:pStyle w:val="Heading2"/>
      </w:pPr>
      <w:r>
        <w:t>Verification evidence</w:t>
      </w:r>
    </w:p>
    <w:p>
      <w:r>
        <w:t>The backend suite contains 24 passing tests covering scheduler behavior, request validation, conflicts and deferrals, actual agent tool execution with a controlled model, history isolation, checkpoint persistence and model failures. Browser checks cover planning, completion and replanning, shared Copilot history, chat-generated plans, busy controls, plain-text rendering, failure recovery, desktop and mobile layouts, fresh-session refresh and retained backend history.</w:t>
      </w:r>
    </w:p>
    <w:p>
      <w:r>
        <w:t>A live Ollama UI check produced seven scheduled tasks and eleven calendar entries while Copilot remained open. Later small copy and header changes were checked through live browser navigation without page errors. For release, rerun the full browser suite against the final source and inspect current screenshots; model latency and explanation quality are not measured by the controlled tests.</w:t>
      </w:r>
    </w:p>
    <w:p>
      <w:pPr>
        <w:pStyle w:val="Heading2"/>
      </w:pPr>
      <w:r>
        <w:t>Local operation</w:t>
      </w:r>
    </w:p>
    <w:p>
      <w:pPr>
        <w:spacing w:after="20" w:line="240" w:lineRule="auto"/>
      </w:pPr>
      <w:r>
        <w:rPr>
          <w:rFonts w:ascii="Consolas" w:hAnsi="Consolas"/>
          <w:sz w:val="18"/>
        </w:rPr>
        <w:t>uv sync --dev</w:t>
      </w:r>
    </w:p>
    <w:p>
      <w:pPr>
        <w:spacing w:after="20" w:line="240" w:lineRule="auto"/>
      </w:pPr>
      <w:r>
        <w:rPr>
          <w:rFonts w:ascii="Consolas" w:hAnsi="Consolas"/>
          <w:sz w:val="18"/>
        </w:rPr>
        <w:t>ollama pull qwen3:8b</w:t>
      </w:r>
    </w:p>
    <w:p>
      <w:pPr>
        <w:spacing w:after="20" w:line="240" w:lineRule="auto"/>
      </w:pPr>
      <w:r>
        <w:rPr>
          <w:rFonts w:ascii="Consolas" w:hAnsi="Consolas"/>
          <w:sz w:val="18"/>
        </w:rPr>
        <w:t># Run Ollama, then start the app</w:t>
      </w:r>
    </w:p>
    <w:p>
      <w:pPr>
        <w:spacing w:after="20" w:line="240" w:lineRule="auto"/>
      </w:pPr>
      <w:r>
        <w:rPr>
          <w:rFonts w:ascii="Consolas" w:hAnsi="Consolas"/>
          <w:sz w:val="18"/>
        </w:rPr>
        <w:t>uv run uvicorn backend.main:app --host 127.0.0.1 --port 8000</w:t>
      </w:r>
    </w:p>
    <w:p>
      <w:pPr>
        <w:spacing w:after="20" w:line="240" w:lineRule="auto"/>
      </w:pPr>
      <w:r>
        <w:rPr>
          <w:rFonts w:ascii="Consolas" w:hAnsi="Consolas"/>
          <w:sz w:val="18"/>
        </w:rPr>
        <w:t>uv run pytest -q</w:t>
      </w:r>
    </w:p>
    <w:p>
      <w:r>
        <w:t>Open http://localhost:8000. Ollama uses its local service connection; no OpenAI API key is required for the current agent. DAYGLOW_DB can change the scheduler database path; agent checkpoints are created alongside it. window.DAYGLOW_API_BASE optionally directs frontend requests to a separate server. The configured development CORS origins are localhost and 127.0.0.1 on port 4173.</w:t>
      </w:r>
    </w:p>
    <w:p>
      <w:pPr>
        <w:pStyle w:val="Heading2"/>
      </w:pPr>
      <w:r>
        <w:t>Cloud deployment requirements</w:t>
      </w:r>
    </w:p>
    <w:p>
      <w:r>
        <w:t>The current app is local and single-user. Before public deployment, add authentication and authorization to every user data and checkpoint endpoint, replace seeded readers with user-scoped integrations, remove hardcoded profile data, and define retention and deletion for stored messages. A session UUID is not access control. Do not expose the unauthenticated app or Ollama service publicly.</w:t>
      </w:r>
    </w:p>
    <w:p>
      <w:r>
        <w:t>For multiple instances, use managed PostgreSQL checkpoint storage and a durable task store, replace process-local locks with a suitable concurrency design, and add idempotent planning requests plus background execution and cancellation. Apply HTTPS, explicit deployment origins, operational health checks including model readiness, structured monitoring and tested backups.</w:t>
      </w:r>
    </w:p>
    <w:p>
      <w:r>
        <w:t>Choose a private model host with sufficient memory or a managed model service. The local Mac Ollama process will not be reachable from a cloud backend without a deliberate secure connection. Containers are useful for consistent packaging but optional for a first managed Python deployment; no container or cloud deployment currently exists.</w:t>
      </w:r>
    </w:p>
    <w:p>
      <w:pPr>
        <w:pStyle w:val="Heading2"/>
      </w:pPr>
      <w:r>
        <w:t>Source and extension boundaries</w:t>
      </w:r>
    </w:p>
    <w:p>
      <w:r>
        <w:t>Repository: https://github.com/KarthikMurugan/LifeOSAgent. Primary references are dist/app.js, dist/api.js, dist/index.html, dist/styles.css, backend/main.py, backend/agent_service.py, backend/planner.py, backend/repository.py, tests/test_workflow.py and tests/test_agent_api.py. uv.lock records resolved dependencies.</w:t>
      </w:r>
    </w:p>
    <w:p>
      <w:r>
        <w:t>Future improvements can replace repository readers, configure the model at the agent boundary, or extend scheduling constraints without rebuilding the frontend. Start with one agent and explicit tools; introduce specialist agents only when distinct responsibilities and evaluation criteria justify the additional coordination.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Dayglow Technical Design</dc:title>
  <dc:subject>Current application architecture and implementation</dc:subject>
  <dc:creator>Karthik Murugan</dc:creator>
  <cp:keywords/>
  <dc:description>generated by python-docx</dc:description>
  <cp:lastModifiedBy/>
  <cp:revision>1</cp:revision>
  <dcterms:created xsi:type="dcterms:W3CDTF">2013-12-23T23:15:00Z</dcterms:created>
  <dcterms:modified xsi:type="dcterms:W3CDTF">2013-12-23T23:15:00Z</dcterms:modified>
  <cp:category/>
</cp:coreProperties>
</file>