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80"/>
        <w:jc w:val="start"/>
        <w:rPr/>
      </w:pPr>
      <w:r>
        <w:rPr/>
        <w:t>Microservices for the Web Investigator Project</w:t>
      </w:r>
    </w:p>
    <w:p>
      <w:pPr>
        <w:pStyle w:val="BodyTextsubtitle"/>
        <w:bidi w:val="0"/>
        <w:jc w:val="start"/>
        <w:rPr/>
      </w:pPr>
      <w:r>
        <w:rPr/>
        <w:t>What a microservice means in this project, how it helps, and when to adopt it</w:t>
      </w:r>
    </w:p>
    <w:p>
      <w:pPr>
        <w:pStyle w:val="BodyText"/>
        <w:bidi w:val="0"/>
        <w:spacing w:before="240" w:after="240"/>
        <w:ind w:hanging="0" w:start="240" w:end="240"/>
        <w:jc w:val="start"/>
        <w:rPr/>
      </w:pPr>
      <w:r>
        <w:rPr>
          <w:rStyle w:val="Strong"/>
          <w:bdr w:val="single" w:sz="30" w:space="12" w:color="2F75B5"/>
          <w:shd w:fill="EAF2F8" w:val="clear"/>
        </w:rPr>
        <w:t>Definition.</w:t>
      </w:r>
      <w:r>
        <w:rPr>
          <w:bdr w:val="single" w:sz="30" w:space="12" w:color="2F75B5"/>
          <w:shd w:fill="EAF2F8" w:val="clear"/>
        </w:rPr>
        <w:t xml:space="preserve"> In this project, a microservice means turning one investigation capability into an independently running application with its own API, processing logic, deployment lifecycle, and data ownership. FastAPI can expose the service, but using FastAPI alone does not automatically make a component a microservice. </w:t>
      </w:r>
    </w:p>
    <w:p>
      <w:pPr>
        <w:pStyle w:val="Heading2"/>
        <w:bidi w:val="0"/>
        <w:jc w:val="start"/>
        <w:rPr/>
      </w:pPr>
      <w:r>
        <w:rPr/>
        <w:t>1. Current Architecture</w:t>
      </w:r>
    </w:p>
    <w:p>
      <w:pPr>
        <w:pStyle w:val="BodyText"/>
        <w:bidi w:val="0"/>
        <w:jc w:val="start"/>
        <w:rPr/>
      </w:pPr>
      <w:r>
        <w:rPr/>
        <w:t>The project currently behaves mostly as one application:</w:t>
      </w:r>
    </w:p>
    <w:p>
      <w:pPr>
        <w:pStyle w:val="PreformattedText"/>
        <w:bidi w:val="0"/>
        <w:jc w:val="start"/>
        <w:rPr/>
      </w:pPr>
      <w:r>
        <w:rPr/>
        <w:t>Streamlit UI</w:t>
      </w:r>
    </w:p>
    <w:p>
      <w:pPr>
        <w:pStyle w:val="PreformattedText"/>
        <w:bidi w:val="0"/>
        <w:jc w:val="start"/>
        <w:rPr/>
      </w:pPr>
      <w:r>
        <w:rPr/>
        <w:t xml:space="preserve">    </w:t>
      </w:r>
      <w:r>
        <w:rPr/>
        <w:t>|</w:t>
      </w:r>
    </w:p>
    <w:p>
      <w:pPr>
        <w:pStyle w:val="PreformattedText"/>
        <w:bidi w:val="0"/>
        <w:jc w:val="start"/>
        <w:rPr/>
      </w:pPr>
      <w:r>
        <w:rPr/>
        <w:t xml:space="preserve">    </w:t>
      </w:r>
      <w:r>
        <w:rPr/>
        <w:t>|-- Direct Python call --&gt; OSINT orchestrator</w:t>
      </w:r>
    </w:p>
    <w:p>
      <w:pPr>
        <w:pStyle w:val="PreformattedText"/>
        <w:bidi w:val="0"/>
        <w:jc w:val="start"/>
        <w:rPr/>
      </w:pPr>
      <w:r>
        <w:rPr/>
        <w:t xml:space="preserve">    </w:t>
      </w:r>
      <w:r>
        <w:rPr/>
        <w:t>|</w:t>
      </w:r>
    </w:p>
    <w:p>
      <w:pPr>
        <w:pStyle w:val="PreformattedText"/>
        <w:bidi w:val="0"/>
        <w:jc w:val="start"/>
        <w:rPr/>
      </w:pPr>
      <w:r>
        <w:rPr/>
        <w:t xml:space="preserve">    </w:t>
      </w:r>
      <w:r>
        <w:rPr/>
        <w:t>`-- Direct Python call --&gt; Dynamic Playwright engine</w:t>
      </w:r>
    </w:p>
    <w:p>
      <w:pPr>
        <w:pStyle w:val="PreformattedText"/>
        <w:bidi w:val="0"/>
        <w:jc w:val="start"/>
        <w:rPr/>
      </w:pPr>
      <w:r>
        <w:rPr/>
        <w:t xml:space="preserve">                               </w:t>
      </w:r>
      <w:r>
        <w:rPr/>
        <w:t>|</w:t>
      </w:r>
    </w:p>
    <w:p>
      <w:pPr>
        <w:pStyle w:val="PreformattedText"/>
        <w:bidi w:val="0"/>
        <w:jc w:val="start"/>
        <w:rPr/>
      </w:pPr>
      <w:r>
        <w:rPr/>
        <w:t xml:space="preserve">                               </w:t>
      </w:r>
      <w:r>
        <w:rPr/>
        <w:t>v</w:t>
      </w:r>
    </w:p>
    <w:p>
      <w:pPr>
        <w:pStyle w:val="PreformattedText"/>
        <w:bidi w:val="0"/>
        <w:spacing w:before="0" w:after="283"/>
        <w:jc w:val="start"/>
        <w:rPr/>
      </w:pPr>
      <w:r>
        <w:rPr/>
        <w:t xml:space="preserve">                        </w:t>
      </w:r>
      <w:r>
        <w:rPr/>
        <w:t>Shared local storage</w:t>
      </w:r>
    </w:p>
    <w:p>
      <w:pPr>
        <w:pStyle w:val="BodyText"/>
        <w:bidi w:val="0"/>
        <w:jc w:val="start"/>
        <w:rPr/>
      </w:pPr>
      <w:r>
        <w:rPr/>
        <w:t xml:space="preserve">The UI directly imports and calls both capabilities. This is a </w:t>
      </w:r>
      <w:r>
        <w:rPr>
          <w:rStyle w:val="Strong"/>
        </w:rPr>
        <w:t>modular monolith</w:t>
      </w:r>
      <w:r>
        <w:rPr/>
        <w:t>: the Python modules are separated logically, but they run as parts of the same application.</w:t>
      </w:r>
    </w:p>
    <w:p>
      <w:pPr>
        <w:pStyle w:val="Heading2"/>
        <w:bidi w:val="0"/>
        <w:jc w:val="start"/>
        <w:rPr/>
      </w:pPr>
      <w:r>
        <w:rPr/>
        <w:t>2. Proposed Microservice Architecture</w:t>
      </w:r>
    </w:p>
    <w:p>
      <w:pPr>
        <w:pStyle w:val="PreformattedText"/>
        <w:bidi w:val="0"/>
        <w:jc w:val="start"/>
        <w:rPr/>
      </w:pPr>
      <w:r>
        <w:rPr/>
        <w:t xml:space="preserve">                    </w:t>
      </w:r>
      <w:r>
        <w:rPr/>
        <w:t>Single Streamlit UI</w:t>
      </w:r>
    </w:p>
    <w:p>
      <w:pPr>
        <w:pStyle w:val="PreformattedText"/>
        <w:bidi w:val="0"/>
        <w:jc w:val="start"/>
        <w:rPr/>
      </w:pPr>
      <w:r>
        <w:rPr/>
        <w:t xml:space="preserve">                             </w:t>
      </w:r>
      <w:r>
        <w:rPr/>
        <w:t>|</w:t>
      </w:r>
    </w:p>
    <w:p>
      <w:pPr>
        <w:pStyle w:val="PreformattedText"/>
        <w:bidi w:val="0"/>
        <w:jc w:val="start"/>
        <w:rPr/>
      </w:pPr>
      <w:r>
        <w:rPr/>
        <w:t xml:space="preserve">                             </w:t>
      </w:r>
      <w:r>
        <w:rPr/>
        <w:t>v</w:t>
      </w:r>
    </w:p>
    <w:p>
      <w:pPr>
        <w:pStyle w:val="PreformattedText"/>
        <w:bidi w:val="0"/>
        <w:jc w:val="start"/>
        <w:rPr/>
      </w:pPr>
      <w:r>
        <w:rPr/>
        <w:t xml:space="preserve">                    </w:t>
      </w:r>
      <w:r>
        <w:rPr/>
        <w:t>Investigation API</w:t>
      </w:r>
    </w:p>
    <w:p>
      <w:pPr>
        <w:pStyle w:val="PreformattedText"/>
        <w:bidi w:val="0"/>
        <w:jc w:val="start"/>
        <w:rPr/>
      </w:pPr>
      <w:r>
        <w:rPr/>
        <w:t xml:space="preserve">                       </w:t>
      </w:r>
      <w:r>
        <w:rPr/>
        <w:t>/ Coordinator</w:t>
      </w:r>
    </w:p>
    <w:p>
      <w:pPr>
        <w:pStyle w:val="PreformattedText"/>
        <w:bidi w:val="0"/>
        <w:jc w:val="start"/>
        <w:rPr/>
      </w:pPr>
      <w:r>
        <w:rPr/>
        <w:t xml:space="preserve">                             </w:t>
      </w:r>
      <w:r>
        <w:rPr/>
        <w:t>|</w:t>
      </w:r>
    </w:p>
    <w:p>
      <w:pPr>
        <w:pStyle w:val="PreformattedText"/>
        <w:bidi w:val="0"/>
        <w:jc w:val="start"/>
        <w:rPr/>
      </w:pPr>
      <w:r>
        <w:rPr/>
        <w:t xml:space="preserve">             </w:t>
      </w:r>
      <w:r>
        <w:rPr/>
        <w:t>+---------------+---------------+</w:t>
      </w:r>
    </w:p>
    <w:p>
      <w:pPr>
        <w:pStyle w:val="PreformattedText"/>
        <w:bidi w:val="0"/>
        <w:jc w:val="start"/>
        <w:rPr/>
      </w:pPr>
      <w:r>
        <w:rPr/>
        <w:t xml:space="preserve">             </w:t>
      </w:r>
      <w:r>
        <w:rPr/>
        <w:t>|                               |</w:t>
      </w:r>
    </w:p>
    <w:p>
      <w:pPr>
        <w:pStyle w:val="PreformattedText"/>
        <w:bidi w:val="0"/>
        <w:jc w:val="start"/>
        <w:rPr/>
      </w:pPr>
      <w:r>
        <w:rPr/>
        <w:t xml:space="preserve">             </w:t>
      </w:r>
      <w:r>
        <w:rPr/>
        <w:t>v                               v</w:t>
      </w:r>
    </w:p>
    <w:p>
      <w:pPr>
        <w:pStyle w:val="PreformattedText"/>
        <w:bidi w:val="0"/>
        <w:jc w:val="start"/>
        <w:rPr/>
      </w:pPr>
      <w:r>
        <w:rPr/>
        <w:t xml:space="preserve">      </w:t>
      </w:r>
      <w:r>
        <w:rPr/>
        <w:t>OSINT Microservice            Dynamic Web Microservice</w:t>
      </w:r>
    </w:p>
    <w:p>
      <w:pPr>
        <w:pStyle w:val="PreformattedText"/>
        <w:bidi w:val="0"/>
        <w:jc w:val="start"/>
        <w:rPr/>
      </w:pPr>
      <w:r>
        <w:rPr/>
        <w:t xml:space="preserve">      </w:t>
      </w:r>
      <w:r>
        <w:rPr/>
        <w:t>FastAPI application           FastAPI application</w:t>
      </w:r>
    </w:p>
    <w:p>
      <w:pPr>
        <w:pStyle w:val="PreformattedText"/>
        <w:bidi w:val="0"/>
        <w:jc w:val="start"/>
        <w:rPr/>
      </w:pPr>
      <w:r>
        <w:rPr/>
        <w:t xml:space="preserve">             </w:t>
      </w:r>
      <w:r>
        <w:rPr/>
        <w:t>|                               |</w:t>
      </w:r>
    </w:p>
    <w:p>
      <w:pPr>
        <w:pStyle w:val="PreformattedText"/>
        <w:bidi w:val="0"/>
        <w:jc w:val="start"/>
        <w:rPr/>
      </w:pPr>
      <w:r>
        <w:rPr/>
        <w:t xml:space="preserve">        </w:t>
      </w:r>
      <w:r>
        <w:rPr/>
        <w:t>OSINT worker                  Playwright worker</w:t>
      </w:r>
    </w:p>
    <w:p>
      <w:pPr>
        <w:pStyle w:val="PreformattedText"/>
        <w:bidi w:val="0"/>
        <w:jc w:val="start"/>
        <w:rPr/>
      </w:pPr>
      <w:r>
        <w:rPr/>
        <w:t xml:space="preserve">             </w:t>
      </w:r>
      <w:r>
        <w:rPr/>
        <w:t>|                               |</w:t>
      </w:r>
    </w:p>
    <w:p>
      <w:pPr>
        <w:pStyle w:val="PreformattedText"/>
        <w:bidi w:val="0"/>
        <w:spacing w:before="0" w:after="283"/>
        <w:jc w:val="start"/>
        <w:rPr/>
      </w:pPr>
      <w:r>
        <w:rPr/>
        <w:t xml:space="preserve">        </w:t>
      </w:r>
      <w:r>
        <w:rPr/>
        <w:t>OSINT database                Dynamic database</w:t>
      </w:r>
    </w:p>
    <w:p>
      <w:pPr>
        <w:pStyle w:val="BodyText"/>
        <w:bidi w:val="0"/>
        <w:jc w:val="start"/>
        <w:rPr/>
      </w:pPr>
      <w:r>
        <w:rPr/>
        <w:t>Each service can run on a different network address, for example:</w:t>
      </w:r>
    </w:p>
    <w:p>
      <w:pPr>
        <w:pStyle w:val="PreformattedText"/>
        <w:bidi w:val="0"/>
        <w:jc w:val="start"/>
        <w:rPr/>
      </w:pPr>
      <w:r>
        <w:rPr/>
        <w:t>OSINT API:     http://osint-service:8001</w:t>
      </w:r>
    </w:p>
    <w:p>
      <w:pPr>
        <w:pStyle w:val="PreformattedText"/>
        <w:bidi w:val="0"/>
        <w:spacing w:before="0" w:after="283"/>
        <w:jc w:val="start"/>
        <w:rPr/>
      </w:pPr>
      <w:r>
        <w:rPr/>
        <w:t>Dynamic API:   http://dynamic-service:8002</w:t>
      </w:r>
    </w:p>
    <w:p>
      <w:pPr>
        <w:pStyle w:val="BodyText"/>
        <w:bidi w:val="0"/>
        <w:jc w:val="start"/>
        <w:rPr/>
      </w:pPr>
      <w:r>
        <w:rPr/>
        <w:t>The UI or coordinator sends HTTP requests instead of directly importing the underlying Python implementation.</w:t>
      </w:r>
    </w:p>
    <w:p>
      <w:pPr>
        <w:pStyle w:val="Heading2"/>
        <w:bidi w:val="0"/>
        <w:jc w:val="start"/>
        <w:rPr/>
      </w:pPr>
      <w:r>
        <w:rPr/>
        <w:t>3. OSINT Microservice</w:t>
      </w:r>
    </w:p>
    <w:p>
      <w:pPr>
        <w:pStyle w:val="BodyText"/>
        <w:bidi w:val="0"/>
        <w:jc w:val="start"/>
        <w:rPr/>
      </w:pPr>
      <w:r>
        <w:rPr/>
        <w:t>The OSINT service would own:</w:t>
      </w:r>
    </w:p>
    <w:p>
      <w:pPr>
        <w:pStyle w:val="BodyText"/>
        <w:numPr>
          <w:ilvl w:val="0"/>
          <w:numId w:val="1"/>
        </w:numPr>
        <w:tabs>
          <w:tab w:val="clear" w:pos="1134"/>
          <w:tab w:val="left" w:pos="709" w:leader="none"/>
        </w:tabs>
        <w:bidi w:val="0"/>
        <w:spacing w:before="0" w:after="0"/>
        <w:ind w:hanging="283" w:start="709"/>
        <w:jc w:val="start"/>
        <w:rPr/>
      </w:pPr>
      <w:r>
        <w:rPr/>
        <w:t xml:space="preserve">Target and brand resolution </w:t>
      </w:r>
    </w:p>
    <w:p>
      <w:pPr>
        <w:pStyle w:val="BodyText"/>
        <w:numPr>
          <w:ilvl w:val="0"/>
          <w:numId w:val="1"/>
        </w:numPr>
        <w:tabs>
          <w:tab w:val="clear" w:pos="1134"/>
          <w:tab w:val="left" w:pos="709" w:leader="none"/>
        </w:tabs>
        <w:bidi w:val="0"/>
        <w:spacing w:before="0" w:after="0"/>
        <w:ind w:hanging="283" w:start="709"/>
        <w:jc w:val="start"/>
        <w:rPr/>
      </w:pPr>
      <w:r>
        <w:rPr/>
        <w:t xml:space="preserve">DNS and RDAP collection </w:t>
      </w:r>
    </w:p>
    <w:p>
      <w:pPr>
        <w:pStyle w:val="BodyText"/>
        <w:numPr>
          <w:ilvl w:val="0"/>
          <w:numId w:val="1"/>
        </w:numPr>
        <w:tabs>
          <w:tab w:val="clear" w:pos="1134"/>
          <w:tab w:val="left" w:pos="709" w:leader="none"/>
        </w:tabs>
        <w:bidi w:val="0"/>
        <w:spacing w:before="0" w:after="0"/>
        <w:ind w:hanging="283" w:start="709"/>
        <w:jc w:val="start"/>
        <w:rPr/>
      </w:pPr>
      <w:r>
        <w:rPr/>
        <w:t xml:space="preserve">Search-provider collection </w:t>
      </w:r>
    </w:p>
    <w:p>
      <w:pPr>
        <w:pStyle w:val="BodyText"/>
        <w:numPr>
          <w:ilvl w:val="0"/>
          <w:numId w:val="1"/>
        </w:numPr>
        <w:tabs>
          <w:tab w:val="clear" w:pos="1134"/>
          <w:tab w:val="left" w:pos="709" w:leader="none"/>
        </w:tabs>
        <w:bidi w:val="0"/>
        <w:spacing w:before="0" w:after="0"/>
        <w:ind w:hanging="283" w:start="709"/>
        <w:jc w:val="start"/>
        <w:rPr/>
      </w:pPr>
      <w:r>
        <w:rPr/>
        <w:t xml:space="preserve">Certificate Transparency and Wayback discovery </w:t>
      </w:r>
    </w:p>
    <w:p>
      <w:pPr>
        <w:pStyle w:val="BodyText"/>
        <w:numPr>
          <w:ilvl w:val="0"/>
          <w:numId w:val="1"/>
        </w:numPr>
        <w:tabs>
          <w:tab w:val="clear" w:pos="1134"/>
          <w:tab w:val="left" w:pos="709" w:leader="none"/>
        </w:tabs>
        <w:bidi w:val="0"/>
        <w:spacing w:before="0" w:after="0"/>
        <w:ind w:hanging="283" w:start="709"/>
        <w:jc w:val="start"/>
        <w:rPr/>
      </w:pPr>
      <w:r>
        <w:rPr/>
        <w:t xml:space="preserve">Public-page intelligence and evidence </w:t>
      </w:r>
    </w:p>
    <w:p>
      <w:pPr>
        <w:pStyle w:val="BodyText"/>
        <w:numPr>
          <w:ilvl w:val="0"/>
          <w:numId w:val="1"/>
        </w:numPr>
        <w:tabs>
          <w:tab w:val="clear" w:pos="1134"/>
          <w:tab w:val="left" w:pos="709" w:leader="none"/>
        </w:tabs>
        <w:bidi w:val="0"/>
        <w:ind w:hanging="283" w:start="709"/>
        <w:jc w:val="start"/>
        <w:rPr/>
      </w:pPr>
      <w:r>
        <w:rPr/>
        <w:t xml:space="preserve">OSINT risk assessment and reports </w:t>
      </w:r>
    </w:p>
    <w:p>
      <w:pPr>
        <w:pStyle w:val="BodyText"/>
        <w:bidi w:val="0"/>
        <w:jc w:val="start"/>
        <w:rPr/>
      </w:pPr>
      <w:r>
        <w:rPr/>
        <w:t>The existing OSINT orchestrator becomes internal business logic:</w:t>
      </w:r>
    </w:p>
    <w:p>
      <w:pPr>
        <w:pStyle w:val="PreformattedText"/>
        <w:bidi w:val="0"/>
        <w:jc w:val="start"/>
        <w:rPr/>
      </w:pPr>
      <w:r>
        <w:rPr/>
        <w:t>HTTP request</w:t>
      </w:r>
    </w:p>
    <w:p>
      <w:pPr>
        <w:pStyle w:val="PreformattedText"/>
        <w:bidi w:val="0"/>
        <w:jc w:val="start"/>
        <w:rPr/>
      </w:pPr>
      <w:r>
        <w:rPr/>
        <w:t xml:space="preserve">    </w:t>
      </w:r>
      <w:r>
        <w:rPr/>
        <w:t>|</w:t>
      </w:r>
    </w:p>
    <w:p>
      <w:pPr>
        <w:pStyle w:val="PreformattedText"/>
        <w:bidi w:val="0"/>
        <w:jc w:val="start"/>
        <w:rPr/>
      </w:pPr>
      <w:r>
        <w:rPr/>
        <w:t xml:space="preserve">    </w:t>
      </w:r>
      <w:r>
        <w:rPr/>
        <w:t>v</w:t>
      </w:r>
    </w:p>
    <w:p>
      <w:pPr>
        <w:pStyle w:val="PreformattedText"/>
        <w:bidi w:val="0"/>
        <w:jc w:val="start"/>
        <w:rPr/>
      </w:pPr>
      <w:r>
        <w:rPr/>
        <w:t>FastAPI OSINT endpoint</w:t>
      </w:r>
    </w:p>
    <w:p>
      <w:pPr>
        <w:pStyle w:val="PreformattedText"/>
        <w:bidi w:val="0"/>
        <w:jc w:val="start"/>
        <w:rPr/>
      </w:pPr>
      <w:r>
        <w:rPr/>
        <w:t xml:space="preserve">    </w:t>
      </w:r>
      <w:r>
        <w:rPr/>
        <w:t>|</w:t>
      </w:r>
    </w:p>
    <w:p>
      <w:pPr>
        <w:pStyle w:val="PreformattedText"/>
        <w:bidi w:val="0"/>
        <w:jc w:val="start"/>
        <w:rPr/>
      </w:pPr>
      <w:r>
        <w:rPr/>
        <w:t xml:space="preserve">    </w:t>
      </w:r>
      <w:r>
        <w:rPr/>
        <w:t>v</w:t>
      </w:r>
    </w:p>
    <w:p>
      <w:pPr>
        <w:pStyle w:val="PreformattedText"/>
        <w:bidi w:val="0"/>
        <w:jc w:val="start"/>
        <w:rPr/>
      </w:pPr>
      <w:r>
        <w:rPr/>
        <w:t>Durable job queue</w:t>
      </w:r>
    </w:p>
    <w:p>
      <w:pPr>
        <w:pStyle w:val="PreformattedText"/>
        <w:bidi w:val="0"/>
        <w:jc w:val="start"/>
        <w:rPr/>
      </w:pPr>
      <w:r>
        <w:rPr/>
        <w:t xml:space="preserve">    </w:t>
      </w:r>
      <w:r>
        <w:rPr/>
        <w:t>|</w:t>
      </w:r>
    </w:p>
    <w:p>
      <w:pPr>
        <w:pStyle w:val="PreformattedText"/>
        <w:bidi w:val="0"/>
        <w:jc w:val="start"/>
        <w:rPr/>
      </w:pPr>
      <w:r>
        <w:rPr/>
        <w:t xml:space="preserve">    </w:t>
      </w:r>
      <w:r>
        <w:rPr/>
        <w:t>v</w:t>
      </w:r>
    </w:p>
    <w:p>
      <w:pPr>
        <w:pStyle w:val="PreformattedText"/>
        <w:bidi w:val="0"/>
        <w:jc w:val="start"/>
        <w:rPr/>
      </w:pPr>
      <w:r>
        <w:rPr/>
        <w:t>OSINT worker</w:t>
      </w:r>
    </w:p>
    <w:p>
      <w:pPr>
        <w:pStyle w:val="PreformattedText"/>
        <w:bidi w:val="0"/>
        <w:jc w:val="start"/>
        <w:rPr/>
      </w:pPr>
      <w:r>
        <w:rPr/>
        <w:t xml:space="preserve">    </w:t>
      </w:r>
      <w:r>
        <w:rPr/>
        <w:t>|</w:t>
      </w:r>
    </w:p>
    <w:p>
      <w:pPr>
        <w:pStyle w:val="PreformattedText"/>
        <w:bidi w:val="0"/>
        <w:jc w:val="start"/>
        <w:rPr/>
      </w:pPr>
      <w:r>
        <w:rPr/>
        <w:t xml:space="preserve">    </w:t>
      </w:r>
      <w:r>
        <w:rPr/>
        <w:t>v</w:t>
      </w:r>
    </w:p>
    <w:p>
      <w:pPr>
        <w:pStyle w:val="PreformattedText"/>
        <w:bidi w:val="0"/>
        <w:jc w:val="start"/>
        <w:rPr/>
      </w:pPr>
      <w:r>
        <w:rPr/>
        <w:t>IntelligenceOrchestrator</w:t>
      </w:r>
    </w:p>
    <w:p>
      <w:pPr>
        <w:pStyle w:val="PreformattedText"/>
        <w:bidi w:val="0"/>
        <w:jc w:val="start"/>
        <w:rPr/>
      </w:pPr>
      <w:r>
        <w:rPr/>
        <w:t xml:space="preserve">    </w:t>
      </w:r>
      <w:r>
        <w:rPr/>
        <w:t>|</w:t>
      </w:r>
    </w:p>
    <w:p>
      <w:pPr>
        <w:pStyle w:val="PreformattedText"/>
        <w:bidi w:val="0"/>
        <w:jc w:val="start"/>
        <w:rPr/>
      </w:pPr>
      <w:r>
        <w:rPr/>
        <w:t xml:space="preserve">    </w:t>
      </w:r>
      <w:r>
        <w:rPr/>
        <w:t>v</w:t>
      </w:r>
    </w:p>
    <w:p>
      <w:pPr>
        <w:pStyle w:val="PreformattedText"/>
        <w:bidi w:val="0"/>
        <w:spacing w:before="0" w:after="283"/>
        <w:jc w:val="start"/>
        <w:rPr/>
      </w:pPr>
      <w:r>
        <w:rPr/>
        <w:t>OSINT database and evidence</w:t>
      </w:r>
    </w:p>
    <w:p>
      <w:pPr>
        <w:pStyle w:val="Heading2"/>
        <w:bidi w:val="0"/>
        <w:jc w:val="start"/>
        <w:rPr/>
      </w:pPr>
      <w:r>
        <w:rPr/>
        <w:t>4. Dynamic Web Investigation Microservice</w:t>
      </w:r>
    </w:p>
    <w:p>
      <w:pPr>
        <w:pStyle w:val="BodyText"/>
        <w:bidi w:val="0"/>
        <w:jc w:val="start"/>
        <w:rPr/>
      </w:pPr>
      <w:r>
        <w:rPr/>
        <w:t>The Dynamic service would own:</w:t>
      </w:r>
    </w:p>
    <w:p>
      <w:pPr>
        <w:pStyle w:val="BodyText"/>
        <w:numPr>
          <w:ilvl w:val="0"/>
          <w:numId w:val="2"/>
        </w:numPr>
        <w:tabs>
          <w:tab w:val="clear" w:pos="1134"/>
          <w:tab w:val="left" w:pos="709" w:leader="none"/>
        </w:tabs>
        <w:bidi w:val="0"/>
        <w:spacing w:before="0" w:after="0"/>
        <w:ind w:hanging="283" w:start="709"/>
        <w:jc w:val="start"/>
        <w:rPr/>
      </w:pPr>
      <w:r>
        <w:rPr/>
        <w:t xml:space="preserve">Playwright browser sessions </w:t>
      </w:r>
    </w:p>
    <w:p>
      <w:pPr>
        <w:pStyle w:val="BodyText"/>
        <w:numPr>
          <w:ilvl w:val="0"/>
          <w:numId w:val="2"/>
        </w:numPr>
        <w:tabs>
          <w:tab w:val="clear" w:pos="1134"/>
          <w:tab w:val="left" w:pos="709" w:leader="none"/>
        </w:tabs>
        <w:bidi w:val="0"/>
        <w:spacing w:before="0" w:after="0"/>
        <w:ind w:hanging="283" w:start="709"/>
        <w:jc w:val="start"/>
        <w:rPr/>
      </w:pPr>
      <w:r>
        <w:rPr/>
        <w:t xml:space="preserve">Website navigation and authentication workflows </w:t>
      </w:r>
    </w:p>
    <w:p>
      <w:pPr>
        <w:pStyle w:val="BodyText"/>
        <w:numPr>
          <w:ilvl w:val="0"/>
          <w:numId w:val="2"/>
        </w:numPr>
        <w:tabs>
          <w:tab w:val="clear" w:pos="1134"/>
          <w:tab w:val="left" w:pos="709" w:leader="none"/>
        </w:tabs>
        <w:bidi w:val="0"/>
        <w:spacing w:before="0" w:after="0"/>
        <w:ind w:hanging="283" w:start="709"/>
        <w:jc w:val="start"/>
        <w:rPr/>
      </w:pPr>
      <w:r>
        <w:rPr/>
        <w:t xml:space="preserve">Page crawling </w:t>
      </w:r>
    </w:p>
    <w:p>
      <w:pPr>
        <w:pStyle w:val="BodyText"/>
        <w:numPr>
          <w:ilvl w:val="0"/>
          <w:numId w:val="2"/>
        </w:numPr>
        <w:tabs>
          <w:tab w:val="clear" w:pos="1134"/>
          <w:tab w:val="left" w:pos="709" w:leader="none"/>
        </w:tabs>
        <w:bidi w:val="0"/>
        <w:spacing w:before="0" w:after="0"/>
        <w:ind w:hanging="283" w:start="709"/>
        <w:jc w:val="start"/>
        <w:rPr/>
      </w:pPr>
      <w:r>
        <w:rPr/>
        <w:t xml:space="preserve">Keyword and payment detection </w:t>
      </w:r>
    </w:p>
    <w:p>
      <w:pPr>
        <w:pStyle w:val="BodyText"/>
        <w:numPr>
          <w:ilvl w:val="0"/>
          <w:numId w:val="2"/>
        </w:numPr>
        <w:tabs>
          <w:tab w:val="clear" w:pos="1134"/>
          <w:tab w:val="left" w:pos="709" w:leader="none"/>
        </w:tabs>
        <w:bidi w:val="0"/>
        <w:spacing w:before="0" w:after="0"/>
        <w:ind w:hanging="283" w:start="709"/>
        <w:jc w:val="start"/>
        <w:rPr/>
      </w:pPr>
      <w:r>
        <w:rPr/>
        <w:t xml:space="preserve">Screenshots and image annotation </w:t>
      </w:r>
    </w:p>
    <w:p>
      <w:pPr>
        <w:pStyle w:val="BodyText"/>
        <w:numPr>
          <w:ilvl w:val="0"/>
          <w:numId w:val="2"/>
        </w:numPr>
        <w:tabs>
          <w:tab w:val="clear" w:pos="1134"/>
          <w:tab w:val="left" w:pos="709" w:leader="none"/>
        </w:tabs>
        <w:bidi w:val="0"/>
        <w:ind w:hanging="283" w:start="709"/>
        <w:jc w:val="start"/>
        <w:rPr/>
      </w:pPr>
      <w:r>
        <w:rPr/>
        <w:t xml:space="preserve">Dynamic investigation results </w:t>
      </w:r>
    </w:p>
    <w:p>
      <w:pPr>
        <w:pStyle w:val="PreformattedText"/>
        <w:bidi w:val="0"/>
        <w:jc w:val="start"/>
        <w:rPr/>
      </w:pPr>
      <w:r>
        <w:rPr/>
        <w:t>HTTP request</w:t>
      </w:r>
    </w:p>
    <w:p>
      <w:pPr>
        <w:pStyle w:val="PreformattedText"/>
        <w:bidi w:val="0"/>
        <w:jc w:val="start"/>
        <w:rPr/>
      </w:pPr>
      <w:r>
        <w:rPr/>
        <w:t xml:space="preserve">    </w:t>
      </w:r>
      <w:r>
        <w:rPr/>
        <w:t>|</w:t>
      </w:r>
    </w:p>
    <w:p>
      <w:pPr>
        <w:pStyle w:val="PreformattedText"/>
        <w:bidi w:val="0"/>
        <w:jc w:val="start"/>
        <w:rPr/>
      </w:pPr>
      <w:r>
        <w:rPr/>
        <w:t xml:space="preserve">    </w:t>
      </w:r>
      <w:r>
        <w:rPr/>
        <w:t>v</w:t>
      </w:r>
    </w:p>
    <w:p>
      <w:pPr>
        <w:pStyle w:val="PreformattedText"/>
        <w:bidi w:val="0"/>
        <w:jc w:val="start"/>
        <w:rPr/>
      </w:pPr>
      <w:r>
        <w:rPr/>
        <w:t>FastAPI Dynamic endpoint</w:t>
      </w:r>
    </w:p>
    <w:p>
      <w:pPr>
        <w:pStyle w:val="PreformattedText"/>
        <w:bidi w:val="0"/>
        <w:jc w:val="start"/>
        <w:rPr/>
      </w:pPr>
      <w:r>
        <w:rPr/>
        <w:t xml:space="preserve">    </w:t>
      </w:r>
      <w:r>
        <w:rPr/>
        <w:t>|</w:t>
      </w:r>
    </w:p>
    <w:p>
      <w:pPr>
        <w:pStyle w:val="PreformattedText"/>
        <w:bidi w:val="0"/>
        <w:jc w:val="start"/>
        <w:rPr/>
      </w:pPr>
      <w:r>
        <w:rPr/>
        <w:t xml:space="preserve">    </w:t>
      </w:r>
      <w:r>
        <w:rPr/>
        <w:t>v</w:t>
      </w:r>
    </w:p>
    <w:p>
      <w:pPr>
        <w:pStyle w:val="PreformattedText"/>
        <w:bidi w:val="0"/>
        <w:jc w:val="start"/>
        <w:rPr/>
      </w:pPr>
      <w:r>
        <w:rPr/>
        <w:t>Durable job queue</w:t>
      </w:r>
    </w:p>
    <w:p>
      <w:pPr>
        <w:pStyle w:val="PreformattedText"/>
        <w:bidi w:val="0"/>
        <w:jc w:val="start"/>
        <w:rPr/>
      </w:pPr>
      <w:r>
        <w:rPr/>
        <w:t xml:space="preserve">    </w:t>
      </w:r>
      <w:r>
        <w:rPr/>
        <w:t>|</w:t>
      </w:r>
    </w:p>
    <w:p>
      <w:pPr>
        <w:pStyle w:val="PreformattedText"/>
        <w:bidi w:val="0"/>
        <w:jc w:val="start"/>
        <w:rPr/>
      </w:pPr>
      <w:r>
        <w:rPr/>
        <w:t xml:space="preserve">    </w:t>
      </w:r>
      <w:r>
        <w:rPr/>
        <w:t>v</w:t>
      </w:r>
    </w:p>
    <w:p>
      <w:pPr>
        <w:pStyle w:val="PreformattedText"/>
        <w:bidi w:val="0"/>
        <w:jc w:val="start"/>
        <w:rPr/>
      </w:pPr>
      <w:r>
        <w:rPr/>
        <w:t>Isolated browser worker</w:t>
      </w:r>
    </w:p>
    <w:p>
      <w:pPr>
        <w:pStyle w:val="PreformattedText"/>
        <w:bidi w:val="0"/>
        <w:jc w:val="start"/>
        <w:rPr/>
      </w:pPr>
      <w:r>
        <w:rPr/>
        <w:t xml:space="preserve">    </w:t>
      </w:r>
      <w:r>
        <w:rPr/>
        <w:t>|</w:t>
      </w:r>
    </w:p>
    <w:p>
      <w:pPr>
        <w:pStyle w:val="PreformattedText"/>
        <w:bidi w:val="0"/>
        <w:jc w:val="start"/>
        <w:rPr/>
      </w:pPr>
      <w:r>
        <w:rPr/>
        <w:t xml:space="preserve">    </w:t>
      </w:r>
      <w:r>
        <w:rPr/>
        <w:t>v</w:t>
      </w:r>
    </w:p>
    <w:p>
      <w:pPr>
        <w:pStyle w:val="PreformattedText"/>
        <w:bidi w:val="0"/>
        <w:jc w:val="start"/>
        <w:rPr/>
      </w:pPr>
      <w:r>
        <w:rPr/>
        <w:t>Playwright investigation engine</w:t>
      </w:r>
    </w:p>
    <w:p>
      <w:pPr>
        <w:pStyle w:val="PreformattedText"/>
        <w:bidi w:val="0"/>
        <w:jc w:val="start"/>
        <w:rPr/>
      </w:pPr>
      <w:r>
        <w:rPr/>
        <w:t xml:space="preserve">    </w:t>
      </w:r>
      <w:r>
        <w:rPr/>
        <w:t>|</w:t>
      </w:r>
    </w:p>
    <w:p>
      <w:pPr>
        <w:pStyle w:val="PreformattedText"/>
        <w:bidi w:val="0"/>
        <w:jc w:val="start"/>
        <w:rPr/>
      </w:pPr>
      <w:r>
        <w:rPr/>
        <w:t xml:space="preserve">    </w:t>
      </w:r>
      <w:r>
        <w:rPr/>
        <w:t>v</w:t>
      </w:r>
    </w:p>
    <w:p>
      <w:pPr>
        <w:pStyle w:val="PreformattedText"/>
        <w:bidi w:val="0"/>
        <w:spacing w:before="0" w:after="283"/>
        <w:jc w:val="start"/>
        <w:rPr/>
      </w:pPr>
      <w:r>
        <w:rPr/>
        <w:t>Dynamic database and screenshots</w:t>
      </w:r>
    </w:p>
    <w:p>
      <w:pPr>
        <w:pStyle w:val="Heading2"/>
        <w:bidi w:val="0"/>
        <w:jc w:val="start"/>
        <w:rPr/>
      </w:pPr>
      <w:r>
        <w:rPr/>
        <w:t>5. What Makes Them Real Microservices?</w:t>
      </w:r>
    </w:p>
    <w:p>
      <w:pPr>
        <w:pStyle w:val="BodyText"/>
        <w:bidi w:val="0"/>
        <w:jc w:val="start"/>
        <w:rPr/>
      </w:pPr>
      <w:r>
        <w:rPr/>
        <w:t>The components become microservices when each one has:</w:t>
      </w:r>
    </w:p>
    <w:p>
      <w:pPr>
        <w:pStyle w:val="BodyText"/>
        <w:numPr>
          <w:ilvl w:val="0"/>
          <w:numId w:val="3"/>
        </w:numPr>
        <w:tabs>
          <w:tab w:val="clear" w:pos="1134"/>
          <w:tab w:val="left" w:pos="709" w:leader="none"/>
        </w:tabs>
        <w:bidi w:val="0"/>
        <w:spacing w:before="0" w:after="0"/>
        <w:ind w:hanging="283" w:start="709"/>
        <w:jc w:val="start"/>
        <w:rPr/>
      </w:pPr>
      <w:r>
        <w:rPr/>
        <w:t xml:space="preserve">A stable and versioned API contract </w:t>
      </w:r>
    </w:p>
    <w:p>
      <w:pPr>
        <w:pStyle w:val="BodyText"/>
        <w:numPr>
          <w:ilvl w:val="0"/>
          <w:numId w:val="3"/>
        </w:numPr>
        <w:tabs>
          <w:tab w:val="clear" w:pos="1134"/>
          <w:tab w:val="left" w:pos="709" w:leader="none"/>
        </w:tabs>
        <w:bidi w:val="0"/>
        <w:spacing w:before="0" w:after="0"/>
        <w:ind w:hanging="283" w:start="709"/>
        <w:jc w:val="start"/>
        <w:rPr/>
      </w:pPr>
      <w:r>
        <w:rPr/>
        <w:t xml:space="preserve">Its own running process </w:t>
      </w:r>
    </w:p>
    <w:p>
      <w:pPr>
        <w:pStyle w:val="BodyText"/>
        <w:numPr>
          <w:ilvl w:val="0"/>
          <w:numId w:val="3"/>
        </w:numPr>
        <w:tabs>
          <w:tab w:val="clear" w:pos="1134"/>
          <w:tab w:val="left" w:pos="709" w:leader="none"/>
        </w:tabs>
        <w:bidi w:val="0"/>
        <w:spacing w:before="0" w:after="0"/>
        <w:ind w:hanging="283" w:start="709"/>
        <w:jc w:val="start"/>
        <w:rPr/>
      </w:pPr>
      <w:r>
        <w:rPr/>
        <w:t xml:space="preserve">Independent deployment and scaling </w:t>
      </w:r>
    </w:p>
    <w:p>
      <w:pPr>
        <w:pStyle w:val="BodyText"/>
        <w:numPr>
          <w:ilvl w:val="0"/>
          <w:numId w:val="3"/>
        </w:numPr>
        <w:tabs>
          <w:tab w:val="clear" w:pos="1134"/>
          <w:tab w:val="left" w:pos="709" w:leader="none"/>
        </w:tabs>
        <w:bidi w:val="0"/>
        <w:spacing w:before="0" w:after="0"/>
        <w:ind w:hanging="283" w:start="709"/>
        <w:jc w:val="start"/>
        <w:rPr/>
      </w:pPr>
      <w:r>
        <w:rPr/>
        <w:t xml:space="preserve">A clear, focused responsibility </w:t>
      </w:r>
    </w:p>
    <w:p>
      <w:pPr>
        <w:pStyle w:val="BodyText"/>
        <w:numPr>
          <w:ilvl w:val="0"/>
          <w:numId w:val="3"/>
        </w:numPr>
        <w:tabs>
          <w:tab w:val="clear" w:pos="1134"/>
          <w:tab w:val="left" w:pos="709" w:leader="none"/>
        </w:tabs>
        <w:bidi w:val="0"/>
        <w:spacing w:before="0" w:after="0"/>
        <w:ind w:hanging="283" w:start="709"/>
        <w:jc w:val="start"/>
        <w:rPr/>
      </w:pPr>
      <w:r>
        <w:rPr/>
        <w:t xml:space="preserve">Ownership of its own data </w:t>
      </w:r>
    </w:p>
    <w:p>
      <w:pPr>
        <w:pStyle w:val="BodyText"/>
        <w:numPr>
          <w:ilvl w:val="0"/>
          <w:numId w:val="3"/>
        </w:numPr>
        <w:tabs>
          <w:tab w:val="clear" w:pos="1134"/>
          <w:tab w:val="left" w:pos="709" w:leader="none"/>
        </w:tabs>
        <w:bidi w:val="0"/>
        <w:spacing w:before="0" w:after="0"/>
        <w:ind w:hanging="283" w:start="709"/>
        <w:jc w:val="start"/>
        <w:rPr/>
      </w:pPr>
      <w:r>
        <w:rPr/>
        <w:t xml:space="preserve">Failure isolation </w:t>
      </w:r>
    </w:p>
    <w:p>
      <w:pPr>
        <w:pStyle w:val="BodyText"/>
        <w:numPr>
          <w:ilvl w:val="0"/>
          <w:numId w:val="3"/>
        </w:numPr>
        <w:tabs>
          <w:tab w:val="clear" w:pos="1134"/>
          <w:tab w:val="left" w:pos="709" w:leader="none"/>
        </w:tabs>
        <w:bidi w:val="0"/>
        <w:ind w:hanging="283" w:start="709"/>
        <w:jc w:val="start"/>
        <w:rPr/>
      </w:pPr>
      <w:r>
        <w:rPr/>
        <w:t xml:space="preserve">No direct Python imports across service boundaries </w:t>
      </w:r>
    </w:p>
    <w:p>
      <w:pPr>
        <w:pStyle w:val="BodyText"/>
        <w:bidi w:val="0"/>
        <w:jc w:val="start"/>
        <w:rPr/>
      </w:pPr>
      <w:r>
        <w:rPr/>
        <w:t>If both route groups are placed in one FastAPI process and deployed together, that is a structured API or modular monolith—not necessarily two microservices.</w:t>
      </w:r>
    </w:p>
    <w:p>
      <w:pPr>
        <w:pStyle w:val="Heading2"/>
        <w:bidi w:val="0"/>
        <w:jc w:val="start"/>
        <w:rPr/>
      </w:pPr>
      <w:r>
        <w:rPr/>
        <w:t>6. How Microservices Help This Project</w:t>
      </w:r>
    </w:p>
    <w:p>
      <w:pPr>
        <w:pStyle w:val="Heading3"/>
        <w:bidi w:val="0"/>
        <w:jc w:val="start"/>
        <w:rPr/>
      </w:pPr>
      <w:r>
        <w:rPr/>
        <w:t>6.1 Independent scaling</w:t>
      </w:r>
    </w:p>
    <w:p>
      <w:pPr>
        <w:pStyle w:val="BodyText"/>
        <w:bidi w:val="0"/>
        <w:jc w:val="start"/>
        <w:rPr/>
      </w:pPr>
      <w:r>
        <w:rPr/>
        <w:t>OSINT work is primarily network-bound, while Chromium browser investigations consume substantially more memory and CPU. The system could run two OSINT workers and eight browser workers without duplicating the whole UI.</w:t>
      </w:r>
    </w:p>
    <w:p>
      <w:pPr>
        <w:pStyle w:val="Heading3"/>
        <w:bidi w:val="0"/>
        <w:jc w:val="start"/>
        <w:rPr/>
      </w:pPr>
      <w:r>
        <w:rPr/>
        <w:t>6.2 Browser security isolation</w:t>
      </w:r>
    </w:p>
    <w:p>
      <w:pPr>
        <w:pStyle w:val="BodyText"/>
        <w:bidi w:val="0"/>
        <w:jc w:val="start"/>
        <w:rPr/>
      </w:pPr>
      <w:r>
        <w:rPr/>
        <w:t>The Dynamic component opens untrusted websites and executes their JavaScript. Separate containers allow dedicated CPU and memory limits, restricted networking, non-root execution, temporary filesystems, and short-lived browser sessions.</w:t>
      </w:r>
    </w:p>
    <w:p>
      <w:pPr>
        <w:pStyle w:val="Heading3"/>
        <w:bidi w:val="0"/>
        <w:jc w:val="start"/>
        <w:rPr/>
      </w:pPr>
      <w:r>
        <w:rPr/>
        <w:t>6.3 Failure isolation</w:t>
      </w:r>
    </w:p>
    <w:p>
      <w:pPr>
        <w:pStyle w:val="BodyText"/>
        <w:bidi w:val="0"/>
        <w:jc w:val="start"/>
        <w:rPr/>
      </w:pPr>
      <w:r>
        <w:rPr/>
        <w:t>If Chromium crashes, the Dynamic service may be temporarily affected while the OSINT service and UI remain available.</w:t>
      </w:r>
    </w:p>
    <w:p>
      <w:pPr>
        <w:pStyle w:val="Heading3"/>
        <w:bidi w:val="0"/>
        <w:jc w:val="start"/>
        <w:rPr/>
      </w:pPr>
      <w:r>
        <w:rPr/>
        <w:t>6.4 Independent deployment</w:t>
      </w:r>
    </w:p>
    <w:p>
      <w:pPr>
        <w:pStyle w:val="BodyText"/>
        <w:bidi w:val="0"/>
        <w:jc w:val="start"/>
        <w:rPr/>
      </w:pPr>
      <w:r>
        <w:rPr/>
        <w:t>OSINT collectors can be updated without redeploying browser workers, and Playwright can be upgraded independently of the OSINT service.</w:t>
      </w:r>
    </w:p>
    <w:p>
      <w:pPr>
        <w:pStyle w:val="Heading3"/>
        <w:bidi w:val="0"/>
        <w:jc w:val="start"/>
        <w:rPr/>
      </w:pPr>
      <w:r>
        <w:rPr/>
        <w:t>6.5 One UI for all capabilities</w:t>
      </w:r>
    </w:p>
    <w:p>
      <w:pPr>
        <w:pStyle w:val="BodyText"/>
        <w:bidi w:val="0"/>
        <w:jc w:val="start"/>
        <w:rPr/>
      </w:pPr>
      <w:r>
        <w:rPr/>
        <w:t>The analyst still sees one product with New Investigation, OSINT Results, Dynamic Analysis, Evidence, and Final Report. The microservice split remains an internal implementation detail.</w:t>
      </w:r>
    </w:p>
    <w:p>
      <w:pPr>
        <w:pStyle w:val="Heading3"/>
        <w:bidi w:val="0"/>
        <w:jc w:val="start"/>
        <w:rPr/>
      </w:pPr>
      <w:r>
        <w:rPr/>
        <w:t>6.6 Reusable APIs</w:t>
      </w:r>
    </w:p>
    <w:p>
      <w:pPr>
        <w:pStyle w:val="BodyText"/>
        <w:bidi w:val="0"/>
        <w:jc w:val="start"/>
        <w:rPr/>
      </w:pPr>
      <w:r>
        <w:rPr/>
        <w:t>Streamlit, a case-management system, or a command-line client could use the same authorized OSINT and Dynamic APIs.</w:t>
      </w:r>
    </w:p>
    <w:p>
      <w:pPr>
        <w:pStyle w:val="Heading3"/>
        <w:bidi w:val="0"/>
        <w:jc w:val="start"/>
        <w:rPr/>
      </w:pPr>
      <w:r>
        <w:rPr/>
        <w:t>6.7 Separate ownership and maintenance</w:t>
      </w:r>
    </w:p>
    <w:tbl>
      <w:tblPr>
        <w:tblW w:w="3047" w:type="dxa"/>
        <w:jc w:val="start"/>
        <w:tblInd w:w="0" w:type="dxa"/>
        <w:tblLayout w:type="fixed"/>
        <w:tblCellMar>
          <w:top w:w="28" w:type="dxa"/>
          <w:start w:w="28" w:type="dxa"/>
          <w:bottom w:w="28" w:type="dxa"/>
          <w:end w:w="28" w:type="dxa"/>
        </w:tblCellMar>
      </w:tblPr>
      <w:tblGrid>
        <w:gridCol w:w="1366"/>
        <w:gridCol w:w="1681"/>
      </w:tblGrid>
      <w:tr>
        <w:trPr/>
        <w:tc>
          <w:tcPr>
            <w:tcW w:w="1366" w:type="dxa"/>
            <w:tcBorders/>
            <w:vAlign w:val="center"/>
          </w:tcPr>
          <w:p>
            <w:pPr>
              <w:pStyle w:val="TableHeading"/>
              <w:suppressLineNumbers/>
              <w:shd w:fill="1F4E78" w:val="clear"/>
              <w:bidi w:val="0"/>
              <w:spacing w:before="0" w:after="283"/>
              <w:jc w:val="start"/>
              <w:rPr/>
            </w:pPr>
            <w:r>
              <w:rPr/>
              <w:t>Area</w:t>
            </w:r>
          </w:p>
        </w:tc>
        <w:tc>
          <w:tcPr>
            <w:tcW w:w="1681" w:type="dxa"/>
            <w:tcBorders/>
            <w:vAlign w:val="center"/>
          </w:tcPr>
          <w:p>
            <w:pPr>
              <w:pStyle w:val="TableHeading"/>
              <w:suppressLineNumbers/>
              <w:shd w:fill="1F4E78" w:val="clear"/>
              <w:bidi w:val="0"/>
              <w:spacing w:before="0" w:after="283"/>
              <w:jc w:val="start"/>
              <w:rPr/>
            </w:pPr>
            <w:r>
              <w:rPr/>
              <w:t>Responsibility</w:t>
            </w:r>
          </w:p>
        </w:tc>
      </w:tr>
      <w:tr>
        <w:trPr/>
        <w:tc>
          <w:tcPr>
            <w:tcW w:w="1366" w:type="dxa"/>
            <w:tcBorders/>
            <w:vAlign w:val="center"/>
          </w:tcPr>
          <w:p>
            <w:pPr>
              <w:pStyle w:val="TableContents"/>
              <w:bidi w:val="0"/>
              <w:spacing w:before="0" w:after="283"/>
              <w:jc w:val="start"/>
              <w:rPr/>
            </w:pPr>
            <w:r>
              <w:rPr/>
              <w:t>OSINT</w:t>
            </w:r>
          </w:p>
        </w:tc>
        <w:tc>
          <w:tcPr>
            <w:tcW w:w="1681" w:type="dxa"/>
            <w:tcBorders/>
            <w:vAlign w:val="center"/>
          </w:tcPr>
          <w:p>
            <w:pPr>
              <w:pStyle w:val="TableContents"/>
              <w:bidi w:val="0"/>
              <w:spacing w:before="0" w:after="283"/>
              <w:jc w:val="start"/>
              <w:rPr/>
            </w:pPr>
            <w:r>
              <w:rPr/>
              <w:t>Collectors, search, resolution, domain intelligence</w:t>
            </w:r>
          </w:p>
        </w:tc>
      </w:tr>
      <w:tr>
        <w:trPr/>
        <w:tc>
          <w:tcPr>
            <w:tcW w:w="1366" w:type="dxa"/>
            <w:tcBorders/>
            <w:vAlign w:val="center"/>
          </w:tcPr>
          <w:p>
            <w:pPr>
              <w:pStyle w:val="TableContents"/>
              <w:bidi w:val="0"/>
              <w:spacing w:before="0" w:after="283"/>
              <w:jc w:val="start"/>
              <w:rPr/>
            </w:pPr>
            <w:r>
              <w:rPr/>
              <w:t>Dynamic investigation</w:t>
            </w:r>
          </w:p>
        </w:tc>
        <w:tc>
          <w:tcPr>
            <w:tcW w:w="1681" w:type="dxa"/>
            <w:tcBorders/>
            <w:vAlign w:val="center"/>
          </w:tcPr>
          <w:p>
            <w:pPr>
              <w:pStyle w:val="TableContents"/>
              <w:bidi w:val="0"/>
              <w:spacing w:before="0" w:after="283"/>
              <w:jc w:val="start"/>
              <w:rPr/>
            </w:pPr>
            <w:r>
              <w:rPr/>
              <w:t>Playwright, navigation, payment detection, screenshots</w:t>
            </w:r>
          </w:p>
        </w:tc>
      </w:tr>
      <w:tr>
        <w:trPr/>
        <w:tc>
          <w:tcPr>
            <w:tcW w:w="1366" w:type="dxa"/>
            <w:tcBorders/>
            <w:vAlign w:val="center"/>
          </w:tcPr>
          <w:p>
            <w:pPr>
              <w:pStyle w:val="TableContents"/>
              <w:bidi w:val="0"/>
              <w:spacing w:before="0" w:after="283"/>
              <w:jc w:val="start"/>
              <w:rPr/>
            </w:pPr>
            <w:r>
              <w:rPr/>
              <w:t>Platform</w:t>
            </w:r>
          </w:p>
        </w:tc>
        <w:tc>
          <w:tcPr>
            <w:tcW w:w="1681" w:type="dxa"/>
            <w:tcBorders/>
            <w:vAlign w:val="center"/>
          </w:tcPr>
          <w:p>
            <w:pPr>
              <w:pStyle w:val="TableContents"/>
              <w:bidi w:val="0"/>
              <w:spacing w:before="0" w:after="283"/>
              <w:jc w:val="start"/>
              <w:rPr/>
            </w:pPr>
            <w:r>
              <w:rPr/>
              <w:t>Pipeline, authentication, deployment, monitoring</w:t>
            </w:r>
          </w:p>
        </w:tc>
      </w:tr>
    </w:tbl>
    <w:p>
      <w:pPr>
        <w:pStyle w:val="Heading2"/>
        <w:bidi w:val="0"/>
        <w:jc w:val="start"/>
        <w:rPr/>
      </w:pPr>
      <w:r>
        <w:rPr/>
        <w:t>7. Example Complete Investigation</w:t>
      </w:r>
    </w:p>
    <w:p>
      <w:pPr>
        <w:pStyle w:val="PreformattedText"/>
        <w:bidi w:val="0"/>
        <w:jc w:val="start"/>
        <w:rPr/>
      </w:pPr>
      <w:r>
        <w:rPr/>
        <w:t>Input: ExampleBet</w:t>
      </w:r>
    </w:p>
    <w:p>
      <w:pPr>
        <w:pStyle w:val="PreformattedText"/>
        <w:bidi w:val="0"/>
        <w:jc w:val="start"/>
        <w:rPr/>
      </w:pPr>
      <w:r>
        <w:rPr/>
      </w:r>
    </w:p>
    <w:p>
      <w:pPr>
        <w:pStyle w:val="PreformattedText"/>
        <w:bidi w:val="0"/>
        <w:jc w:val="start"/>
        <w:rPr/>
      </w:pPr>
      <w:r>
        <w:rPr/>
        <w:t>1. UI creates CASE_123</w:t>
      </w:r>
    </w:p>
    <w:p>
      <w:pPr>
        <w:pStyle w:val="PreformattedText"/>
        <w:bidi w:val="0"/>
        <w:jc w:val="start"/>
        <w:rPr/>
      </w:pPr>
      <w:r>
        <w:rPr/>
        <w:t xml:space="preserve">          </w:t>
      </w:r>
      <w:r>
        <w:rPr/>
        <w:t>|</w:t>
      </w:r>
    </w:p>
    <w:p>
      <w:pPr>
        <w:pStyle w:val="PreformattedText"/>
        <w:bidi w:val="0"/>
        <w:jc w:val="start"/>
        <w:rPr/>
      </w:pPr>
      <w:r>
        <w:rPr/>
        <w:t>2. OSINT service resolves the target</w:t>
      </w:r>
    </w:p>
    <w:p>
      <w:pPr>
        <w:pStyle w:val="PreformattedText"/>
        <w:bidi w:val="0"/>
        <w:jc w:val="start"/>
        <w:rPr/>
      </w:pPr>
      <w:r>
        <w:rPr/>
        <w:t xml:space="preserve">          </w:t>
      </w:r>
      <w:r>
        <w:rPr/>
        <w:t>|</w:t>
      </w:r>
    </w:p>
    <w:p>
      <w:pPr>
        <w:pStyle w:val="PreformattedText"/>
        <w:bidi w:val="0"/>
        <w:jc w:val="start"/>
        <w:rPr/>
      </w:pPr>
      <w:r>
        <w:rPr/>
        <w:t xml:space="preserve">          </w:t>
      </w:r>
      <w:r>
        <w:rPr/>
        <w:t>|-- examplebet.com</w:t>
      </w:r>
    </w:p>
    <w:p>
      <w:pPr>
        <w:pStyle w:val="PreformattedText"/>
        <w:bidi w:val="0"/>
        <w:jc w:val="start"/>
        <w:rPr/>
      </w:pPr>
      <w:r>
        <w:rPr/>
        <w:t xml:space="preserve">          </w:t>
      </w:r>
      <w:r>
        <w:rPr/>
        <w:t>|-- payments.examplebet.com</w:t>
      </w:r>
    </w:p>
    <w:p>
      <w:pPr>
        <w:pStyle w:val="PreformattedText"/>
        <w:bidi w:val="0"/>
        <w:jc w:val="start"/>
        <w:rPr/>
      </w:pPr>
      <w:r>
        <w:rPr/>
        <w:t xml:space="preserve">          </w:t>
      </w:r>
      <w:r>
        <w:rPr/>
        <w:t>`-- examplebet-old.com</w:t>
      </w:r>
    </w:p>
    <w:p>
      <w:pPr>
        <w:pStyle w:val="PreformattedText"/>
        <w:bidi w:val="0"/>
        <w:jc w:val="start"/>
        <w:rPr/>
      </w:pPr>
      <w:r>
        <w:rPr/>
        <w:t xml:space="preserve">          </w:t>
      </w:r>
      <w:r>
        <w:rPr/>
        <w:t>|</w:t>
      </w:r>
    </w:p>
    <w:p>
      <w:pPr>
        <w:pStyle w:val="PreformattedText"/>
        <w:bidi w:val="0"/>
        <w:jc w:val="start"/>
        <w:rPr/>
      </w:pPr>
      <w:r>
        <w:rPr/>
        <w:t>3. Analyst approves domains for dynamic analysis</w:t>
      </w:r>
    </w:p>
    <w:p>
      <w:pPr>
        <w:pStyle w:val="PreformattedText"/>
        <w:bidi w:val="0"/>
        <w:jc w:val="start"/>
        <w:rPr/>
      </w:pPr>
      <w:r>
        <w:rPr/>
        <w:t xml:space="preserve">          </w:t>
      </w:r>
      <w:r>
        <w:rPr/>
        <w:t>|</w:t>
      </w:r>
    </w:p>
    <w:p>
      <w:pPr>
        <w:pStyle w:val="PreformattedText"/>
        <w:bidi w:val="0"/>
        <w:jc w:val="start"/>
        <w:rPr/>
      </w:pPr>
      <w:r>
        <w:rPr/>
        <w:t>4. Dynamic service investigates approved URLs</w:t>
      </w:r>
    </w:p>
    <w:p>
      <w:pPr>
        <w:pStyle w:val="PreformattedText"/>
        <w:bidi w:val="0"/>
        <w:jc w:val="start"/>
        <w:rPr/>
      </w:pPr>
      <w:r>
        <w:rPr/>
        <w:t xml:space="preserve">          </w:t>
      </w:r>
      <w:r>
        <w:rPr/>
        <w:t>|</w:t>
      </w:r>
    </w:p>
    <w:p>
      <w:pPr>
        <w:pStyle w:val="PreformattedText"/>
        <w:bidi w:val="0"/>
        <w:jc w:val="start"/>
        <w:rPr/>
      </w:pPr>
      <w:r>
        <w:rPr/>
        <w:t xml:space="preserve">          </w:t>
      </w:r>
      <w:r>
        <w:rPr/>
        <w:t>|-- visits pages</w:t>
      </w:r>
    </w:p>
    <w:p>
      <w:pPr>
        <w:pStyle w:val="PreformattedText"/>
        <w:bidi w:val="0"/>
        <w:jc w:val="start"/>
        <w:rPr/>
      </w:pPr>
      <w:r>
        <w:rPr/>
        <w:t xml:space="preserve">          </w:t>
      </w:r>
      <w:r>
        <w:rPr/>
        <w:t>|-- detects payment indicators</w:t>
      </w:r>
    </w:p>
    <w:p>
      <w:pPr>
        <w:pStyle w:val="PreformattedText"/>
        <w:bidi w:val="0"/>
        <w:jc w:val="start"/>
        <w:rPr/>
      </w:pPr>
      <w:r>
        <w:rPr/>
        <w:t xml:space="preserve">          </w:t>
      </w:r>
      <w:r>
        <w:rPr/>
        <w:t>`-- captures screenshots</w:t>
      </w:r>
    </w:p>
    <w:p>
      <w:pPr>
        <w:pStyle w:val="PreformattedText"/>
        <w:bidi w:val="0"/>
        <w:jc w:val="start"/>
        <w:rPr/>
      </w:pPr>
      <w:r>
        <w:rPr/>
        <w:t xml:space="preserve">          </w:t>
      </w:r>
      <w:r>
        <w:rPr/>
        <w:t>|</w:t>
      </w:r>
    </w:p>
    <w:p>
      <w:pPr>
        <w:pStyle w:val="PreformattedText"/>
        <w:bidi w:val="0"/>
        <w:jc w:val="start"/>
        <w:rPr/>
      </w:pPr>
      <w:r>
        <w:rPr/>
        <w:t>5. Pipeline combines both sets of evidence</w:t>
      </w:r>
    </w:p>
    <w:p>
      <w:pPr>
        <w:pStyle w:val="PreformattedText"/>
        <w:bidi w:val="0"/>
        <w:jc w:val="start"/>
        <w:rPr/>
      </w:pPr>
      <w:r>
        <w:rPr/>
        <w:t xml:space="preserve">          </w:t>
      </w:r>
      <w:r>
        <w:rPr/>
        <w:t>|</w:t>
      </w:r>
    </w:p>
    <w:p>
      <w:pPr>
        <w:pStyle w:val="PreformattedText"/>
        <w:bidi w:val="0"/>
        <w:spacing w:before="0" w:after="283"/>
        <w:jc w:val="start"/>
        <w:rPr/>
      </w:pPr>
      <w:r>
        <w:rPr/>
        <w:t>6. UI shows one report for CASE_123</w:t>
      </w:r>
    </w:p>
    <w:p>
      <w:pPr>
        <w:pStyle w:val="Heading2"/>
        <w:bidi w:val="0"/>
        <w:jc w:val="start"/>
        <w:rPr/>
      </w:pPr>
      <w:r>
        <w:rPr/>
        <w:t>8. Shared Case Identity and Data Ownership</w:t>
      </w:r>
    </w:p>
    <w:p>
      <w:pPr>
        <w:pStyle w:val="BodyText"/>
        <w:bidi w:val="0"/>
        <w:jc w:val="start"/>
        <w:rPr/>
      </w:pPr>
      <w:r>
        <w:rPr/>
        <w:t>A top-level case should connect results without merging service ownership:</w:t>
      </w:r>
    </w:p>
    <w:p>
      <w:pPr>
        <w:pStyle w:val="PreformattedText"/>
        <w:bidi w:val="0"/>
        <w:jc w:val="start"/>
        <w:rPr/>
      </w:pPr>
      <w:r>
        <w:rPr/>
        <w:t>CASE_2026_000123</w:t>
      </w:r>
    </w:p>
    <w:p>
      <w:pPr>
        <w:pStyle w:val="PreformattedText"/>
        <w:bidi w:val="0"/>
        <w:jc w:val="start"/>
        <w:rPr/>
      </w:pPr>
      <w:r>
        <w:rPr/>
        <w:t>|-- OSINT investigation: OSINT_ABC123</w:t>
      </w:r>
    </w:p>
    <w:p>
      <w:pPr>
        <w:pStyle w:val="PreformattedText"/>
        <w:bidi w:val="0"/>
        <w:jc w:val="start"/>
        <w:rPr/>
      </w:pPr>
      <w:r>
        <w:rPr/>
        <w:t>|-- Dynamic investigation: DYNAMIC_DEF456</w:t>
      </w:r>
    </w:p>
    <w:p>
      <w:pPr>
        <w:pStyle w:val="PreformattedText"/>
        <w:bidi w:val="0"/>
        <w:spacing w:before="0" w:after="283"/>
        <w:jc w:val="start"/>
        <w:rPr/>
      </w:pPr>
      <w:r>
        <w:rPr/>
        <w:t>`-- Dynamic investigation: DYNAMIC_XYZ789</w:t>
      </w:r>
    </w:p>
    <w:tbl>
      <w:tblPr>
        <w:tblW w:w="3047" w:type="dxa"/>
        <w:jc w:val="start"/>
        <w:tblInd w:w="0" w:type="dxa"/>
        <w:tblLayout w:type="fixed"/>
        <w:tblCellMar>
          <w:top w:w="28" w:type="dxa"/>
          <w:start w:w="28" w:type="dxa"/>
          <w:bottom w:w="28" w:type="dxa"/>
          <w:end w:w="28" w:type="dxa"/>
        </w:tblCellMar>
      </w:tblPr>
      <w:tblGrid>
        <w:gridCol w:w="1135"/>
        <w:gridCol w:w="1912"/>
      </w:tblGrid>
      <w:tr>
        <w:trPr/>
        <w:tc>
          <w:tcPr>
            <w:tcW w:w="1135" w:type="dxa"/>
            <w:tcBorders/>
            <w:vAlign w:val="center"/>
          </w:tcPr>
          <w:p>
            <w:pPr>
              <w:pStyle w:val="TableHeading"/>
              <w:suppressLineNumbers/>
              <w:shd w:fill="1F4E78" w:val="clear"/>
              <w:bidi w:val="0"/>
              <w:spacing w:before="0" w:after="283"/>
              <w:jc w:val="start"/>
              <w:rPr/>
            </w:pPr>
            <w:r>
              <w:rPr/>
              <w:t>Service</w:t>
            </w:r>
          </w:p>
        </w:tc>
        <w:tc>
          <w:tcPr>
            <w:tcW w:w="1912" w:type="dxa"/>
            <w:tcBorders/>
            <w:vAlign w:val="center"/>
          </w:tcPr>
          <w:p>
            <w:pPr>
              <w:pStyle w:val="TableHeading"/>
              <w:suppressLineNumbers/>
              <w:shd w:fill="1F4E78" w:val="clear"/>
              <w:bidi w:val="0"/>
              <w:spacing w:before="0" w:after="283"/>
              <w:jc w:val="start"/>
              <w:rPr/>
            </w:pPr>
            <w:r>
              <w:rPr/>
              <w:t>Owned data</w:t>
            </w:r>
          </w:p>
        </w:tc>
      </w:tr>
      <w:tr>
        <w:trPr/>
        <w:tc>
          <w:tcPr>
            <w:tcW w:w="1135" w:type="dxa"/>
            <w:tcBorders/>
            <w:vAlign w:val="center"/>
          </w:tcPr>
          <w:p>
            <w:pPr>
              <w:pStyle w:val="TableContents"/>
              <w:bidi w:val="0"/>
              <w:spacing w:before="0" w:after="283"/>
              <w:jc w:val="start"/>
              <w:rPr/>
            </w:pPr>
            <w:r>
              <w:rPr/>
              <w:t>Case/Pipeline service</w:t>
            </w:r>
          </w:p>
        </w:tc>
        <w:tc>
          <w:tcPr>
            <w:tcW w:w="1912" w:type="dxa"/>
            <w:tcBorders/>
            <w:vAlign w:val="center"/>
          </w:tcPr>
          <w:p>
            <w:pPr>
              <w:pStyle w:val="TableContents"/>
              <w:bidi w:val="0"/>
              <w:spacing w:before="0" w:after="283"/>
              <w:jc w:val="start"/>
              <w:rPr/>
            </w:pPr>
            <w:r>
              <w:rPr/>
              <w:t>Case metadata, selected targets, pipeline status</w:t>
            </w:r>
          </w:p>
        </w:tc>
      </w:tr>
      <w:tr>
        <w:trPr/>
        <w:tc>
          <w:tcPr>
            <w:tcW w:w="1135" w:type="dxa"/>
            <w:tcBorders/>
            <w:vAlign w:val="center"/>
          </w:tcPr>
          <w:p>
            <w:pPr>
              <w:pStyle w:val="TableContents"/>
              <w:bidi w:val="0"/>
              <w:spacing w:before="0" w:after="283"/>
              <w:jc w:val="start"/>
              <w:rPr/>
            </w:pPr>
            <w:r>
              <w:rPr/>
              <w:t>OSINT service</w:t>
            </w:r>
          </w:p>
        </w:tc>
        <w:tc>
          <w:tcPr>
            <w:tcW w:w="1912" w:type="dxa"/>
            <w:tcBorders/>
            <w:vAlign w:val="center"/>
          </w:tcPr>
          <w:p>
            <w:pPr>
              <w:pStyle w:val="TableContents"/>
              <w:bidi w:val="0"/>
              <w:spacing w:before="0" w:after="283"/>
              <w:jc w:val="start"/>
              <w:rPr/>
            </w:pPr>
            <w:r>
              <w:rPr/>
              <w:t>Queries, collector runs, domains, OSINT observations</w:t>
            </w:r>
          </w:p>
        </w:tc>
      </w:tr>
      <w:tr>
        <w:trPr/>
        <w:tc>
          <w:tcPr>
            <w:tcW w:w="1135" w:type="dxa"/>
            <w:tcBorders/>
            <w:vAlign w:val="center"/>
          </w:tcPr>
          <w:p>
            <w:pPr>
              <w:pStyle w:val="TableContents"/>
              <w:bidi w:val="0"/>
              <w:spacing w:before="0" w:after="283"/>
              <w:jc w:val="start"/>
              <w:rPr/>
            </w:pPr>
            <w:r>
              <w:rPr/>
              <w:t>Dynamic service</w:t>
            </w:r>
          </w:p>
        </w:tc>
        <w:tc>
          <w:tcPr>
            <w:tcW w:w="1912" w:type="dxa"/>
            <w:tcBorders/>
            <w:vAlign w:val="center"/>
          </w:tcPr>
          <w:p>
            <w:pPr>
              <w:pStyle w:val="TableContents"/>
              <w:bidi w:val="0"/>
              <w:spacing w:before="0" w:after="283"/>
              <w:jc w:val="start"/>
              <w:rPr/>
            </w:pPr>
            <w:r>
              <w:rPr/>
              <w:t>Visited pages, navigation, keywords, payment findings</w:t>
            </w:r>
          </w:p>
        </w:tc>
      </w:tr>
      <w:tr>
        <w:trPr/>
        <w:tc>
          <w:tcPr>
            <w:tcW w:w="1135" w:type="dxa"/>
            <w:tcBorders/>
            <w:vAlign w:val="center"/>
          </w:tcPr>
          <w:p>
            <w:pPr>
              <w:pStyle w:val="TableContents"/>
              <w:bidi w:val="0"/>
              <w:spacing w:before="0" w:after="283"/>
              <w:jc w:val="start"/>
              <w:rPr/>
            </w:pPr>
            <w:r>
              <w:rPr/>
              <w:t>Object storage</w:t>
            </w:r>
          </w:p>
        </w:tc>
        <w:tc>
          <w:tcPr>
            <w:tcW w:w="1912" w:type="dxa"/>
            <w:tcBorders/>
            <w:vAlign w:val="center"/>
          </w:tcPr>
          <w:p>
            <w:pPr>
              <w:pStyle w:val="TableContents"/>
              <w:bidi w:val="0"/>
              <w:spacing w:before="0" w:after="283"/>
              <w:jc w:val="start"/>
              <w:rPr/>
            </w:pPr>
            <w:r>
              <w:rPr/>
              <w:t>Screenshots, documents, generated reports</w:t>
            </w:r>
          </w:p>
        </w:tc>
      </w:tr>
    </w:tbl>
    <w:p>
      <w:pPr>
        <w:pStyle w:val="BodyText"/>
        <w:bidi w:val="0"/>
        <w:jc w:val="start"/>
        <w:rPr/>
      </w:pPr>
      <w:r>
        <w:rPr/>
        <w:t>Services should exchange data through APIs or events rather than modifying each other's database tables.</w:t>
      </w:r>
    </w:p>
    <w:p>
      <w:pPr>
        <w:pStyle w:val="Heading2"/>
        <w:bidi w:val="0"/>
        <w:jc w:val="start"/>
        <w:rPr/>
      </w:pPr>
      <w:r>
        <w:rPr/>
        <w:t>9. Costs and Trade-offs</w:t>
      </w:r>
    </w:p>
    <w:p>
      <w:pPr>
        <w:pStyle w:val="BodyText"/>
        <w:bidi w:val="0"/>
        <w:spacing w:before="280" w:after="280"/>
        <w:ind w:hanging="0" w:start="280" w:end="280"/>
        <w:jc w:val="start"/>
        <w:rPr>
          <w:bdr w:val="single" w:sz="30" w:space="12" w:color="BF9000"/>
          <w:shd w:fill="FFF2CC" w:val="clear"/>
        </w:rPr>
      </w:pPr>
      <w:r>
        <w:rPr>
          <w:bdr w:val="single" w:sz="30" w:space="12" w:color="BF9000"/>
          <w:shd w:fill="FFF2CC" w:val="clear"/>
        </w:rPr>
        <w:t xml:space="preserve">Microservices are not automatically better. They introduce network failures, multiple deployments, service authentication, API versioning, queues, distributed logging, eventual consistency, more difficult debugging, and increased operational cost. </w:t>
      </w:r>
    </w:p>
    <w:p>
      <w:pPr>
        <w:pStyle w:val="BodyText"/>
        <w:bidi w:val="0"/>
        <w:jc w:val="start"/>
        <w:rPr/>
      </w:pPr>
      <w:r>
        <w:rPr/>
        <w:t>If the project has one developer, low traffic, and one server, immediate separation may increase complexity without delivering enough benefit.</w:t>
      </w:r>
    </w:p>
    <w:p>
      <w:pPr>
        <w:pStyle w:val="Heading2"/>
        <w:bidi w:val="0"/>
        <w:jc w:val="start"/>
        <w:rPr/>
      </w:pPr>
      <w:r>
        <w:rPr/>
        <w:t>10. Recommended Adoption Path</w:t>
      </w:r>
    </w:p>
    <w:p>
      <w:pPr>
        <w:pStyle w:val="BodyText"/>
        <w:numPr>
          <w:ilvl w:val="0"/>
          <w:numId w:val="4"/>
        </w:numPr>
        <w:tabs>
          <w:tab w:val="clear" w:pos="1134"/>
          <w:tab w:val="left" w:pos="709" w:leader="none"/>
        </w:tabs>
        <w:bidi w:val="0"/>
        <w:spacing w:before="0" w:after="0"/>
        <w:ind w:hanging="283" w:start="709"/>
        <w:jc w:val="start"/>
        <w:rPr/>
      </w:pPr>
      <w:r>
        <w:rPr>
          <w:rStyle w:val="Strong"/>
        </w:rPr>
        <w:t>Separate UI from business logic:</w:t>
      </w:r>
      <w:r>
        <w:rPr/>
        <w:t xml:space="preserve"> keep one repository but define clean OSINT and Dynamic service interfaces. </w:t>
      </w:r>
    </w:p>
    <w:p>
      <w:pPr>
        <w:pStyle w:val="BodyText"/>
        <w:numPr>
          <w:ilvl w:val="0"/>
          <w:numId w:val="4"/>
        </w:numPr>
        <w:tabs>
          <w:tab w:val="clear" w:pos="1134"/>
          <w:tab w:val="left" w:pos="709" w:leader="none"/>
        </w:tabs>
        <w:bidi w:val="0"/>
        <w:spacing w:before="0" w:after="0"/>
        <w:ind w:hanging="283" w:start="709"/>
        <w:jc w:val="start"/>
        <w:rPr/>
      </w:pPr>
      <w:r>
        <w:rPr>
          <w:rStyle w:val="Strong"/>
        </w:rPr>
        <w:t>Add API and job boundaries:</w:t>
      </w:r>
      <w:r>
        <w:rPr/>
        <w:t xml:space="preserve"> introduce FastAPI, request/response schemas, durable queues, and explicit job states. </w:t>
      </w:r>
    </w:p>
    <w:p>
      <w:pPr>
        <w:pStyle w:val="BodyText"/>
        <w:numPr>
          <w:ilvl w:val="0"/>
          <w:numId w:val="4"/>
        </w:numPr>
        <w:tabs>
          <w:tab w:val="clear" w:pos="1134"/>
          <w:tab w:val="left" w:pos="709" w:leader="none"/>
        </w:tabs>
        <w:bidi w:val="0"/>
        <w:spacing w:before="0" w:after="0"/>
        <w:ind w:hanging="283" w:start="709"/>
        <w:jc w:val="start"/>
        <w:rPr/>
      </w:pPr>
      <w:r>
        <w:rPr>
          <w:rStyle w:val="Strong"/>
        </w:rPr>
        <w:t>Separate the Dynamic service first:</w:t>
      </w:r>
      <w:r>
        <w:rPr/>
        <w:t xml:space="preserve"> browser execution has the clearest scaling and security-isolation requirements. </w:t>
      </w:r>
    </w:p>
    <w:p>
      <w:pPr>
        <w:pStyle w:val="BodyText"/>
        <w:numPr>
          <w:ilvl w:val="0"/>
          <w:numId w:val="4"/>
        </w:numPr>
        <w:tabs>
          <w:tab w:val="clear" w:pos="1134"/>
          <w:tab w:val="left" w:pos="709" w:leader="none"/>
        </w:tabs>
        <w:bidi w:val="0"/>
        <w:ind w:hanging="283" w:start="709"/>
        <w:jc w:val="start"/>
        <w:rPr/>
      </w:pPr>
      <w:r>
        <w:rPr>
          <w:rStyle w:val="Strong"/>
        </w:rPr>
        <w:t>Separate the OSINT service when needed:</w:t>
      </w:r>
      <w:r>
        <w:rPr/>
        <w:t xml:space="preserve"> do this when independent scaling, external API use, or independent deployment becomes valuable. </w:t>
      </w:r>
    </w:p>
    <w:p>
      <w:pPr>
        <w:pStyle w:val="BodyText"/>
        <w:bidi w:val="0"/>
        <w:spacing w:before="280" w:after="280"/>
        <w:ind w:hanging="0" w:start="280" w:end="280"/>
        <w:jc w:val="start"/>
        <w:rPr/>
      </w:pPr>
      <w:r>
        <w:rPr>
          <w:rStyle w:val="Strong"/>
          <w:bdr w:val="single" w:sz="30" w:space="12" w:color="70AD47"/>
          <w:shd w:fill="E2F0D9" w:val="clear"/>
        </w:rPr>
        <w:t>Recommendation.</w:t>
      </w:r>
      <w:r>
        <w:rPr>
          <w:bdr w:val="single" w:sz="30" w:space="12" w:color="70AD47"/>
          <w:shd w:fill="E2F0D9" w:val="clear"/>
        </w:rPr>
        <w:t xml:space="preserve"> Prepare both capabilities as independently testable services, but split their deployments gradually. The strongest initial microservice boundary is the Dynamic Playwright service because it has substantially different resource and security requirements from passive OSINT. </w:t>
      </w:r>
    </w:p>
    <w:p>
      <w:pPr>
        <w:pStyle w:val="Heading2"/>
        <w:bidi w:val="0"/>
        <w:jc w:val="start"/>
        <w:rPr/>
      </w:pPr>
      <w:r>
        <w:rPr/>
        <w:t>11. Final Target Model</w:t>
      </w:r>
    </w:p>
    <w:p>
      <w:pPr>
        <w:pStyle w:val="PreformattedText"/>
        <w:bidi w:val="0"/>
        <w:jc w:val="start"/>
        <w:rPr/>
      </w:pPr>
      <w:r>
        <w:rPr/>
        <w:t>OSINT microservice</w:t>
      </w:r>
    </w:p>
    <w:p>
      <w:pPr>
        <w:pStyle w:val="PreformattedText"/>
        <w:bidi w:val="0"/>
        <w:jc w:val="start"/>
        <w:rPr/>
      </w:pPr>
      <w:r>
        <w:rPr/>
        <w:t xml:space="preserve">    </w:t>
      </w:r>
      <w:r>
        <w:rPr/>
        <w:t>= public intelligence and target discovery</w:t>
      </w:r>
    </w:p>
    <w:p>
      <w:pPr>
        <w:pStyle w:val="PreformattedText"/>
        <w:bidi w:val="0"/>
        <w:jc w:val="start"/>
        <w:rPr/>
      </w:pPr>
      <w:r>
        <w:rPr/>
      </w:r>
    </w:p>
    <w:p>
      <w:pPr>
        <w:pStyle w:val="PreformattedText"/>
        <w:bidi w:val="0"/>
        <w:jc w:val="start"/>
        <w:rPr/>
      </w:pPr>
      <w:r>
        <w:rPr/>
        <w:t>Dynamic Investigation microservice</w:t>
      </w:r>
    </w:p>
    <w:p>
      <w:pPr>
        <w:pStyle w:val="PreformattedText"/>
        <w:bidi w:val="0"/>
        <w:jc w:val="start"/>
        <w:rPr/>
      </w:pPr>
      <w:r>
        <w:rPr/>
        <w:t xml:space="preserve">    </w:t>
      </w:r>
      <w:r>
        <w:rPr/>
        <w:t>= isolated browser execution and page evidence</w:t>
      </w:r>
    </w:p>
    <w:p>
      <w:pPr>
        <w:pStyle w:val="PreformattedText"/>
        <w:bidi w:val="0"/>
        <w:jc w:val="start"/>
        <w:rPr/>
      </w:pPr>
      <w:r>
        <w:rPr/>
      </w:r>
    </w:p>
    <w:p>
      <w:pPr>
        <w:pStyle w:val="PreformattedText"/>
        <w:bidi w:val="0"/>
        <w:jc w:val="start"/>
        <w:rPr/>
      </w:pPr>
      <w:r>
        <w:rPr/>
        <w:t>Pipeline service</w:t>
      </w:r>
    </w:p>
    <w:p>
      <w:pPr>
        <w:pStyle w:val="PreformattedText"/>
        <w:bidi w:val="0"/>
        <w:jc w:val="start"/>
        <w:rPr/>
      </w:pPr>
      <w:r>
        <w:rPr/>
        <w:t xml:space="preserve">    </w:t>
      </w:r>
      <w:r>
        <w:rPr/>
        <w:t>= case coordination and combined reporting</w:t>
      </w:r>
    </w:p>
    <w:p>
      <w:pPr>
        <w:pStyle w:val="PreformattedText"/>
        <w:bidi w:val="0"/>
        <w:jc w:val="start"/>
        <w:rPr/>
      </w:pPr>
      <w:r>
        <w:rPr/>
      </w:r>
    </w:p>
    <w:p>
      <w:pPr>
        <w:pStyle w:val="PreformattedText"/>
        <w:bidi w:val="0"/>
        <w:jc w:val="start"/>
        <w:rPr/>
      </w:pPr>
      <w:r>
        <w:rPr/>
        <w:t>Streamlit</w:t>
      </w:r>
    </w:p>
    <w:p>
      <w:pPr>
        <w:pStyle w:val="PreformattedText"/>
        <w:bidi w:val="0"/>
        <w:spacing w:before="0" w:after="283"/>
        <w:jc w:val="start"/>
        <w:rPr/>
      </w:pPr>
      <w:r>
        <w:rPr/>
        <w:t xml:space="preserve">    </w:t>
      </w:r>
      <w:r>
        <w:rPr/>
        <w:t>= presentation only</w:t>
      </w:r>
    </w:p>
    <w:p>
      <w:pPr>
        <w:pStyle w:val="BodyTextfooter-note"/>
        <w:bidi w:val="0"/>
        <w:spacing w:before="480" w:after="283"/>
        <w:jc w:val="start"/>
        <w:rPr/>
      </w:pPr>
      <w:r>
        <w:rPr/>
        <w:t>Prepared for the Web Investigator project. This document describes a possible future architecture and does not indicate that the microservice separation has already been implemented.</w:t>
      </w:r>
    </w:p>
    <w:sectPr>
      <w:type w:val="nextPage"/>
      <w:pgSz w:w="11906" w:h="16838"/>
      <w:pgMar w:left="1134" w:right="1134" w:gutter="0" w:header="0" w:top="1134" w:footer="0" w:bottom="1134"/>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altName w:val="sans-serif"/>
    <w:charset w:val="01" w:characterSet="utf-8"/>
    <w:family w:val="auto"/>
    <w:pitch w:val="default"/>
  </w:font>
  <w:font w:name="Noto Sans">
    <w:charset w:val="01" w:characterSet="utf-8"/>
    <w:family w:val="auto"/>
    <w:pitch w:val="variable"/>
  </w:font>
  <w:font w:name="Courier New">
    <w:altName w:val="monospace"/>
    <w:charset w:val="01" w:characterSet="utf-8"/>
    <w:family w:val="auto"/>
    <w:pitch w:val="default"/>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none"/>
      <w:suff w:val="nothing"/>
      <w:lvlText w:val="%1"/>
      <w:lvlJc w:val="start"/>
      <w:pPr>
        <w:tabs>
          <w:tab w:val="num" w:pos="0"/>
        </w:tabs>
        <w:ind w:start="0" w:hanging="0"/>
      </w:pPr>
    </w:lvl>
    <w:lvl w:ilvl="1">
      <w:start w:val="1"/>
      <w:pStyle w:val="Heading2"/>
      <w:numFmt w:val="none"/>
      <w:suff w:val="nothing"/>
      <w:lvlText w:val="%2"/>
      <w:lvlJc w:val="start"/>
      <w:pPr>
        <w:tabs>
          <w:tab w:val="num" w:pos="0"/>
        </w:tabs>
        <w:ind w:start="0" w:hanging="0"/>
      </w:pPr>
    </w:lvl>
    <w:lvl w:ilvl="2">
      <w:start w:val="1"/>
      <w:pStyle w:val="Heading3"/>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48"/>
    </w:pPr>
    <w:rPr>
      <w:rFonts w:ascii="Arial;sans-serif" w:hAnsi="Arial;sans-serif" w:eastAsia="Arial;sans-serif" w:cs="Arial;sans-serif"/>
      <w:color w:val="1F2937"/>
      <w:sz w:val="22"/>
      <w:szCs w:val="22"/>
      <w:lang w:val="en-US" w:eastAsia="zh-CN" w:bidi="hi-IN"/>
    </w:rPr>
  </w:style>
  <w:style w:type="paragraph" w:styleId="Heading1">
    <w:name w:val="Heading 1"/>
    <w:basedOn w:val="Heading"/>
    <w:next w:val="BodyText"/>
    <w:qFormat/>
    <w:pPr>
      <w:spacing w:before="240" w:after="80"/>
    </w:pPr>
    <w:rPr>
      <w:rFonts w:ascii="Noto Sans" w:hAnsi="Noto Sans"/>
      <w:b/>
      <w:bCs/>
      <w:color w:val="17365D"/>
      <w:sz w:val="48"/>
      <w:szCs w:val="48"/>
    </w:rPr>
  </w:style>
  <w:style w:type="paragraph" w:styleId="Heading2">
    <w:name w:val="Heading 2"/>
    <w:basedOn w:val="Heading"/>
    <w:next w:val="BodyText"/>
    <w:qFormat/>
    <w:pPr>
      <w:pBdr>
        <w:bottom w:val="single" w:sz="2" w:space="3" w:color="B4C6E7"/>
      </w:pBdr>
      <w:spacing w:before="400" w:after="120"/>
      <w:outlineLvl w:val="1"/>
    </w:pPr>
    <w:rPr>
      <w:rFonts w:ascii="Liberation Serif" w:hAnsi="Liberation Serif" w:eastAsia="Noto Serif CJK SC" w:cs="Noto Sans Devanagari"/>
      <w:b/>
      <w:bCs/>
      <w:color w:val="1F4E78"/>
      <w:sz w:val="32"/>
      <w:szCs w:val="32"/>
    </w:rPr>
  </w:style>
  <w:style w:type="paragraph" w:styleId="Heading3">
    <w:name w:val="Heading 3"/>
    <w:basedOn w:val="Heading"/>
    <w:next w:val="BodyText"/>
    <w:qFormat/>
    <w:pPr>
      <w:spacing w:before="280" w:after="120"/>
      <w:outlineLvl w:val="2"/>
    </w:pPr>
    <w:rPr>
      <w:rFonts w:ascii="Liberation Serif" w:hAnsi="Liberation Serif" w:eastAsia="Noto Serif CJK SC" w:cs="Noto Sans Devanagari"/>
      <w:b/>
      <w:bCs/>
      <w:color w:val="2F5597"/>
      <w:sz w:val="25"/>
      <w:szCs w:val="25"/>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Courier New;monospace" w:hAnsi="Courier New;monospace" w:eastAsia="Courier New;monospace" w:cs="Courier New;monospace"/>
      <w:color w:val="9C2C2C"/>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PreformattedText">
    <w:name w:val="Preformatted Text"/>
    <w:basedOn w:val="Normal"/>
    <w:qFormat/>
    <w:pPr>
      <w:pBdr>
        <w:top w:val="single" w:sz="2" w:space="10" w:color="D1D5DB"/>
        <w:left w:val="single" w:sz="2" w:space="10" w:color="D1D5DB"/>
        <w:bottom w:val="single" w:sz="2" w:space="10" w:color="D1D5DB"/>
        <w:right w:val="single" w:sz="2" w:space="10" w:color="D1D5DB"/>
      </w:pBdr>
      <w:shd w:fill="F3F4F6" w:val="clear"/>
      <w:spacing w:before="0" w:after="0"/>
    </w:pPr>
    <w:rPr>
      <w:rFonts w:ascii="Courier New;monospace" w:hAnsi="Courier New;monospace" w:eastAsia="Courier New;monospace" w:cs="Courier New;monospace"/>
      <w:sz w:val="18"/>
      <w:szCs w:val="18"/>
    </w:rPr>
  </w:style>
  <w:style w:type="paragraph" w:styleId="BodyTextsubtitle">
    <w:name w:val="Body Text.subtitle"/>
    <w:basedOn w:val="BodyText"/>
    <w:qFormat/>
    <w:pPr>
      <w:spacing w:before="0" w:after="440"/>
    </w:pPr>
    <w:rPr>
      <w:color w:val="5B6573"/>
      <w:sz w:val="24"/>
      <w:szCs w:val="24"/>
    </w:rPr>
  </w:style>
  <w:style w:type="paragraph" w:styleId="TableHeading">
    <w:name w:val="Table Heading"/>
    <w:basedOn w:val="TableContents"/>
    <w:qFormat/>
    <w:pPr>
      <w:suppressLineNumbers/>
      <w:shd w:fill="1F4E78" w:val="clear"/>
      <w:jc w:val="start"/>
    </w:pPr>
    <w:rPr>
      <w:b/>
      <w:bCs/>
      <w:color w:val="FFFFFF"/>
    </w:rPr>
  </w:style>
  <w:style w:type="paragraph" w:styleId="BodyTextfooter-note">
    <w:name w:val="Body Text.footer-note"/>
    <w:basedOn w:val="BodyText"/>
    <w:qFormat/>
    <w:pPr>
      <w:spacing w:before="480" w:after="283"/>
    </w:pPr>
    <w:rPr>
      <w:color w:val="6B7280"/>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Microservices for the Web Investigator Project</dc:title>
</cp:coreProperties>
</file>

<file path=docProps/custom.xml><?xml version="1.0" encoding="utf-8"?>
<Properties xmlns="http://schemas.openxmlformats.org/officeDocument/2006/custom-properties" xmlns:vt="http://schemas.openxmlformats.org/officeDocument/2006/docPropsVTypes"/>
</file>