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>Production-Ready OSINT Service with FastAPI</w:t>
      </w:r>
    </w:p>
    <w:p>
      <w:pPr>
        <w:pStyle w:val="BodyTextsubtitle"/>
        <w:bidi w:val="0"/>
        <w:jc w:val="start"/>
        <w:rPr/>
      </w:pPr>
      <w:r>
        <w:rPr/>
        <w:t>Architecture guidance for the Web Investigator OSINT component</w:t>
      </w:r>
    </w:p>
    <w:p>
      <w:pPr>
        <w:pStyle w:val="BodyText"/>
        <w:bidi w:val="0"/>
        <w:spacing w:before="240" w:after="240"/>
        <w:ind w:hanging="0" w:start="240" w:end="240"/>
        <w:jc w:val="start"/>
        <w:rPr/>
      </w:pPr>
      <w:r>
        <w:rPr>
          <w:rStyle w:val="Strong"/>
          <w:bdr w:val="single" w:sz="30" w:space="12" w:color="2F75B5"/>
          <w:shd w:fill="EAF2F8" w:val="clear"/>
        </w:rPr>
        <w:t>Executive summary.</w:t>
      </w:r>
      <w:r>
        <w:rPr>
          <w:bdr w:val="single" w:sz="30" w:space="12" w:color="2F75B5"/>
          <w:shd w:fill="EAF2F8" w:val="clear"/>
        </w:rPr>
        <w:t xml:space="preserve"> FastAPI is a strong choice for exposing the current OSINT component through a stable HTTP API. However, FastAPI alone does not make the system production-ready. The most important improvements are durable background job execution, PostgreSQL, security controls, durable evidence storage, and operational monitoring. </w:t>
      </w:r>
    </w:p>
    <w:p>
      <w:pPr>
        <w:pStyle w:val="Heading2"/>
        <w:bidi w:val="0"/>
        <w:jc w:val="start"/>
        <w:rPr/>
      </w:pPr>
      <w:r>
        <w:rPr/>
        <w:t>1. How FastAPI Works</w:t>
      </w:r>
    </w:p>
    <w:p>
      <w:pPr>
        <w:pStyle w:val="BodyText"/>
        <w:bidi w:val="0"/>
        <w:jc w:val="start"/>
        <w:rPr/>
      </w:pPr>
      <w:r>
        <w:rPr/>
        <w:t>FastAPI maps HTTP routes to ordinary typed Python functions. For example:</w:t>
      </w:r>
    </w:p>
    <w:p>
      <w:pPr>
        <w:pStyle w:val="PreformattedText"/>
        <w:bidi w:val="0"/>
        <w:jc w:val="start"/>
        <w:rPr/>
      </w:pPr>
      <w:r>
        <w:rPr/>
        <w:t>@app.post("/investigations")</w:t>
      </w:r>
    </w:p>
    <w:p>
      <w:pPr>
        <w:pStyle w:val="PreformattedText"/>
        <w:bidi w:val="0"/>
        <w:jc w:val="start"/>
        <w:rPr/>
      </w:pPr>
      <w:r>
        <w:rPr/>
        <w:t>def create_investigation(request: InvestigationRequest):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...</w:t>
      </w:r>
    </w:p>
    <w:p>
      <w:pPr>
        <w:pStyle w:val="BodyText"/>
        <w:bidi w:val="0"/>
        <w:jc w:val="start"/>
        <w:rPr/>
      </w:pPr>
      <w:r>
        <w:rPr/>
        <w:t>When a client sends JSON to this route, FastAPI: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the request to the correct Python function.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Validates and converts the request using Pydantic models.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Calls the application's service code.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Serializes the returned value as JSON.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Generates OpenAPI documentation, Swagger UI, and ReDoc automatically. </w:t>
      </w:r>
    </w:p>
    <w:p>
      <w:pPr>
        <w:pStyle w:val="BodyText"/>
        <w:bidi w:val="0"/>
        <w:jc w:val="start"/>
        <w:rPr/>
      </w:pPr>
      <w:r>
        <w:rPr/>
        <w:t>FastAPI also provides dependency injection for authentication, database sessions, authorization, and shared services. It should be a thin HTTP layer around the existing collectors and orchestrator, rather than a replacement for them.</w:t>
      </w:r>
    </w:p>
    <w:p>
      <w:pPr>
        <w:pStyle w:val="Heading2"/>
        <w:bidi w:val="0"/>
        <w:jc w:val="start"/>
        <w:rPr/>
      </w:pPr>
      <w:r>
        <w:rPr/>
        <w:t>2. How FastAPI Fits the Current Project</w:t>
      </w:r>
    </w:p>
    <w:p>
      <w:pPr>
        <w:pStyle w:val="BodyText"/>
        <w:bidi w:val="0"/>
        <w:jc w:val="start"/>
        <w:rPr/>
      </w:pPr>
      <w:r>
        <w:rPr/>
        <w:t>The current implementation is a synchronous service workflow:</w:t>
      </w:r>
    </w:p>
    <w:p>
      <w:pPr>
        <w:pStyle w:val="PreformattedText"/>
        <w:bidi w:val="0"/>
        <w:jc w:val="start"/>
        <w:rPr/>
      </w:pPr>
      <w:r>
        <w:rPr/>
        <w:t>Streamlit UI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>IntelligenceOrchestrator.run()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>Collectors running in parallel threads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>Domain checks -&gt; source crawling -&gt; evidence capture -&gt; risk scoring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v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SQLite repository</w:t>
      </w:r>
    </w:p>
    <w:p>
      <w:pPr>
        <w:pStyle w:val="BodyText"/>
        <w:bidi w:val="0"/>
        <w:jc w:val="start"/>
        <w:rPr/>
      </w:pPr>
      <w:r>
        <w:rPr/>
        <w:t>A recommended production architecture is:</w:t>
      </w:r>
    </w:p>
    <w:p>
      <w:pPr>
        <w:pStyle w:val="PreformattedText"/>
        <w:bidi w:val="0"/>
        <w:jc w:val="start"/>
        <w:rPr/>
      </w:pPr>
      <w:r>
        <w:rPr/>
        <w:t>Streamlit / Web UI / API client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 HTTP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           </w:t>
      </w:r>
      <w:r>
        <w:rPr/>
        <w:t>FastAPI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 enqueue durable job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Redis or RabbitMQ queue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v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OSINT worker process(es)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+---------------------+</w:t>
      </w:r>
    </w:p>
    <w:p>
      <w:pPr>
        <w:pStyle w:val="PreformattedText"/>
        <w:bidi w:val="0"/>
        <w:jc w:val="start"/>
        <w:rPr/>
      </w:pPr>
      <w:r>
        <w:rPr/>
        <w:t xml:space="preserve">              </w:t>
      </w:r>
      <w:r>
        <w:rPr/>
        <w:t>v                     v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</w:t>
      </w:r>
      <w:r>
        <w:rPr/>
        <w:t>PostgreSQL       Evidence/Object Storage</w:t>
      </w:r>
    </w:p>
    <w:p>
      <w:pPr>
        <w:pStyle w:val="BodyText"/>
        <w:bidi w:val="0"/>
        <w:jc w:val="start"/>
        <w:rPr/>
      </w:pPr>
      <w:r>
        <w:rPr/>
        <w:t>This separates quick HTTP request handling from long-running collection and browser automation.</w:t>
      </w:r>
    </w:p>
    <w:p>
      <w:pPr>
        <w:pStyle w:val="Heading2"/>
        <w:bidi w:val="0"/>
        <w:jc w:val="start"/>
        <w:rPr/>
      </w:pPr>
      <w:r>
        <w:rPr/>
        <w:t>3. Recommended API Contract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90"/>
        <w:gridCol w:w="6849"/>
      </w:tblGrid>
      <w:tr>
        <w:trPr/>
        <w:tc>
          <w:tcPr>
            <w:tcW w:w="4490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Method and route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Heading"/>
              <w:suppressLineNumbers/>
              <w:shd w:fill="1F4E78" w:val="clear"/>
              <w:bidi w:val="0"/>
              <w:spacing w:before="0" w:after="283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POST /v1/investigations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Validate the target, create a job, enqueue it, and return HTTP 202 Accepted.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 /v1/investigations/{id}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Return job status, timestamps, progress, and failure information.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 /v1/investigations/{id}/results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Return observations, sources, evidence, and risk assessment.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 /v1/investigations/{id}/report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Download a generated investigation report.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POST /v1/investigations/{id}/cancel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Request cancellation of queued or running work.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 /health/live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 that the API process is alive.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GET /health/ready</w:t>
            </w:r>
          </w:p>
        </w:tc>
        <w:tc>
          <w:tcPr>
            <w:tcW w:w="68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Confirm that required dependencies are available.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 create endpoint should return immediately: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"investigation_id": "OSINT_ABC123",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"status": "QUEUED"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  <w:t>The client can poll the status route or receive progress through server-sent events or WebSockets.</w:t>
      </w:r>
    </w:p>
    <w:p>
      <w:pPr>
        <w:pStyle w:val="Heading2"/>
        <w:bidi w:val="0"/>
        <w:jc w:val="start"/>
        <w:rPr/>
      </w:pPr>
      <w:r>
        <w:rPr/>
        <w:t>4. Why the Investigation Should Use a Job Worker</w:t>
      </w:r>
    </w:p>
    <w:p>
      <w:pPr>
        <w:pStyle w:val="BodyText"/>
        <w:bidi w:val="0"/>
        <w:jc w:val="start"/>
        <w:rPr/>
      </w:pPr>
      <w:r>
        <w:rPr/>
        <w:t xml:space="preserve">The current </w:t>
      </w:r>
      <w:r>
        <w:rPr>
          <w:rStyle w:val="SourceText"/>
        </w:rPr>
        <w:t>run()</w:t>
      </w:r>
      <w:r>
        <w:rPr/>
        <w:t xml:space="preserve"> workflow performs network requests, launches concurrent collectors, crawls sources, invokes Playwright, captures evidence, and writes many database records. It can take much longer than a normal HTTP request and should not run directly in the API request process.</w:t>
      </w:r>
    </w:p>
    <w:p>
      <w:pPr>
        <w:pStyle w:val="BodyText"/>
        <w:bidi w:val="0"/>
        <w:jc w:val="start"/>
        <w:rPr/>
      </w:pPr>
      <w:r>
        <w:rPr/>
        <w:t>FastAPI's in-process background tasks are appropriate for small operations. For this workflow, use a durable task system such as: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Celery</w:t>
      </w:r>
      <w:r>
        <w:rPr/>
        <w:t xml:space="preserve"> with Redis or RabbitMQ;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Dramatiq</w:t>
      </w:r>
      <w:r>
        <w:rPr/>
        <w:t xml:space="preserve"> with Redis or RabbitMQ; or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RQ</w:t>
      </w:r>
      <w:r>
        <w:rPr/>
        <w:t xml:space="preserve"> with Redis for a simpler initial setup. </w:t>
      </w:r>
    </w:p>
    <w:p>
      <w:pPr>
        <w:pStyle w:val="BodyText"/>
        <w:bidi w:val="0"/>
        <w:jc w:val="start"/>
        <w:rPr/>
      </w:pPr>
      <w:r>
        <w:rPr/>
        <w:t xml:space="preserve">A durable queue provides retry policies, task persistence, independent worker scaling, and recovery when the API process restarts. Merely converting the current method to </w:t>
      </w:r>
      <w:r>
        <w:rPr>
          <w:rStyle w:val="SourceText"/>
        </w:rPr>
        <w:t>async def</w:t>
      </w:r>
      <w:r>
        <w:rPr/>
        <w:t xml:space="preserve"> will not make blocking libraries or browser work faster.</w:t>
      </w:r>
    </w:p>
    <w:p>
      <w:pPr>
        <w:pStyle w:val="Heading2"/>
        <w:bidi w:val="0"/>
        <w:jc w:val="start"/>
        <w:rPr/>
      </w:pPr>
      <w:r>
        <w:rPr/>
        <w:t>5. Is This a Microservice?</w:t>
      </w:r>
    </w:p>
    <w:p>
      <w:pPr>
        <w:pStyle w:val="BodyText"/>
        <w:bidi w:val="0"/>
        <w:jc w:val="start"/>
        <w:rPr/>
      </w:pPr>
      <w:r>
        <w:rPr/>
        <w:t xml:space="preserve">The current application is best described as a </w:t>
      </w:r>
      <w:r>
        <w:rPr>
          <w:rStyle w:val="Strong"/>
        </w:rPr>
        <w:t>modular monolith</w:t>
      </w:r>
      <w:r>
        <w:rPr/>
        <w:t>. The Streamlit UI, orchestration, collectors, and storage use direct Python imports and share the same application runtime and database.</w:t>
      </w:r>
    </w:p>
    <w:p>
      <w:pPr>
        <w:pStyle w:val="BodyText"/>
        <w:bidi w:val="0"/>
        <w:jc w:val="start"/>
        <w:rPr/>
      </w:pPr>
      <w:r>
        <w:rPr/>
        <w:t>Adding FastAPI does not automatically make it a microservice. A microservice is primarily an independent deployment and ownership boundary, not a framework choice.</w:t>
      </w:r>
    </w:p>
    <w:p>
      <w:pPr>
        <w:pStyle w:val="BodyText"/>
        <w:bidi w:val="0"/>
        <w:jc w:val="start"/>
        <w:rPr/>
      </w:pPr>
      <w:r>
        <w:rPr/>
        <w:t>The component becomes an OSINT microservice when it is independently deployed and consumed through a stable API or message contract:</w:t>
      </w:r>
    </w:p>
    <w:p>
      <w:pPr>
        <w:pStyle w:val="PreformattedText"/>
        <w:bidi w:val="0"/>
        <w:jc w:val="start"/>
        <w:rPr/>
      </w:pPr>
      <w:r>
        <w:rPr/>
        <w:t>Main application ---- HTTP ----&gt; OSINT API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</w:t>
      </w:r>
      <w:r>
        <w:rPr/>
        <w:t>|-- dedicated workers</w:t>
      </w:r>
    </w:p>
    <w:p>
      <w:pPr>
        <w:pStyle w:val="PreformattedText"/>
        <w:bidi w:val="0"/>
        <w:jc w:val="start"/>
        <w:rPr/>
      </w:pPr>
      <w:r>
        <w:rPr/>
        <w:t xml:space="preserve">                                  </w:t>
      </w:r>
      <w:r>
        <w:rPr/>
        <w:t>|-- independent deployment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                              </w:t>
      </w:r>
      <w:r>
        <w:rPr/>
        <w:t>`-- owned data and storage</w:t>
      </w:r>
    </w:p>
    <w:p>
      <w:pPr>
        <w:pStyle w:val="BodyText"/>
        <w:bidi w:val="0"/>
        <w:jc w:val="start"/>
        <w:rPr/>
      </w:pPr>
      <w:r>
        <w:rPr/>
        <w:t>DNS, RDAP, search, certificate transparency, and web collectors should remain internal modules initially. Turning every collector into a network service would introduce unnecessary deployment, versioning, monitoring, and failure-handling complexity.</w:t>
      </w:r>
    </w:p>
    <w:p>
      <w:pPr>
        <w:pStyle w:val="Heading2"/>
        <w:bidi w:val="0"/>
        <w:jc w:val="start"/>
        <w:rPr/>
      </w:pPr>
      <w:r>
        <w:rPr/>
        <w:t>6. Production-Readiness Checklist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Durable job workers:</w:t>
      </w:r>
      <w:r>
        <w:rPr/>
        <w:t xml:space="preserve"> Investigations must survive an API or worker process restart.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PostgreSQL:</w:t>
      </w:r>
      <w:r>
        <w:rPr/>
        <w:t xml:space="preserve"> Replace SQLite before running multiple API and worker processes that write concurrently.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Explicit job lifecycle:</w:t>
      </w:r>
      <w:r>
        <w:rPr/>
        <w:t xml:space="preserve"> Use states such as </w:t>
      </w:r>
      <w:r>
        <w:rPr>
          <w:rStyle w:val="SourceText"/>
        </w:rPr>
        <w:t>QUEUED</w:t>
      </w:r>
      <w:r>
        <w:rPr/>
        <w:t xml:space="preserve">, </w:t>
      </w:r>
      <w:r>
        <w:rPr>
          <w:rStyle w:val="SourceText"/>
        </w:rPr>
        <w:t>RUNNING</w:t>
      </w:r>
      <w:r>
        <w:rPr/>
        <w:t xml:space="preserve">, </w:t>
      </w:r>
      <w:r>
        <w:rPr>
          <w:rStyle w:val="SourceText"/>
        </w:rPr>
        <w:t>COMPLETED</w:t>
      </w:r>
      <w:r>
        <w:rPr/>
        <w:t xml:space="preserve">, </w:t>
      </w:r>
      <w:r>
        <w:rPr>
          <w:rStyle w:val="SourceText"/>
        </w:rPr>
        <w:t>PARTIAL</w:t>
      </w:r>
      <w:r>
        <w:rPr/>
        <w:t xml:space="preserve">, </w:t>
      </w:r>
      <w:r>
        <w:rPr>
          <w:rStyle w:val="SourceText"/>
        </w:rPr>
        <w:t>FAILED</w:t>
      </w:r>
      <w:r>
        <w:rPr/>
        <w:t xml:space="preserve">, and </w:t>
      </w:r>
      <w:r>
        <w:rPr>
          <w:rStyle w:val="SourceText"/>
        </w:rPr>
        <w:t>CANCELLED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Idempotency and retries:</w:t>
      </w:r>
      <w:r>
        <w:rPr/>
        <w:t xml:space="preserve"> Retrying a stage must not duplicate observations or repeat completed expensive work unnecessarily.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SSRF protection:</w:t>
      </w:r>
      <w:r>
        <w:rPr/>
        <w:t xml:space="preserve"> Block loopback, private, link-local, cloud metadata, and internal network destinations; validate redirects and URL schemes.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Authentication and authorization:</w:t>
      </w:r>
      <w:r>
        <w:rPr/>
        <w:t xml:space="preserve"> Use API keys or OAuth/JWT, tenant-aware access checks, and audit logging.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Resource controls:</w:t>
      </w:r>
      <w:r>
        <w:rPr/>
        <w:t xml:space="preserve"> Limit concurrent jobs, redirects, pages, response sizes, downloads, browser time, and requests per user.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Durable evidence storage:</w:t>
      </w:r>
      <w:r>
        <w:rPr/>
        <w:t xml:space="preserve"> Store screenshots and reports in S3-compatible storage or an explicitly mounted persistent volume.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Headless browser workers:</w:t>
      </w:r>
      <w:r>
        <w:rPr/>
        <w:t xml:space="preserve"> Production server and container environments should run Playwright headlessly.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Observability:</w:t>
      </w:r>
      <w:r>
        <w:rPr/>
        <w:t xml:space="preserve"> Add structured logs with investigation IDs, metrics, tracing, health checks, and exception reporting.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Database migrations:</w:t>
      </w:r>
      <w:r>
        <w:rPr/>
        <w:t xml:space="preserve"> Replace runtime schema alterations with versioned migrations such as Alembic.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Failure-path testing:</w:t>
      </w:r>
      <w:r>
        <w:rPr/>
        <w:t xml:space="preserve"> Test authorization, validation, timeouts, queue failure, retries, cancellation, partial completion, and database concurrency. </w:t>
      </w:r>
    </w:p>
    <w:p>
      <w:pPr>
        <w:pStyle w:val="Heading2"/>
        <w:bidi w:val="0"/>
        <w:jc w:val="start"/>
        <w:rPr/>
      </w:pPr>
      <w:r>
        <w:rPr/>
        <w:t>7. Recommended Implementation Direction</w:t>
      </w:r>
    </w:p>
    <w:p>
      <w:pPr>
        <w:pStyle w:val="BodyText"/>
        <w:bidi w:val="0"/>
        <w:spacing w:before="280" w:after="280"/>
        <w:ind w:hanging="0" w:start="280" w:end="280"/>
        <w:jc w:val="start"/>
        <w:rPr>
          <w:bdr w:val="single" w:sz="30" w:space="12" w:color="70AD47"/>
          <w:shd w:fill="E2F0D9" w:val="clear"/>
        </w:rPr>
      </w:pPr>
      <w:r>
        <w:rPr>
          <w:bdr w:val="single" w:sz="30" w:space="12" w:color="70AD47"/>
          <w:shd w:fill="E2F0D9" w:val="clear"/>
        </w:rPr>
        <w:t xml:space="preserve">Keep the collectors and orchestrator together as one independently deployable OSINT service. Add a thin FastAPI layer, execute investigations in dedicated worker processes, migrate persistence to PostgreSQL, and store evidence in durable object storage. This creates a clean production architecture without prematurely splitting the codebase into many small services. </w:t>
      </w:r>
    </w:p>
    <w:p>
      <w:pPr>
        <w:pStyle w:val="Heading2"/>
        <w:bidi w:val="0"/>
        <w:jc w:val="start"/>
        <w:rPr/>
      </w:pPr>
      <w:r>
        <w:rPr/>
        <w:t>8. Useful References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FastAPI features: https://fastapi.tiangolo.com/features/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FastAPI background tasks: https://fastapi.tiangolo.com/tutorial/background-tasks/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FastAPI concurrency guidance: https://fastapi.tiangolo.com/async/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FastAPI server workers: https://fastapi.tiangolo.com/deployment/server-workers/ </w:t>
      </w:r>
    </w:p>
    <w:p>
      <w:pPr>
        <w:pStyle w:val="BodyTextfooter-note"/>
        <w:bidi w:val="0"/>
        <w:spacing w:before="480" w:after="283"/>
        <w:jc w:val="start"/>
        <w:rPr/>
      </w:pPr>
      <w:r>
        <w:rPr/>
        <w:t>Prepared for the Web Investigator project. This document describes the recommended architecture; it does not indicate that the listed production controls have already been implemented.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1F293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17365D"/>
      <w:sz w:val="48"/>
      <w:szCs w:val="48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B4C6E7"/>
      </w:pBd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8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2F5597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9C2C2C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10" w:color="D1D5DB"/>
        <w:left w:val="single" w:sz="2" w:space="10" w:color="D1D5DB"/>
        <w:bottom w:val="single" w:sz="2" w:space="10" w:color="D1D5DB"/>
        <w:right w:val="single" w:sz="2" w:space="10" w:color="D1D5DB"/>
      </w:pBdr>
      <w:shd w:fill="F3F4F6" w:val="clear"/>
      <w:spacing w:before="0" w:after="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odyTextsubtitle">
    <w:name w:val="Body Text.subtitle"/>
    <w:basedOn w:val="BodyText"/>
    <w:qFormat/>
    <w:pPr>
      <w:spacing w:before="0" w:after="440"/>
    </w:pPr>
    <w:rPr>
      <w:color w:val="5B6573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shd w:fill="1F4E78" w:val="clear"/>
      <w:jc w:val="start"/>
    </w:pPr>
    <w:rPr>
      <w:b/>
      <w:bCs/>
      <w:color w:val="FFFFFF"/>
    </w:rPr>
  </w:style>
  <w:style w:type="paragraph" w:styleId="BodyTextfooter-note">
    <w:name w:val="Body Text.footer-note"/>
    <w:basedOn w:val="BodyText"/>
    <w:qFormat/>
    <w:pPr>
      <w:spacing w:before="480" w:after="283"/>
    </w:pPr>
    <w:rPr>
      <w:color w:val="6B728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Production-Ready OSINT Service with FastAPI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