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start"/>
        <w:rPr/>
      </w:pPr>
      <w:r>
        <w:rPr/>
        <w:t>Why Search Providers Are Needed</w:t>
      </w:r>
    </w:p>
    <w:p>
      <w:pPr>
        <w:pStyle w:val="BodyTextsubtitle"/>
        <w:bidi w:val="0"/>
        <w:jc w:val="start"/>
        <w:rPr/>
      </w:pPr>
      <w:r>
        <w:rPr/>
        <w:t>Search and public-intelligence discovery in the Web Investigation Framework</w:t>
      </w:r>
    </w:p>
    <w:p>
      <w:pPr>
        <w:pStyle w:val="BodyText"/>
        <w:bidi w:val="0"/>
        <w:spacing w:before="240" w:after="240"/>
        <w:ind w:hanging="0" w:start="240" w:end="240"/>
        <w:jc w:val="start"/>
        <w:rPr>
          <w:bdr w:val="single" w:sz="30" w:space="12" w:color="2F75B5"/>
          <w:shd w:fill="EAF2F8" w:val="clear"/>
        </w:rPr>
      </w:pPr>
      <w:r>
        <w:rPr>
          <w:bdr w:val="single" w:sz="30" w:space="12" w:color="2F75B5"/>
          <w:shd w:fill="EAF2F8" w:val="clear"/>
        </w:rPr>
        <w:t xml:space="preserve">Search providers help the OSINT component discover public URLs, documents, social profiles, related domains, historical references, and possible evidence sources associated with an investigation target. Multiple providers improve coverage and resilience because no single search index contains every relevant result. </w:t>
      </w:r>
    </w:p>
    <w:p>
      <w:pPr>
        <w:pStyle w:val="Heading2"/>
        <w:bidi w:val="0"/>
        <w:jc w:val="start"/>
        <w:rPr/>
      </w:pPr>
      <w:r>
        <w:rPr/>
        <w:t>1. The Discovery Problem</w:t>
      </w:r>
    </w:p>
    <w:p>
      <w:pPr>
        <w:pStyle w:val="BodyText"/>
        <w:bidi w:val="0"/>
        <w:jc w:val="start"/>
        <w:rPr/>
      </w:pPr>
      <w:r>
        <w:rPr/>
        <w:t xml:space="preserve">If an analyst enters a brand such as </w:t>
      </w:r>
      <w:r>
        <w:rPr>
          <w:rStyle w:val="SourceText"/>
        </w:rPr>
        <w:t>ExampleBet</w:t>
      </w:r>
      <w:r>
        <w:rPr/>
        <w:t>, the system may not initially know:</w:t>
      </w:r>
    </w:p>
    <w:p>
      <w:pPr>
        <w:pStyle w:val="BodyText"/>
        <w:numPr>
          <w:ilvl w:val="0"/>
          <w:numId w:val="1"/>
        </w:numPr>
        <w:tabs>
          <w:tab w:val="clear" w:pos="1134"/>
          <w:tab w:val="left" w:pos="709" w:leader="none"/>
        </w:tabs>
        <w:bidi w:val="0"/>
        <w:spacing w:before="0" w:after="0"/>
        <w:ind w:hanging="283" w:start="709"/>
        <w:jc w:val="start"/>
        <w:rPr/>
      </w:pPr>
      <w:r>
        <w:rPr/>
        <w:t xml:space="preserve">The official domain </w:t>
      </w:r>
    </w:p>
    <w:p>
      <w:pPr>
        <w:pStyle w:val="BodyText"/>
        <w:numPr>
          <w:ilvl w:val="0"/>
          <w:numId w:val="1"/>
        </w:numPr>
        <w:tabs>
          <w:tab w:val="clear" w:pos="1134"/>
          <w:tab w:val="left" w:pos="709" w:leader="none"/>
        </w:tabs>
        <w:bidi w:val="0"/>
        <w:spacing w:before="0" w:after="0"/>
        <w:ind w:hanging="283" w:start="709"/>
        <w:jc w:val="start"/>
        <w:rPr/>
      </w:pPr>
      <w:r>
        <w:rPr/>
        <w:t xml:space="preserve">Regional, related, or mirror domains </w:t>
      </w:r>
    </w:p>
    <w:p>
      <w:pPr>
        <w:pStyle w:val="BodyText"/>
        <w:numPr>
          <w:ilvl w:val="0"/>
          <w:numId w:val="1"/>
        </w:numPr>
        <w:tabs>
          <w:tab w:val="clear" w:pos="1134"/>
          <w:tab w:val="left" w:pos="709" w:leader="none"/>
        </w:tabs>
        <w:bidi w:val="0"/>
        <w:spacing w:before="0" w:after="0"/>
        <w:ind w:hanging="283" w:start="709"/>
        <w:jc w:val="start"/>
        <w:rPr/>
      </w:pPr>
      <w:r>
        <w:rPr/>
        <w:t xml:space="preserve">Login, registration, wallet, or payment pages </w:t>
      </w:r>
    </w:p>
    <w:p>
      <w:pPr>
        <w:pStyle w:val="BodyText"/>
        <w:numPr>
          <w:ilvl w:val="0"/>
          <w:numId w:val="1"/>
        </w:numPr>
        <w:tabs>
          <w:tab w:val="clear" w:pos="1134"/>
          <w:tab w:val="left" w:pos="709" w:leader="none"/>
        </w:tabs>
        <w:bidi w:val="0"/>
        <w:spacing w:before="0" w:after="0"/>
        <w:ind w:hanging="283" w:start="709"/>
        <w:jc w:val="start"/>
        <w:rPr/>
      </w:pPr>
      <w:r>
        <w:rPr/>
        <w:t xml:space="preserve">Public reports, complaints, or legal references </w:t>
      </w:r>
    </w:p>
    <w:p>
      <w:pPr>
        <w:pStyle w:val="BodyText"/>
        <w:numPr>
          <w:ilvl w:val="0"/>
          <w:numId w:val="1"/>
        </w:numPr>
        <w:tabs>
          <w:tab w:val="clear" w:pos="1134"/>
          <w:tab w:val="left" w:pos="709" w:leader="none"/>
        </w:tabs>
        <w:bidi w:val="0"/>
        <w:spacing w:before="0" w:after="0"/>
        <w:ind w:hanging="283" w:start="709"/>
        <w:jc w:val="start"/>
        <w:rPr/>
      </w:pPr>
      <w:r>
        <w:rPr/>
        <w:t xml:space="preserve">Documents mentioning the brand </w:t>
      </w:r>
    </w:p>
    <w:p>
      <w:pPr>
        <w:pStyle w:val="BodyText"/>
        <w:numPr>
          <w:ilvl w:val="0"/>
          <w:numId w:val="1"/>
        </w:numPr>
        <w:tabs>
          <w:tab w:val="clear" w:pos="1134"/>
          <w:tab w:val="left" w:pos="709" w:leader="none"/>
        </w:tabs>
        <w:bidi w:val="0"/>
        <w:ind w:hanging="283" w:start="709"/>
        <w:jc w:val="start"/>
        <w:rPr/>
      </w:pPr>
      <w:r>
        <w:rPr/>
        <w:t xml:space="preserve">Official or related social-media profiles </w:t>
      </w:r>
    </w:p>
    <w:p>
      <w:pPr>
        <w:pStyle w:val="BodyText"/>
        <w:bidi w:val="0"/>
        <w:jc w:val="start"/>
        <w:rPr/>
      </w:pPr>
      <w:r>
        <w:rPr/>
        <w:t>Search providers supply candidate sources that can be validated by later pipeline stages.</w:t>
      </w:r>
    </w:p>
    <w:p>
      <w:pPr>
        <w:pStyle w:val="PreformattedText"/>
        <w:bidi w:val="0"/>
        <w:jc w:val="start"/>
        <w:rPr/>
      </w:pPr>
      <w:r>
        <w:rPr/>
        <w:t>Brand, domain, or URL</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Generated OSINT queries</w:t>
      </w:r>
    </w:p>
    <w:p>
      <w:pPr>
        <w:pStyle w:val="PreformattedText"/>
        <w:bidi w:val="0"/>
        <w:jc w:val="start"/>
        <w:rPr/>
      </w:pPr>
      <w:r>
        <w:rPr/>
        <w:t xml:space="preserve">          </w:t>
      </w:r>
      <w:r>
        <w:rPr/>
        <w:t>|</w:t>
      </w:r>
    </w:p>
    <w:p>
      <w:pPr>
        <w:pStyle w:val="PreformattedText"/>
        <w:bidi w:val="0"/>
        <w:jc w:val="start"/>
        <w:rPr/>
      </w:pPr>
      <w:r>
        <w:rPr/>
        <w:t xml:space="preserve">   </w:t>
      </w:r>
      <w:r>
        <w:rPr/>
        <w:t>+------+------+------+------+</w:t>
      </w:r>
    </w:p>
    <w:p>
      <w:pPr>
        <w:pStyle w:val="PreformattedText"/>
        <w:bidi w:val="0"/>
        <w:jc w:val="start"/>
        <w:rPr/>
      </w:pPr>
      <w:r>
        <w:rPr/>
        <w:t xml:space="preserve">   </w:t>
      </w:r>
      <w:r>
        <w:rPr/>
        <w:t>|      |      |      |      |</w:t>
      </w:r>
    </w:p>
    <w:p>
      <w:pPr>
        <w:pStyle w:val="PreformattedText"/>
        <w:bidi w:val="0"/>
        <w:jc w:val="start"/>
        <w:rPr/>
      </w:pPr>
      <w:r>
        <w:rPr/>
        <w:t xml:space="preserve"> </w:t>
      </w:r>
      <w:r>
        <w:rPr/>
        <w:t>Google  Bing   DDG   Brave  Other sources</w:t>
      </w:r>
    </w:p>
    <w:p>
      <w:pPr>
        <w:pStyle w:val="PreformattedText"/>
        <w:bidi w:val="0"/>
        <w:jc w:val="start"/>
        <w:rPr/>
      </w:pPr>
      <w:r>
        <w:rPr/>
        <w:t xml:space="preserve">   </w:t>
      </w:r>
      <w:r>
        <w:rPr/>
        <w:t>|      |      |      |      |</w:t>
      </w:r>
    </w:p>
    <w:p>
      <w:pPr>
        <w:pStyle w:val="PreformattedText"/>
        <w:bidi w:val="0"/>
        <w:jc w:val="start"/>
        <w:rPr/>
      </w:pPr>
      <w:r>
        <w:rPr/>
        <w:t xml:space="preserve">   </w:t>
      </w:r>
      <w:r>
        <w:rPr/>
        <w:t>+------+------+------+------+</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Candidate URLs and domains</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Relevance and safety validation</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spacing w:before="0" w:after="283"/>
        <w:jc w:val="start"/>
        <w:rPr/>
      </w:pPr>
      <w:r>
        <w:rPr/>
        <w:t>Public-page evidence collection</w:t>
      </w:r>
    </w:p>
    <w:p>
      <w:pPr>
        <w:pStyle w:val="Heading2"/>
        <w:bidi w:val="0"/>
        <w:jc w:val="start"/>
        <w:rPr/>
      </w:pPr>
      <w:r>
        <w:rPr/>
        <w:t>2. Google</w:t>
      </w:r>
    </w:p>
    <w:p>
      <w:pPr>
        <w:pStyle w:val="BodyText"/>
        <w:bidi w:val="0"/>
        <w:jc w:val="start"/>
        <w:rPr/>
      </w:pPr>
      <w:r>
        <w:rPr/>
        <w:t>Google is useful for discovering official domains, indexed documents, social profiles, login pages, payment pages, and target-specific references.</w:t>
      </w:r>
    </w:p>
    <w:p>
      <w:pPr>
        <w:pStyle w:val="BodyText"/>
        <w:bidi w:val="0"/>
        <w:jc w:val="start"/>
        <w:rPr/>
      </w:pPr>
      <w:r>
        <w:rPr/>
        <w:t>Example queries:</w:t>
      </w:r>
    </w:p>
    <w:p>
      <w:pPr>
        <w:pStyle w:val="PreformattedText"/>
        <w:bidi w:val="0"/>
        <w:jc w:val="start"/>
        <w:rPr/>
      </w:pPr>
      <w:r>
        <w:rPr/>
        <w:t>"ExampleBet" official</w:t>
      </w:r>
    </w:p>
    <w:p>
      <w:pPr>
        <w:pStyle w:val="PreformattedText"/>
        <w:bidi w:val="0"/>
        <w:jc w:val="start"/>
        <w:rPr/>
      </w:pPr>
      <w:r>
        <w:rPr/>
        <w:t>site:examplebet.com payment</w:t>
      </w:r>
    </w:p>
    <w:p>
      <w:pPr>
        <w:pStyle w:val="PreformattedText"/>
        <w:bidi w:val="0"/>
        <w:jc w:val="start"/>
        <w:rPr/>
      </w:pPr>
      <w:r>
        <w:rPr/>
        <w:t>"ExampleBet" filetype:pdf</w:t>
      </w:r>
    </w:p>
    <w:p>
      <w:pPr>
        <w:pStyle w:val="PreformattedText"/>
        <w:bidi w:val="0"/>
        <w:spacing w:before="0" w:after="283"/>
        <w:jc w:val="start"/>
        <w:rPr/>
      </w:pPr>
      <w:r>
        <w:rPr/>
        <w:t>"ExampleBet" Telegram</w:t>
      </w:r>
    </w:p>
    <w:p>
      <w:pPr>
        <w:pStyle w:val="BodyText"/>
        <w:bidi w:val="0"/>
        <w:jc w:val="start"/>
        <w:rPr/>
      </w:pPr>
      <w:r>
        <w:rPr/>
        <w:t>The project can use the official Google Custom Search JSON API when credentials are configured. Public HTML search may be used as a best-effort fallback, but it can encounter rate limits, consent pages, CAPTCHAs, or layout changes.</w:t>
      </w:r>
    </w:p>
    <w:p>
      <w:pPr>
        <w:pStyle w:val="Heading2"/>
        <w:bidi w:val="0"/>
        <w:jc w:val="start"/>
        <w:rPr/>
      </w:pPr>
      <w:r>
        <w:rPr/>
        <w:t>3. Bing</w:t>
      </w:r>
    </w:p>
    <w:p>
      <w:pPr>
        <w:pStyle w:val="BodyText"/>
        <w:bidi w:val="0"/>
        <w:jc w:val="start"/>
        <w:rPr/>
      </w:pPr>
      <w:r>
        <w:rPr/>
        <w:t>The current implementation uses Bing RSS as a keyless discovery source. Bing contributes an independent search index and may return regional, older, or alternative results that are missing from another provider.</w:t>
      </w:r>
    </w:p>
    <w:p>
      <w:pPr>
        <w:pStyle w:val="BodyText"/>
        <w:bidi w:val="0"/>
        <w:jc w:val="start"/>
        <w:rPr/>
      </w:pPr>
      <w:r>
        <w:rPr/>
        <w:t>Its main benefits are basic discovery without a configured API key and fallback availability. Its limitations include fewer results and less metadata than a full commercial search API.</w:t>
      </w:r>
    </w:p>
    <w:p>
      <w:pPr>
        <w:pStyle w:val="Heading2"/>
        <w:bidi w:val="0"/>
        <w:jc w:val="start"/>
        <w:rPr/>
      </w:pPr>
      <w:r>
        <w:rPr/>
        <w:t>4. DuckDuckGo</w:t>
      </w:r>
    </w:p>
    <w:p>
      <w:pPr>
        <w:pStyle w:val="BodyText"/>
        <w:bidi w:val="0"/>
        <w:jc w:val="start"/>
        <w:rPr/>
      </w:pPr>
      <w:r>
        <w:rPr/>
        <w:t>DuckDuckGo provides another keyless web-discovery source. It helps with fallback discovery and comparison across search providers.</w:t>
      </w:r>
    </w:p>
    <w:p>
      <w:pPr>
        <w:pStyle w:val="BodyText"/>
        <w:bidi w:val="0"/>
        <w:jc w:val="start"/>
        <w:rPr/>
      </w:pPr>
      <w:r>
        <w:rPr/>
        <w:t>The current integration processes public search results rather than relying on a guaranteed commercial API. Consequently, it can be affected by page-layout changes, automated-access restrictions, or rate limits.</w:t>
      </w:r>
    </w:p>
    <w:p>
      <w:pPr>
        <w:pStyle w:val="Heading2"/>
        <w:bidi w:val="0"/>
        <w:jc w:val="start"/>
        <w:rPr/>
      </w:pPr>
      <w:r>
        <w:rPr/>
        <w:t>5. Brave Search</w:t>
      </w:r>
    </w:p>
    <w:p>
      <w:pPr>
        <w:pStyle w:val="BodyText"/>
        <w:bidi w:val="0"/>
        <w:jc w:val="start"/>
        <w:rPr/>
      </w:pPr>
      <w:r>
        <w:rPr/>
        <w:t xml:space="preserve">Brave provides an official structured search API when </w:t>
      </w:r>
      <w:r>
        <w:rPr>
          <w:rStyle w:val="SourceText"/>
        </w:rPr>
        <w:t>BRAVE_SEARCH_API_KEY</w:t>
      </w:r>
      <w:r>
        <w:rPr/>
        <w:t xml:space="preserve"> is configured.</w:t>
      </w:r>
    </w:p>
    <w:p>
      <w:pPr>
        <w:pStyle w:val="BodyText"/>
        <w:bidi w:val="0"/>
        <w:jc w:val="start"/>
        <w:rPr/>
      </w:pPr>
      <w:r>
        <w:rPr/>
        <w:t>Its advantages include:</w:t>
      </w:r>
    </w:p>
    <w:p>
      <w:pPr>
        <w:pStyle w:val="BodyText"/>
        <w:numPr>
          <w:ilvl w:val="0"/>
          <w:numId w:val="2"/>
        </w:numPr>
        <w:tabs>
          <w:tab w:val="clear" w:pos="1134"/>
          <w:tab w:val="left" w:pos="709" w:leader="none"/>
        </w:tabs>
        <w:bidi w:val="0"/>
        <w:spacing w:before="0" w:after="0"/>
        <w:ind w:hanging="283" w:start="709"/>
        <w:jc w:val="start"/>
        <w:rPr/>
      </w:pPr>
      <w:r>
        <w:rPr/>
        <w:t xml:space="preserve">Structured titles, URLs, and snippets </w:t>
      </w:r>
    </w:p>
    <w:p>
      <w:pPr>
        <w:pStyle w:val="BodyText"/>
        <w:numPr>
          <w:ilvl w:val="0"/>
          <w:numId w:val="2"/>
        </w:numPr>
        <w:tabs>
          <w:tab w:val="clear" w:pos="1134"/>
          <w:tab w:val="left" w:pos="709" w:leader="none"/>
        </w:tabs>
        <w:bidi w:val="0"/>
        <w:spacing w:before="0" w:after="0"/>
        <w:ind w:hanging="283" w:start="709"/>
        <w:jc w:val="start"/>
        <w:rPr/>
      </w:pPr>
      <w:r>
        <w:rPr/>
        <w:t xml:space="preserve">More predictable parsing </w:t>
      </w:r>
    </w:p>
    <w:p>
      <w:pPr>
        <w:pStyle w:val="BodyText"/>
        <w:numPr>
          <w:ilvl w:val="0"/>
          <w:numId w:val="2"/>
        </w:numPr>
        <w:tabs>
          <w:tab w:val="clear" w:pos="1134"/>
          <w:tab w:val="left" w:pos="709" w:leader="none"/>
        </w:tabs>
        <w:bidi w:val="0"/>
        <w:spacing w:before="0" w:after="0"/>
        <w:ind w:hanging="283" w:start="709"/>
        <w:jc w:val="start"/>
        <w:rPr/>
      </w:pPr>
      <w:r>
        <w:rPr/>
        <w:t xml:space="preserve">Clear API errors and rate-limit handling </w:t>
      </w:r>
    </w:p>
    <w:p>
      <w:pPr>
        <w:pStyle w:val="BodyText"/>
        <w:numPr>
          <w:ilvl w:val="0"/>
          <w:numId w:val="2"/>
        </w:numPr>
        <w:tabs>
          <w:tab w:val="clear" w:pos="1134"/>
          <w:tab w:val="left" w:pos="709" w:leader="none"/>
        </w:tabs>
        <w:bidi w:val="0"/>
        <w:ind w:hanging="283" w:start="709"/>
        <w:jc w:val="start"/>
        <w:rPr/>
      </w:pPr>
      <w:r>
        <w:rPr/>
        <w:t xml:space="preserve">Greater production reliability than public HTML parsing </w:t>
      </w:r>
    </w:p>
    <w:p>
      <w:pPr>
        <w:pStyle w:val="BodyText"/>
        <w:bidi w:val="0"/>
        <w:jc w:val="start"/>
        <w:rPr/>
      </w:pPr>
      <w:r>
        <w:rPr/>
        <w:t>The trade-offs are credential management, quotas, and possible usage costs.</w:t>
      </w:r>
    </w:p>
    <w:p>
      <w:pPr>
        <w:pStyle w:val="Heading2"/>
        <w:bidi w:val="0"/>
        <w:jc w:val="start"/>
        <w:rPr/>
      </w:pPr>
      <w:r>
        <w:rPr/>
        <w:t>6. Why Multiple Providers Are Used</w:t>
      </w:r>
    </w:p>
    <w:p>
      <w:pPr>
        <w:pStyle w:val="BodyText"/>
        <w:bidi w:val="0"/>
        <w:jc w:val="start"/>
        <w:rPr/>
      </w:pPr>
      <w:r>
        <w:rPr/>
        <w:t>No provider guarantees complete coverage. A page indexed by one provider may be absent from another.</w:t>
      </w:r>
    </w:p>
    <w:tbl>
      <w:tblPr>
        <w:tblW w:w="5495" w:type="dxa"/>
        <w:jc w:val="start"/>
        <w:tblInd w:w="0" w:type="dxa"/>
        <w:tblLayout w:type="fixed"/>
        <w:tblCellMar>
          <w:top w:w="28" w:type="dxa"/>
          <w:start w:w="28" w:type="dxa"/>
          <w:bottom w:w="28" w:type="dxa"/>
          <w:end w:w="28" w:type="dxa"/>
        </w:tblCellMar>
      </w:tblPr>
      <w:tblGrid>
        <w:gridCol w:w="1096"/>
        <w:gridCol w:w="946"/>
        <w:gridCol w:w="946"/>
        <w:gridCol w:w="1516"/>
        <w:gridCol w:w="991"/>
      </w:tblGrid>
      <w:tr>
        <w:trPr/>
        <w:tc>
          <w:tcPr>
            <w:tcW w:w="1096" w:type="dxa"/>
            <w:tcBorders/>
            <w:vAlign w:val="center"/>
          </w:tcPr>
          <w:p>
            <w:pPr>
              <w:pStyle w:val="TableHeading"/>
              <w:suppressLineNumbers/>
              <w:shd w:fill="1F4E78" w:val="clear"/>
              <w:bidi w:val="0"/>
              <w:spacing w:before="0" w:after="283"/>
              <w:jc w:val="start"/>
              <w:rPr/>
            </w:pPr>
            <w:r>
              <w:rPr/>
              <w:t>Possible result</w:t>
            </w:r>
          </w:p>
        </w:tc>
        <w:tc>
          <w:tcPr>
            <w:tcW w:w="946" w:type="dxa"/>
            <w:tcBorders/>
            <w:vAlign w:val="center"/>
          </w:tcPr>
          <w:p>
            <w:pPr>
              <w:pStyle w:val="TableHeading"/>
              <w:suppressLineNumbers/>
              <w:shd w:fill="1F4E78" w:val="clear"/>
              <w:bidi w:val="0"/>
              <w:spacing w:before="0" w:after="283"/>
              <w:jc w:val="start"/>
              <w:rPr/>
            </w:pPr>
            <w:r>
              <w:rPr/>
              <w:t>Google</w:t>
            </w:r>
          </w:p>
        </w:tc>
        <w:tc>
          <w:tcPr>
            <w:tcW w:w="946" w:type="dxa"/>
            <w:tcBorders/>
            <w:vAlign w:val="center"/>
          </w:tcPr>
          <w:p>
            <w:pPr>
              <w:pStyle w:val="TableHeading"/>
              <w:suppressLineNumbers/>
              <w:shd w:fill="1F4E78" w:val="clear"/>
              <w:bidi w:val="0"/>
              <w:spacing w:before="0" w:after="283"/>
              <w:jc w:val="start"/>
              <w:rPr/>
            </w:pPr>
            <w:r>
              <w:rPr/>
              <w:t>Bing</w:t>
            </w:r>
          </w:p>
        </w:tc>
        <w:tc>
          <w:tcPr>
            <w:tcW w:w="1516" w:type="dxa"/>
            <w:tcBorders/>
            <w:vAlign w:val="center"/>
          </w:tcPr>
          <w:p>
            <w:pPr>
              <w:pStyle w:val="TableHeading"/>
              <w:suppressLineNumbers/>
              <w:shd w:fill="1F4E78" w:val="clear"/>
              <w:bidi w:val="0"/>
              <w:spacing w:before="0" w:after="283"/>
              <w:jc w:val="start"/>
              <w:rPr/>
            </w:pPr>
            <w:r>
              <w:rPr/>
              <w:t>DuckDuckGo</w:t>
            </w:r>
          </w:p>
        </w:tc>
        <w:tc>
          <w:tcPr>
            <w:tcW w:w="991" w:type="dxa"/>
            <w:tcBorders/>
            <w:vAlign w:val="center"/>
          </w:tcPr>
          <w:p>
            <w:pPr>
              <w:pStyle w:val="TableHeading"/>
              <w:suppressLineNumbers/>
              <w:shd w:fill="1F4E78" w:val="clear"/>
              <w:bidi w:val="0"/>
              <w:spacing w:before="0" w:after="283"/>
              <w:jc w:val="start"/>
              <w:rPr/>
            </w:pPr>
            <w:r>
              <w:rPr/>
              <w:t>Brave</w:t>
            </w:r>
          </w:p>
        </w:tc>
      </w:tr>
      <w:tr>
        <w:trPr/>
        <w:tc>
          <w:tcPr>
            <w:tcW w:w="1096" w:type="dxa"/>
            <w:tcBorders/>
            <w:vAlign w:val="center"/>
          </w:tcPr>
          <w:p>
            <w:pPr>
              <w:pStyle w:val="TableContents"/>
              <w:bidi w:val="0"/>
              <w:spacing w:before="0" w:after="283"/>
              <w:jc w:val="start"/>
              <w:rPr/>
            </w:pPr>
            <w:r>
              <w:rPr/>
              <w:t>Official domain</w:t>
            </w:r>
          </w:p>
        </w:tc>
        <w:tc>
          <w:tcPr>
            <w:tcW w:w="946" w:type="dxa"/>
            <w:tcBorders/>
            <w:vAlign w:val="center"/>
          </w:tcPr>
          <w:p>
            <w:pPr>
              <w:pStyle w:val="TableContents"/>
              <w:bidi w:val="0"/>
              <w:spacing w:before="0" w:after="283"/>
              <w:jc w:val="start"/>
              <w:rPr/>
            </w:pPr>
            <w:r>
              <w:rPr/>
              <w:t>Likely</w:t>
            </w:r>
          </w:p>
        </w:tc>
        <w:tc>
          <w:tcPr>
            <w:tcW w:w="946" w:type="dxa"/>
            <w:tcBorders/>
            <w:vAlign w:val="center"/>
          </w:tcPr>
          <w:p>
            <w:pPr>
              <w:pStyle w:val="TableContents"/>
              <w:bidi w:val="0"/>
              <w:spacing w:before="0" w:after="283"/>
              <w:jc w:val="start"/>
              <w:rPr/>
            </w:pPr>
            <w:r>
              <w:rPr/>
              <w:t>Likely</w:t>
            </w:r>
          </w:p>
        </w:tc>
        <w:tc>
          <w:tcPr>
            <w:tcW w:w="1516" w:type="dxa"/>
            <w:tcBorders/>
            <w:vAlign w:val="center"/>
          </w:tcPr>
          <w:p>
            <w:pPr>
              <w:pStyle w:val="TableContents"/>
              <w:bidi w:val="0"/>
              <w:spacing w:before="0" w:after="283"/>
              <w:jc w:val="start"/>
              <w:rPr/>
            </w:pPr>
            <w:r>
              <w:rPr/>
              <w:t>Likely</w:t>
            </w:r>
          </w:p>
        </w:tc>
        <w:tc>
          <w:tcPr>
            <w:tcW w:w="991" w:type="dxa"/>
            <w:tcBorders/>
            <w:vAlign w:val="center"/>
          </w:tcPr>
          <w:p>
            <w:pPr>
              <w:pStyle w:val="TableContents"/>
              <w:bidi w:val="0"/>
              <w:spacing w:before="0" w:after="283"/>
              <w:jc w:val="start"/>
              <w:rPr/>
            </w:pPr>
            <w:r>
              <w:rPr/>
              <w:t>Likely</w:t>
            </w:r>
          </w:p>
        </w:tc>
      </w:tr>
      <w:tr>
        <w:trPr/>
        <w:tc>
          <w:tcPr>
            <w:tcW w:w="1096" w:type="dxa"/>
            <w:tcBorders/>
            <w:vAlign w:val="center"/>
          </w:tcPr>
          <w:p>
            <w:pPr>
              <w:pStyle w:val="TableContents"/>
              <w:bidi w:val="0"/>
              <w:spacing w:before="0" w:after="283"/>
              <w:jc w:val="start"/>
              <w:rPr/>
            </w:pPr>
            <w:r>
              <w:rPr/>
              <w:t>Old document</w:t>
            </w:r>
          </w:p>
        </w:tc>
        <w:tc>
          <w:tcPr>
            <w:tcW w:w="946" w:type="dxa"/>
            <w:tcBorders/>
            <w:vAlign w:val="center"/>
          </w:tcPr>
          <w:p>
            <w:pPr>
              <w:pStyle w:val="TableContents"/>
              <w:bidi w:val="0"/>
              <w:spacing w:before="0" w:after="283"/>
              <w:jc w:val="start"/>
              <w:rPr/>
            </w:pPr>
            <w:r>
              <w:rPr/>
              <w:t>Possible</w:t>
            </w:r>
          </w:p>
        </w:tc>
        <w:tc>
          <w:tcPr>
            <w:tcW w:w="946" w:type="dxa"/>
            <w:tcBorders/>
            <w:vAlign w:val="center"/>
          </w:tcPr>
          <w:p>
            <w:pPr>
              <w:pStyle w:val="TableContents"/>
              <w:bidi w:val="0"/>
              <w:spacing w:before="0" w:after="283"/>
              <w:jc w:val="start"/>
              <w:rPr/>
            </w:pPr>
            <w:r>
              <w:rPr/>
              <w:t>Possible</w:t>
            </w:r>
          </w:p>
        </w:tc>
        <w:tc>
          <w:tcPr>
            <w:tcW w:w="1516" w:type="dxa"/>
            <w:tcBorders/>
            <w:vAlign w:val="center"/>
          </w:tcPr>
          <w:p>
            <w:pPr>
              <w:pStyle w:val="TableContents"/>
              <w:bidi w:val="0"/>
              <w:spacing w:before="0" w:after="283"/>
              <w:jc w:val="start"/>
              <w:rPr/>
            </w:pPr>
            <w:r>
              <w:rPr/>
              <w:t>Possible</w:t>
            </w:r>
          </w:p>
        </w:tc>
        <w:tc>
          <w:tcPr>
            <w:tcW w:w="991" w:type="dxa"/>
            <w:tcBorders/>
            <w:vAlign w:val="center"/>
          </w:tcPr>
          <w:p>
            <w:pPr>
              <w:pStyle w:val="TableContents"/>
              <w:bidi w:val="0"/>
              <w:spacing w:before="0" w:after="283"/>
              <w:jc w:val="start"/>
              <w:rPr/>
            </w:pPr>
            <w:r>
              <w:rPr/>
              <w:t>Possible</w:t>
            </w:r>
          </w:p>
        </w:tc>
      </w:tr>
      <w:tr>
        <w:trPr/>
        <w:tc>
          <w:tcPr>
            <w:tcW w:w="1096" w:type="dxa"/>
            <w:tcBorders/>
            <w:vAlign w:val="center"/>
          </w:tcPr>
          <w:p>
            <w:pPr>
              <w:pStyle w:val="TableContents"/>
              <w:bidi w:val="0"/>
              <w:spacing w:before="0" w:after="283"/>
              <w:jc w:val="start"/>
              <w:rPr/>
            </w:pPr>
            <w:r>
              <w:rPr/>
              <w:t>Regional mirror</w:t>
            </w:r>
          </w:p>
        </w:tc>
        <w:tc>
          <w:tcPr>
            <w:tcW w:w="946" w:type="dxa"/>
            <w:tcBorders/>
            <w:vAlign w:val="center"/>
          </w:tcPr>
          <w:p>
            <w:pPr>
              <w:pStyle w:val="TableContents"/>
              <w:bidi w:val="0"/>
              <w:spacing w:before="0" w:after="283"/>
              <w:jc w:val="start"/>
              <w:rPr/>
            </w:pPr>
            <w:r>
              <w:rPr/>
              <w:t>May find</w:t>
            </w:r>
          </w:p>
        </w:tc>
        <w:tc>
          <w:tcPr>
            <w:tcW w:w="946" w:type="dxa"/>
            <w:tcBorders/>
            <w:vAlign w:val="center"/>
          </w:tcPr>
          <w:p>
            <w:pPr>
              <w:pStyle w:val="TableContents"/>
              <w:bidi w:val="0"/>
              <w:spacing w:before="0" w:after="283"/>
              <w:jc w:val="start"/>
              <w:rPr/>
            </w:pPr>
            <w:r>
              <w:rPr/>
              <w:t>May find</w:t>
            </w:r>
          </w:p>
        </w:tc>
        <w:tc>
          <w:tcPr>
            <w:tcW w:w="1516" w:type="dxa"/>
            <w:tcBorders/>
            <w:vAlign w:val="center"/>
          </w:tcPr>
          <w:p>
            <w:pPr>
              <w:pStyle w:val="TableContents"/>
              <w:bidi w:val="0"/>
              <w:spacing w:before="0" w:after="283"/>
              <w:jc w:val="start"/>
              <w:rPr/>
            </w:pPr>
            <w:r>
              <w:rPr/>
              <w:t>May find</w:t>
            </w:r>
          </w:p>
        </w:tc>
        <w:tc>
          <w:tcPr>
            <w:tcW w:w="991" w:type="dxa"/>
            <w:tcBorders/>
            <w:vAlign w:val="center"/>
          </w:tcPr>
          <w:p>
            <w:pPr>
              <w:pStyle w:val="TableContents"/>
              <w:bidi w:val="0"/>
              <w:spacing w:before="0" w:after="283"/>
              <w:jc w:val="start"/>
              <w:rPr/>
            </w:pPr>
            <w:r>
              <w:rPr/>
              <w:t>May find</w:t>
            </w:r>
          </w:p>
        </w:tc>
      </w:tr>
      <w:tr>
        <w:trPr/>
        <w:tc>
          <w:tcPr>
            <w:tcW w:w="1096" w:type="dxa"/>
            <w:tcBorders/>
            <w:vAlign w:val="center"/>
          </w:tcPr>
          <w:p>
            <w:pPr>
              <w:pStyle w:val="TableContents"/>
              <w:bidi w:val="0"/>
              <w:spacing w:before="0" w:after="283"/>
              <w:jc w:val="start"/>
              <w:rPr/>
            </w:pPr>
            <w:r>
              <w:rPr/>
              <w:t>Social profile</w:t>
            </w:r>
          </w:p>
        </w:tc>
        <w:tc>
          <w:tcPr>
            <w:tcW w:w="946" w:type="dxa"/>
            <w:tcBorders/>
            <w:vAlign w:val="center"/>
          </w:tcPr>
          <w:p>
            <w:pPr>
              <w:pStyle w:val="TableContents"/>
              <w:bidi w:val="0"/>
              <w:spacing w:before="0" w:after="283"/>
              <w:jc w:val="start"/>
              <w:rPr/>
            </w:pPr>
            <w:r>
              <w:rPr/>
              <w:t>May find</w:t>
            </w:r>
          </w:p>
        </w:tc>
        <w:tc>
          <w:tcPr>
            <w:tcW w:w="946" w:type="dxa"/>
            <w:tcBorders/>
            <w:vAlign w:val="center"/>
          </w:tcPr>
          <w:p>
            <w:pPr>
              <w:pStyle w:val="TableContents"/>
              <w:bidi w:val="0"/>
              <w:spacing w:before="0" w:after="283"/>
              <w:jc w:val="start"/>
              <w:rPr/>
            </w:pPr>
            <w:r>
              <w:rPr/>
              <w:t>May find</w:t>
            </w:r>
          </w:p>
        </w:tc>
        <w:tc>
          <w:tcPr>
            <w:tcW w:w="1516" w:type="dxa"/>
            <w:tcBorders/>
            <w:vAlign w:val="center"/>
          </w:tcPr>
          <w:p>
            <w:pPr>
              <w:pStyle w:val="TableContents"/>
              <w:bidi w:val="0"/>
              <w:spacing w:before="0" w:after="283"/>
              <w:jc w:val="start"/>
              <w:rPr/>
            </w:pPr>
            <w:r>
              <w:rPr/>
              <w:t>May find</w:t>
            </w:r>
          </w:p>
        </w:tc>
        <w:tc>
          <w:tcPr>
            <w:tcW w:w="991" w:type="dxa"/>
            <w:tcBorders/>
            <w:vAlign w:val="center"/>
          </w:tcPr>
          <w:p>
            <w:pPr>
              <w:pStyle w:val="TableContents"/>
              <w:bidi w:val="0"/>
              <w:spacing w:before="0" w:after="283"/>
              <w:jc w:val="start"/>
              <w:rPr/>
            </w:pPr>
            <w:r>
              <w:rPr/>
              <w:t>May find</w:t>
            </w:r>
          </w:p>
        </w:tc>
      </w:tr>
    </w:tbl>
    <w:p>
      <w:pPr>
        <w:pStyle w:val="BodyText"/>
        <w:bidi w:val="0"/>
        <w:jc w:val="start"/>
        <w:rPr/>
      </w:pPr>
      <w:r>
        <w:rPr/>
        <w:t>Combining providers improves:</w:t>
      </w:r>
    </w:p>
    <w:p>
      <w:pPr>
        <w:pStyle w:val="BodyText"/>
        <w:numPr>
          <w:ilvl w:val="0"/>
          <w:numId w:val="3"/>
        </w:numPr>
        <w:tabs>
          <w:tab w:val="clear" w:pos="1134"/>
          <w:tab w:val="left" w:pos="709" w:leader="none"/>
        </w:tabs>
        <w:bidi w:val="0"/>
        <w:spacing w:before="0" w:after="0"/>
        <w:ind w:hanging="283" w:start="709"/>
        <w:jc w:val="start"/>
        <w:rPr/>
      </w:pPr>
      <w:r>
        <w:rPr>
          <w:rStyle w:val="Strong"/>
        </w:rPr>
        <w:t>Coverage:</w:t>
      </w:r>
      <w:r>
        <w:rPr/>
        <w:t xml:space="preserve"> more candidate URLs and domains </w:t>
      </w:r>
    </w:p>
    <w:p>
      <w:pPr>
        <w:pStyle w:val="BodyText"/>
        <w:numPr>
          <w:ilvl w:val="0"/>
          <w:numId w:val="3"/>
        </w:numPr>
        <w:tabs>
          <w:tab w:val="clear" w:pos="1134"/>
          <w:tab w:val="left" w:pos="709" w:leader="none"/>
        </w:tabs>
        <w:bidi w:val="0"/>
        <w:spacing w:before="0" w:after="0"/>
        <w:ind w:hanging="283" w:start="709"/>
        <w:jc w:val="start"/>
        <w:rPr/>
      </w:pPr>
      <w:r>
        <w:rPr>
          <w:rStyle w:val="Strong"/>
        </w:rPr>
        <w:t>Resilience:</w:t>
      </w:r>
      <w:r>
        <w:rPr/>
        <w:t xml:space="preserve"> investigation can continue when one provider fails </w:t>
      </w:r>
    </w:p>
    <w:p>
      <w:pPr>
        <w:pStyle w:val="BodyText"/>
        <w:numPr>
          <w:ilvl w:val="0"/>
          <w:numId w:val="3"/>
        </w:numPr>
        <w:tabs>
          <w:tab w:val="clear" w:pos="1134"/>
          <w:tab w:val="left" w:pos="709" w:leader="none"/>
        </w:tabs>
        <w:bidi w:val="0"/>
        <w:spacing w:before="0" w:after="0"/>
        <w:ind w:hanging="283" w:start="709"/>
        <w:jc w:val="start"/>
        <w:rPr/>
      </w:pPr>
      <w:r>
        <w:rPr>
          <w:rStyle w:val="Strong"/>
        </w:rPr>
        <w:t>Cross-validation:</w:t>
      </w:r>
      <w:r>
        <w:rPr/>
        <w:t xml:space="preserve"> repeated independent appearances can increase resolution confidence </w:t>
      </w:r>
    </w:p>
    <w:p>
      <w:pPr>
        <w:pStyle w:val="BodyText"/>
        <w:numPr>
          <w:ilvl w:val="0"/>
          <w:numId w:val="3"/>
        </w:numPr>
        <w:tabs>
          <w:tab w:val="clear" w:pos="1134"/>
          <w:tab w:val="left" w:pos="709" w:leader="none"/>
        </w:tabs>
        <w:bidi w:val="0"/>
        <w:spacing w:before="0" w:after="0"/>
        <w:ind w:hanging="283" w:start="709"/>
        <w:jc w:val="start"/>
        <w:rPr/>
      </w:pPr>
      <w:r>
        <w:rPr>
          <w:rStyle w:val="Strong"/>
        </w:rPr>
        <w:t>Regional discovery:</w:t>
      </w:r>
      <w:r>
        <w:rPr/>
        <w:t xml:space="preserve"> providers can differ in geographic indexing </w:t>
      </w:r>
    </w:p>
    <w:p>
      <w:pPr>
        <w:pStyle w:val="BodyText"/>
        <w:numPr>
          <w:ilvl w:val="0"/>
          <w:numId w:val="3"/>
        </w:numPr>
        <w:tabs>
          <w:tab w:val="clear" w:pos="1134"/>
          <w:tab w:val="left" w:pos="709" w:leader="none"/>
        </w:tabs>
        <w:bidi w:val="0"/>
        <w:ind w:hanging="283" w:start="709"/>
        <w:jc w:val="start"/>
        <w:rPr/>
      </w:pPr>
      <w:r>
        <w:rPr>
          <w:rStyle w:val="Strong"/>
        </w:rPr>
        <w:t>Historical discovery:</w:t>
      </w:r>
      <w:r>
        <w:rPr/>
        <w:t xml:space="preserve"> older sources may remain in only one index </w:t>
      </w:r>
    </w:p>
    <w:p>
      <w:pPr>
        <w:pStyle w:val="Heading2"/>
        <w:bidi w:val="0"/>
        <w:jc w:val="start"/>
        <w:rPr/>
      </w:pPr>
      <w:r>
        <w:rPr/>
        <w:t>7. Other Public-Intelligence Providers</w:t>
      </w:r>
    </w:p>
    <w:p>
      <w:pPr>
        <w:pStyle w:val="Heading3"/>
        <w:bidi w:val="0"/>
        <w:jc w:val="start"/>
        <w:rPr/>
      </w:pPr>
      <w:r>
        <w:rPr/>
        <w:t>Certificate Transparency</w:t>
      </w:r>
    </w:p>
    <w:p>
      <w:pPr>
        <w:pStyle w:val="BodyText"/>
        <w:bidi w:val="0"/>
        <w:jc w:val="start"/>
        <w:rPr/>
      </w:pPr>
      <w:r>
        <w:rPr/>
        <w:t xml:space="preserve">Certificate Transparency sources such as </w:t>
      </w:r>
      <w:r>
        <w:rPr>
          <w:rStyle w:val="SourceText"/>
        </w:rPr>
        <w:t>crt.sh</w:t>
      </w:r>
      <w:r>
        <w:rPr/>
        <w:t xml:space="preserve"> can reveal certificate hostnames and subdomains, including </w:t>
      </w:r>
      <w:r>
        <w:rPr>
          <w:rStyle w:val="SourceText"/>
        </w:rPr>
        <w:t>login.example.com</w:t>
      </w:r>
      <w:r>
        <w:rPr/>
        <w:t xml:space="preserve">, </w:t>
      </w:r>
      <w:r>
        <w:rPr>
          <w:rStyle w:val="SourceText"/>
        </w:rPr>
        <w:t>payments.example.com</w:t>
      </w:r>
      <w:r>
        <w:rPr/>
        <w:t xml:space="preserve">, or </w:t>
      </w:r>
      <w:r>
        <w:rPr>
          <w:rStyle w:val="SourceText"/>
        </w:rPr>
        <w:t>api.example.com</w:t>
      </w:r>
      <w:r>
        <w:rPr/>
        <w:t>. These results are leads and do not prove ownership or malicious activity.</w:t>
      </w:r>
    </w:p>
    <w:p>
      <w:pPr>
        <w:pStyle w:val="Heading3"/>
        <w:bidi w:val="0"/>
        <w:jc w:val="start"/>
        <w:rPr/>
      </w:pPr>
      <w:r>
        <w:rPr/>
        <w:t>Wayback Machine</w:t>
      </w:r>
    </w:p>
    <w:p>
      <w:pPr>
        <w:pStyle w:val="BodyText"/>
        <w:bidi w:val="0"/>
        <w:jc w:val="start"/>
        <w:rPr/>
      </w:pPr>
      <w:r>
        <w:rPr/>
        <w:t>The Wayback CDX service can discover historical URLs, removed pages, and old login or payment paths. Every historical URL still requires relevance and safety validation.</w:t>
      </w:r>
    </w:p>
    <w:p>
      <w:pPr>
        <w:pStyle w:val="Heading3"/>
        <w:bidi w:val="0"/>
        <w:jc w:val="start"/>
        <w:rPr/>
      </w:pPr>
      <w:r>
        <w:rPr/>
        <w:t>DNS</w:t>
      </w:r>
    </w:p>
    <w:p>
      <w:pPr>
        <w:pStyle w:val="BodyText"/>
        <w:bidi w:val="0"/>
        <w:jc w:val="start"/>
        <w:rPr/>
      </w:pPr>
      <w:r>
        <w:rPr/>
        <w:t>DNS provides technical infrastructure information such as IP addresses, mail servers, and nameservers.</w:t>
      </w:r>
    </w:p>
    <w:p>
      <w:pPr>
        <w:pStyle w:val="Heading3"/>
        <w:bidi w:val="0"/>
        <w:jc w:val="start"/>
        <w:rPr/>
      </w:pPr>
      <w:r>
        <w:rPr/>
        <w:t>RDAP</w:t>
      </w:r>
    </w:p>
    <w:p>
      <w:pPr>
        <w:pStyle w:val="BodyText"/>
        <w:bidi w:val="0"/>
        <w:jc w:val="start"/>
        <w:rPr/>
      </w:pPr>
      <w:r>
        <w:rPr/>
        <w:t>RDAP supplies public domain-registration metadata, including registrar, registration dates, nameservers, and domain status.</w:t>
      </w:r>
    </w:p>
    <w:p>
      <w:pPr>
        <w:pStyle w:val="Heading2"/>
        <w:bidi w:val="0"/>
        <w:jc w:val="start"/>
        <w:rPr/>
      </w:pPr>
      <w:r>
        <w:rPr/>
        <w:t>8. Providers Are Optional</w:t>
      </w:r>
    </w:p>
    <w:p>
      <w:pPr>
        <w:pStyle w:val="BodyText"/>
        <w:bidi w:val="0"/>
        <w:jc w:val="start"/>
        <w:rPr/>
      </w:pPr>
      <w:r>
        <w:rPr/>
        <w:t>Not every provider must be enabled. A future framework configuration could select providers independently:</w:t>
      </w:r>
    </w:p>
    <w:p>
      <w:pPr>
        <w:pStyle w:val="PreformattedText"/>
        <w:bidi w:val="0"/>
        <w:jc w:val="start"/>
        <w:rPr/>
      </w:pPr>
      <w:r>
        <w:rPr/>
        <w:t>search_providers:</w:t>
      </w:r>
    </w:p>
    <w:p>
      <w:pPr>
        <w:pStyle w:val="PreformattedText"/>
        <w:bidi w:val="0"/>
        <w:jc w:val="start"/>
        <w:rPr/>
      </w:pPr>
      <w:r>
        <w:rPr/>
        <w:t xml:space="preserve">  </w:t>
      </w:r>
      <w:r>
        <w:rPr/>
        <w:t>google:</w:t>
      </w:r>
    </w:p>
    <w:p>
      <w:pPr>
        <w:pStyle w:val="PreformattedText"/>
        <w:bidi w:val="0"/>
        <w:jc w:val="start"/>
        <w:rPr/>
      </w:pPr>
      <w:r>
        <w:rPr/>
        <w:t xml:space="preserve">    </w:t>
      </w:r>
      <w:r>
        <w:rPr/>
        <w:t>enabled: false</w:t>
      </w:r>
    </w:p>
    <w:p>
      <w:pPr>
        <w:pStyle w:val="PreformattedText"/>
        <w:bidi w:val="0"/>
        <w:jc w:val="start"/>
        <w:rPr/>
      </w:pPr>
      <w:r>
        <w:rPr/>
        <w:t xml:space="preserve">  </w:t>
      </w:r>
      <w:r>
        <w:rPr/>
        <w:t>brave:</w:t>
      </w:r>
    </w:p>
    <w:p>
      <w:pPr>
        <w:pStyle w:val="PreformattedText"/>
        <w:bidi w:val="0"/>
        <w:jc w:val="start"/>
        <w:rPr/>
      </w:pPr>
      <w:r>
        <w:rPr/>
        <w:t xml:space="preserve">    </w:t>
      </w:r>
      <w:r>
        <w:rPr/>
        <w:t>enabled: true</w:t>
      </w:r>
    </w:p>
    <w:p>
      <w:pPr>
        <w:pStyle w:val="PreformattedText"/>
        <w:bidi w:val="0"/>
        <w:jc w:val="start"/>
        <w:rPr/>
      </w:pPr>
      <w:r>
        <w:rPr/>
        <w:t xml:space="preserve">  </w:t>
      </w:r>
      <w:r>
        <w:rPr/>
        <w:t>bing_rss:</w:t>
      </w:r>
    </w:p>
    <w:p>
      <w:pPr>
        <w:pStyle w:val="PreformattedText"/>
        <w:bidi w:val="0"/>
        <w:jc w:val="start"/>
        <w:rPr/>
      </w:pPr>
      <w:r>
        <w:rPr/>
        <w:t xml:space="preserve">    </w:t>
      </w:r>
      <w:r>
        <w:rPr/>
        <w:t>enabled: true</w:t>
      </w:r>
    </w:p>
    <w:p>
      <w:pPr>
        <w:pStyle w:val="PreformattedText"/>
        <w:bidi w:val="0"/>
        <w:jc w:val="start"/>
        <w:rPr/>
      </w:pPr>
      <w:r>
        <w:rPr/>
        <w:t xml:space="preserve">  </w:t>
      </w:r>
      <w:r>
        <w:rPr/>
        <w:t>duckduckgo:</w:t>
      </w:r>
    </w:p>
    <w:p>
      <w:pPr>
        <w:pStyle w:val="PreformattedText"/>
        <w:bidi w:val="0"/>
        <w:spacing w:before="0" w:after="283"/>
        <w:jc w:val="start"/>
        <w:rPr/>
      </w:pPr>
      <w:r>
        <w:rPr/>
        <w:t xml:space="preserve">    </w:t>
      </w:r>
      <w:r>
        <w:rPr/>
        <w:t>enabled: true</w:t>
      </w:r>
    </w:p>
    <w:p>
      <w:pPr>
        <w:pStyle w:val="BodyText"/>
        <w:bidi w:val="0"/>
        <w:jc w:val="start"/>
        <w:rPr/>
      </w:pPr>
      <w:r>
        <w:rPr/>
        <w:t>A basic keyless configuration could use:</w:t>
      </w:r>
    </w:p>
    <w:p>
      <w:pPr>
        <w:pStyle w:val="PreformattedText"/>
        <w:bidi w:val="0"/>
        <w:jc w:val="start"/>
        <w:rPr/>
      </w:pPr>
      <w:r>
        <w:rPr/>
        <w:t>DNS</w:t>
      </w:r>
    </w:p>
    <w:p>
      <w:pPr>
        <w:pStyle w:val="PreformattedText"/>
        <w:bidi w:val="0"/>
        <w:jc w:val="start"/>
        <w:rPr/>
      </w:pPr>
      <w:r>
        <w:rPr/>
        <w:t>RDAP</w:t>
      </w:r>
    </w:p>
    <w:p>
      <w:pPr>
        <w:pStyle w:val="PreformattedText"/>
        <w:bidi w:val="0"/>
        <w:jc w:val="start"/>
        <w:rPr/>
      </w:pPr>
      <w:r>
        <w:rPr/>
        <w:t>Certificate Transparency</w:t>
      </w:r>
    </w:p>
    <w:p>
      <w:pPr>
        <w:pStyle w:val="PreformattedText"/>
        <w:bidi w:val="0"/>
        <w:jc w:val="start"/>
        <w:rPr/>
      </w:pPr>
      <w:r>
        <w:rPr/>
        <w:t>Wayback</w:t>
      </w:r>
    </w:p>
    <w:p>
      <w:pPr>
        <w:pStyle w:val="PreformattedText"/>
        <w:bidi w:val="0"/>
        <w:jc w:val="start"/>
        <w:rPr/>
      </w:pPr>
      <w:r>
        <w:rPr/>
        <w:t>Bing RSS</w:t>
      </w:r>
    </w:p>
    <w:p>
      <w:pPr>
        <w:pStyle w:val="PreformattedText"/>
        <w:bidi w:val="0"/>
        <w:spacing w:before="0" w:after="283"/>
        <w:jc w:val="start"/>
        <w:rPr/>
      </w:pPr>
      <w:r>
        <w:rPr/>
        <w:t>DuckDuckGo</w:t>
      </w:r>
    </w:p>
    <w:p>
      <w:pPr>
        <w:pStyle w:val="BodyText"/>
        <w:bidi w:val="0"/>
        <w:jc w:val="start"/>
        <w:rPr/>
      </w:pPr>
      <w:r>
        <w:rPr/>
        <w:t>A more reliable production configuration could use:</w:t>
      </w:r>
    </w:p>
    <w:p>
      <w:pPr>
        <w:pStyle w:val="PreformattedText"/>
        <w:bidi w:val="0"/>
        <w:jc w:val="start"/>
        <w:rPr/>
      </w:pPr>
      <w:r>
        <w:rPr/>
        <w:t>DNS</w:t>
      </w:r>
    </w:p>
    <w:p>
      <w:pPr>
        <w:pStyle w:val="PreformattedText"/>
        <w:bidi w:val="0"/>
        <w:jc w:val="start"/>
        <w:rPr/>
      </w:pPr>
      <w:r>
        <w:rPr/>
        <w:t>RDAP</w:t>
      </w:r>
    </w:p>
    <w:p>
      <w:pPr>
        <w:pStyle w:val="PreformattedText"/>
        <w:bidi w:val="0"/>
        <w:jc w:val="start"/>
        <w:rPr/>
      </w:pPr>
      <w:r>
        <w:rPr/>
        <w:t>Certificate Transparency</w:t>
      </w:r>
    </w:p>
    <w:p>
      <w:pPr>
        <w:pStyle w:val="PreformattedText"/>
        <w:bidi w:val="0"/>
        <w:jc w:val="start"/>
        <w:rPr/>
      </w:pPr>
      <w:r>
        <w:rPr/>
        <w:t>Wayback</w:t>
      </w:r>
    </w:p>
    <w:p>
      <w:pPr>
        <w:pStyle w:val="PreformattedText"/>
        <w:bidi w:val="0"/>
        <w:jc w:val="start"/>
        <w:rPr/>
      </w:pPr>
      <w:r>
        <w:rPr/>
        <w:t>Brave Search API</w:t>
      </w:r>
    </w:p>
    <w:p>
      <w:pPr>
        <w:pStyle w:val="PreformattedText"/>
        <w:bidi w:val="0"/>
        <w:spacing w:before="0" w:after="283"/>
        <w:jc w:val="start"/>
        <w:rPr/>
      </w:pPr>
      <w:r>
        <w:rPr/>
        <w:t>Google Custom Search API</w:t>
      </w:r>
    </w:p>
    <w:p>
      <w:pPr>
        <w:pStyle w:val="Heading2"/>
        <w:bidi w:val="0"/>
        <w:jc w:val="start"/>
        <w:rPr/>
      </w:pPr>
      <w:r>
        <w:rPr/>
        <w:t>9. Search Results Are Leads, Not Evidence</w:t>
      </w:r>
    </w:p>
    <w:p>
      <w:pPr>
        <w:pStyle w:val="BodyText"/>
        <w:bidi w:val="0"/>
        <w:spacing w:before="280" w:after="280"/>
        <w:ind w:hanging="0" w:start="280" w:end="280"/>
        <w:jc w:val="start"/>
        <w:rPr>
          <w:bdr w:val="single" w:sz="30" w:space="12" w:color="BF9000"/>
          <w:shd w:fill="FFF2CC" w:val="clear"/>
        </w:rPr>
      </w:pPr>
      <w:r>
        <w:rPr>
          <w:bdr w:val="single" w:sz="30" w:space="12" w:color="BF9000"/>
          <w:shd w:fill="FFF2CC" w:val="clear"/>
        </w:rPr>
        <w:t xml:space="preserve">A search result must not automatically be treated as verified evidence. Search titles and snippets may be outdated, incomplete, misleading, or unrelated to the target. </w:t>
      </w:r>
    </w:p>
    <w:p>
      <w:pPr>
        <w:pStyle w:val="BodyText"/>
        <w:bidi w:val="0"/>
        <w:jc w:val="start"/>
        <w:rPr/>
      </w:pPr>
      <w:r>
        <w:rPr/>
        <w:t>The required validation flow is:</w:t>
      </w:r>
    </w:p>
    <w:p>
      <w:pPr>
        <w:pStyle w:val="PreformattedText"/>
        <w:bidi w:val="0"/>
        <w:jc w:val="start"/>
        <w:rPr/>
      </w:pPr>
      <w:r>
        <w:rPr/>
        <w:t>Search result</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Candidate source</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Target relevance check</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Open and validate public page</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jc w:val="start"/>
        <w:rPr/>
      </w:pPr>
      <w:r>
        <w:rPr/>
        <w:t>Capture target-specific content</w:t>
      </w:r>
    </w:p>
    <w:p>
      <w:pPr>
        <w:pStyle w:val="PreformattedText"/>
        <w:bidi w:val="0"/>
        <w:jc w:val="start"/>
        <w:rPr/>
      </w:pPr>
      <w:r>
        <w:rPr/>
        <w:t xml:space="preserve">      </w:t>
      </w:r>
      <w:r>
        <w:rPr/>
        <w:t>|</w:t>
      </w:r>
    </w:p>
    <w:p>
      <w:pPr>
        <w:pStyle w:val="PreformattedText"/>
        <w:bidi w:val="0"/>
        <w:jc w:val="start"/>
        <w:rPr/>
      </w:pPr>
      <w:r>
        <w:rPr/>
        <w:t xml:space="preserve">      </w:t>
      </w:r>
      <w:r>
        <w:rPr/>
        <w:t>v</w:t>
      </w:r>
    </w:p>
    <w:p>
      <w:pPr>
        <w:pStyle w:val="PreformattedText"/>
        <w:bidi w:val="0"/>
        <w:spacing w:before="0" w:after="283"/>
        <w:jc w:val="start"/>
        <w:rPr/>
      </w:pPr>
      <w:r>
        <w:rPr/>
        <w:t>Evidence</w:t>
      </w:r>
    </w:p>
    <w:p>
      <w:pPr>
        <w:pStyle w:val="BodyText"/>
        <w:bidi w:val="0"/>
        <w:jc w:val="start"/>
        <w:rPr/>
      </w:pPr>
      <w:r>
        <w:rPr/>
        <w:t>The system should record provider attribution, search rank, query identity, relevance decisions, page accessibility, and evidence provenance.</w:t>
      </w:r>
    </w:p>
    <w:p>
      <w:pPr>
        <w:pStyle w:val="Heading2"/>
        <w:bidi w:val="0"/>
        <w:jc w:val="start"/>
        <w:rPr/>
      </w:pPr>
      <w:r>
        <w:rPr/>
        <w:t>10. Recommended Production Policy</w:t>
      </w:r>
    </w:p>
    <w:p>
      <w:pPr>
        <w:pStyle w:val="BodyText"/>
        <w:bidi w:val="0"/>
        <w:spacing w:before="280" w:after="280"/>
        <w:ind w:hanging="0" w:start="280" w:end="280"/>
        <w:jc w:val="start"/>
        <w:rPr>
          <w:bdr w:val="single" w:sz="30" w:space="12" w:color="70AD47"/>
          <w:shd w:fill="E2F0D9" w:val="clear"/>
        </w:rPr>
      </w:pPr>
      <w:r>
        <w:rPr>
          <w:bdr w:val="single" w:sz="30" w:space="12" w:color="70AD47"/>
          <w:shd w:fill="E2F0D9" w:val="clear"/>
        </w:rPr>
        <w:t xml:space="preserve">Prefer official, documented APIs where possible. Use public HTML and keyless providers as best-effort fallback sources rather than the only production search mechanism. </w:t>
      </w:r>
    </w:p>
    <w:p>
      <w:pPr>
        <w:pStyle w:val="BodyText"/>
        <w:bidi w:val="0"/>
        <w:jc w:val="start"/>
        <w:rPr/>
      </w:pPr>
      <w:r>
        <w:rPr/>
        <w:t>Every provider integration should include:</w:t>
      </w:r>
    </w:p>
    <w:p>
      <w:pPr>
        <w:pStyle w:val="BodyText"/>
        <w:numPr>
          <w:ilvl w:val="0"/>
          <w:numId w:val="4"/>
        </w:numPr>
        <w:tabs>
          <w:tab w:val="clear" w:pos="1134"/>
          <w:tab w:val="left" w:pos="709" w:leader="none"/>
        </w:tabs>
        <w:bidi w:val="0"/>
        <w:spacing w:before="0" w:after="0"/>
        <w:ind w:hanging="283" w:start="709"/>
        <w:jc w:val="start"/>
        <w:rPr/>
      </w:pPr>
      <w:r>
        <w:rPr/>
        <w:t xml:space="preserve">Explicit connection and response timeouts </w:t>
      </w:r>
    </w:p>
    <w:p>
      <w:pPr>
        <w:pStyle w:val="BodyText"/>
        <w:numPr>
          <w:ilvl w:val="0"/>
          <w:numId w:val="4"/>
        </w:numPr>
        <w:tabs>
          <w:tab w:val="clear" w:pos="1134"/>
          <w:tab w:val="left" w:pos="709" w:leader="none"/>
        </w:tabs>
        <w:bidi w:val="0"/>
        <w:spacing w:before="0" w:after="0"/>
        <w:ind w:hanging="283" w:start="709"/>
        <w:jc w:val="start"/>
        <w:rPr/>
      </w:pPr>
      <w:r>
        <w:rPr/>
        <w:t xml:space="preserve">Per-investigation query budgets </w:t>
      </w:r>
    </w:p>
    <w:p>
      <w:pPr>
        <w:pStyle w:val="BodyText"/>
        <w:numPr>
          <w:ilvl w:val="0"/>
          <w:numId w:val="4"/>
        </w:numPr>
        <w:tabs>
          <w:tab w:val="clear" w:pos="1134"/>
          <w:tab w:val="left" w:pos="709" w:leader="none"/>
        </w:tabs>
        <w:bidi w:val="0"/>
        <w:spacing w:before="0" w:after="0"/>
        <w:ind w:hanging="283" w:start="709"/>
        <w:jc w:val="start"/>
        <w:rPr/>
      </w:pPr>
      <w:r>
        <w:rPr/>
        <w:t xml:space="preserve">Rate limiting and controlled retries </w:t>
      </w:r>
    </w:p>
    <w:p>
      <w:pPr>
        <w:pStyle w:val="BodyText"/>
        <w:numPr>
          <w:ilvl w:val="0"/>
          <w:numId w:val="4"/>
        </w:numPr>
        <w:tabs>
          <w:tab w:val="clear" w:pos="1134"/>
          <w:tab w:val="left" w:pos="709" w:leader="none"/>
        </w:tabs>
        <w:bidi w:val="0"/>
        <w:spacing w:before="0" w:after="0"/>
        <w:ind w:hanging="283" w:start="709"/>
        <w:jc w:val="start"/>
        <w:rPr/>
      </w:pPr>
      <w:r>
        <w:rPr/>
        <w:t xml:space="preserve">Result normalization and deduplication </w:t>
      </w:r>
    </w:p>
    <w:p>
      <w:pPr>
        <w:pStyle w:val="BodyText"/>
        <w:numPr>
          <w:ilvl w:val="0"/>
          <w:numId w:val="4"/>
        </w:numPr>
        <w:tabs>
          <w:tab w:val="clear" w:pos="1134"/>
          <w:tab w:val="left" w:pos="709" w:leader="none"/>
        </w:tabs>
        <w:bidi w:val="0"/>
        <w:spacing w:before="0" w:after="0"/>
        <w:ind w:hanging="283" w:start="709"/>
        <w:jc w:val="start"/>
        <w:rPr/>
      </w:pPr>
      <w:r>
        <w:rPr/>
        <w:t xml:space="preserve">Strict target-relevance filtering </w:t>
      </w:r>
    </w:p>
    <w:p>
      <w:pPr>
        <w:pStyle w:val="BodyText"/>
        <w:numPr>
          <w:ilvl w:val="0"/>
          <w:numId w:val="4"/>
        </w:numPr>
        <w:tabs>
          <w:tab w:val="clear" w:pos="1134"/>
          <w:tab w:val="left" w:pos="709" w:leader="none"/>
        </w:tabs>
        <w:bidi w:val="0"/>
        <w:spacing w:before="0" w:after="0"/>
        <w:ind w:hanging="283" w:start="709"/>
        <w:jc w:val="start"/>
        <w:rPr/>
      </w:pPr>
      <w:r>
        <w:rPr/>
        <w:t xml:space="preserve">Provider attribution and query provenance </w:t>
      </w:r>
    </w:p>
    <w:p>
      <w:pPr>
        <w:pStyle w:val="BodyText"/>
        <w:numPr>
          <w:ilvl w:val="0"/>
          <w:numId w:val="4"/>
        </w:numPr>
        <w:tabs>
          <w:tab w:val="clear" w:pos="1134"/>
          <w:tab w:val="left" w:pos="709" w:leader="none"/>
        </w:tabs>
        <w:bidi w:val="0"/>
        <w:spacing w:before="0" w:after="0"/>
        <w:ind w:hanging="283" w:start="709"/>
        <w:jc w:val="start"/>
        <w:rPr/>
      </w:pPr>
      <w:r>
        <w:rPr/>
        <w:t xml:space="preserve">Failure isolation and partial-result handling </w:t>
      </w:r>
    </w:p>
    <w:p>
      <w:pPr>
        <w:pStyle w:val="BodyText"/>
        <w:numPr>
          <w:ilvl w:val="0"/>
          <w:numId w:val="4"/>
        </w:numPr>
        <w:tabs>
          <w:tab w:val="clear" w:pos="1134"/>
          <w:tab w:val="left" w:pos="709" w:leader="none"/>
        </w:tabs>
        <w:bidi w:val="0"/>
        <w:spacing w:before="0" w:after="0"/>
        <w:ind w:hanging="283" w:start="709"/>
        <w:jc w:val="start"/>
        <w:rPr/>
      </w:pPr>
      <w:r>
        <w:rPr/>
        <w:t xml:space="preserve">Secure API-key storage </w:t>
      </w:r>
    </w:p>
    <w:p>
      <w:pPr>
        <w:pStyle w:val="BodyText"/>
        <w:numPr>
          <w:ilvl w:val="0"/>
          <w:numId w:val="4"/>
        </w:numPr>
        <w:tabs>
          <w:tab w:val="clear" w:pos="1134"/>
          <w:tab w:val="left" w:pos="709" w:leader="none"/>
        </w:tabs>
        <w:bidi w:val="0"/>
        <w:ind w:hanging="283" w:start="709"/>
        <w:jc w:val="start"/>
        <w:rPr/>
      </w:pPr>
      <w:r>
        <w:rPr/>
        <w:t xml:space="preserve">Compliance with provider terms and applicable policies </w:t>
      </w:r>
    </w:p>
    <w:p>
      <w:pPr>
        <w:pStyle w:val="Heading2"/>
        <w:bidi w:val="0"/>
        <w:jc w:val="start"/>
        <w:rPr/>
      </w:pPr>
      <w:r>
        <w:rPr/>
        <w:t>11. Conclusion</w:t>
      </w:r>
    </w:p>
    <w:p>
      <w:pPr>
        <w:pStyle w:val="BodyText"/>
        <w:bidi w:val="0"/>
        <w:jc w:val="start"/>
        <w:rPr/>
      </w:pPr>
      <w:r>
        <w:rPr/>
        <w:t>Google, Bing, DuckDuckGo, Brave, and related public-intelligence providers are used to maximize public discovery coverage and maintain availability when one source is incomplete or unavailable. They generate candidate leads. The Web Investigation Framework must validate those leads and capture target-specific source content before presenting them as evidence.</w:t>
      </w:r>
    </w:p>
    <w:p>
      <w:pPr>
        <w:pStyle w:val="BodyTextfooter-note"/>
        <w:bidi w:val="0"/>
        <w:spacing w:before="480" w:after="283"/>
        <w:jc w:val="start"/>
        <w:rPr/>
      </w:pPr>
      <w:r>
        <w:rPr/>
        <w:t>Prepared for the Web Investigation Framework project.</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Courier New">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sans-serif" w:hAnsi="Arial;sans-serif" w:eastAsia="Arial;sans-serif" w:cs="Arial;sans-serif"/>
      <w:color w:val="1F2937"/>
      <w:sz w:val="22"/>
      <w:szCs w:val="22"/>
      <w:lang w:val="en-US" w:eastAsia="zh-CN" w:bidi="hi-IN"/>
    </w:rPr>
  </w:style>
  <w:style w:type="paragraph" w:styleId="Heading1">
    <w:name w:val="Heading 1"/>
    <w:basedOn w:val="Heading"/>
    <w:next w:val="BodyText"/>
    <w:qFormat/>
    <w:pPr>
      <w:spacing w:before="240" w:after="80"/>
    </w:pPr>
    <w:rPr>
      <w:rFonts w:ascii="Noto Sans" w:hAnsi="Noto Sans"/>
      <w:b/>
      <w:bCs/>
      <w:color w:val="17365D"/>
      <w:sz w:val="48"/>
      <w:szCs w:val="48"/>
    </w:rPr>
  </w:style>
  <w:style w:type="paragraph" w:styleId="Heading2">
    <w:name w:val="Heading 2"/>
    <w:basedOn w:val="Heading"/>
    <w:next w:val="BodyText"/>
    <w:qFormat/>
    <w:pPr>
      <w:pBdr>
        <w:bottom w:val="single" w:sz="2" w:space="3" w:color="B4C6E7"/>
      </w:pBdr>
      <w:spacing w:before="400" w:after="120"/>
      <w:outlineLvl w:val="1"/>
    </w:pPr>
    <w:rPr>
      <w:rFonts w:ascii="Liberation Serif" w:hAnsi="Liberation Serif" w:eastAsia="Noto Serif CJK SC" w:cs="Noto Sans Devanagari"/>
      <w:b/>
      <w:bCs/>
      <w:color w:val="1F4E78"/>
      <w:sz w:val="32"/>
      <w:szCs w:val="32"/>
    </w:rPr>
  </w:style>
  <w:style w:type="paragraph" w:styleId="Heading3">
    <w:name w:val="Heading 3"/>
    <w:basedOn w:val="Heading"/>
    <w:next w:val="BodyText"/>
    <w:qFormat/>
    <w:pPr>
      <w:spacing w:before="280" w:after="120"/>
      <w:outlineLvl w:val="2"/>
    </w:pPr>
    <w:rPr>
      <w:rFonts w:ascii="Liberation Serif" w:hAnsi="Liberation Serif" w:eastAsia="Noto Serif CJK SC" w:cs="Noto Sans Devanagari"/>
      <w:b/>
      <w:bCs/>
      <w:color w:val="2F5597"/>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color w:val="9C2C2C"/>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10" w:color="D1D5DB"/>
        <w:left w:val="single" w:sz="2" w:space="10" w:color="D1D5DB"/>
        <w:bottom w:val="single" w:sz="2" w:space="10" w:color="D1D5DB"/>
        <w:right w:val="single" w:sz="2" w:space="10" w:color="D1D5DB"/>
      </w:pBdr>
      <w:shd w:fill="F3F4F6" w:val="clear"/>
      <w:spacing w:before="0" w:after="0"/>
    </w:pPr>
    <w:rPr>
      <w:rFonts w:ascii="Courier New;monospace" w:hAnsi="Courier New;monospace" w:eastAsia="Courier New;monospace" w:cs="Courier New;monospace"/>
      <w:sz w:val="18"/>
      <w:szCs w:val="18"/>
    </w:rPr>
  </w:style>
  <w:style w:type="paragraph" w:styleId="BodyTextsubtitle">
    <w:name w:val="Body Text.subtitle"/>
    <w:basedOn w:val="BodyText"/>
    <w:qFormat/>
    <w:pPr>
      <w:spacing w:before="0" w:after="440"/>
    </w:pPr>
    <w:rPr>
      <w:color w:val="5B6573"/>
      <w:sz w:val="24"/>
      <w:szCs w:val="24"/>
    </w:rPr>
  </w:style>
  <w:style w:type="paragraph" w:styleId="TableHeading">
    <w:name w:val="Table Heading"/>
    <w:basedOn w:val="TableContents"/>
    <w:qFormat/>
    <w:pPr>
      <w:suppressLineNumbers/>
      <w:shd w:fill="1F4E78" w:val="clear"/>
      <w:jc w:val="start"/>
    </w:pPr>
    <w:rPr>
      <w:b/>
      <w:bCs/>
      <w:color w:val="FFFFFF"/>
    </w:rPr>
  </w:style>
  <w:style w:type="paragraph" w:styleId="BodyTextfooter-note">
    <w:name w:val="Body Text.footer-note"/>
    <w:basedOn w:val="BodyText"/>
    <w:qFormat/>
    <w:pPr>
      <w:spacing w:before="480" w:after="283"/>
    </w:pPr>
    <w:rPr>
      <w:color w:val="6B7280"/>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Why Search Providers Are Needed</dc:title>
</cp:coreProperties>
</file>

<file path=docProps/custom.xml><?xml version="1.0" encoding="utf-8"?>
<Properties xmlns="http://schemas.openxmlformats.org/officeDocument/2006/custom-properties" xmlns:vt="http://schemas.openxmlformats.org/officeDocument/2006/docPropsVTypes"/>
</file>