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MEVS vs MarginEdge Latest Platform Gap Report</w:t>
      </w:r>
    </w:p>
    <w:p>
      <w:pPr>
        <w:spacing w:after="240"/>
      </w:pPr>
      <w:r>
        <w:rPr>
          <w:i/>
        </w:rPr>
        <w:t>Remaining missing modules, unfinished workflows, and improvement priorities after the latest MEVS update.</w:t>
      </w:r>
    </w:p>
    <w:p>
      <w:r>
        <w:rPr>
          <w:b/>
        </w:rPr>
        <w:t xml:space="preserve">Date: </w:t>
      </w:r>
      <w:r>
        <w:t xml:space="preserve">June 1, 2026  </w:t>
      </w:r>
      <w:r>
        <w:rPr>
          <w:b/>
        </w:rPr>
        <w:t xml:space="preserve">Sources: </w:t>
      </w:r>
      <w:r>
        <w:t>MarginEdge in-app browser inspection; MEVS local code, route, entity, and navigation review.</w:t>
      </w:r>
    </w:p>
    <w:p>
      <w:pPr>
        <w:spacing w:before="120" w:after="200"/>
        <w:ind w:left="216" w:right="216"/>
        <w:shd w:fill="F4F6F9"/>
      </w:pPr>
      <w:r>
        <w:rPr>
          <w:b/>
          <w:color w:val="1F3A5F"/>
        </w:rPr>
        <w:t xml:space="preserve">Bottom line: </w:t>
      </w:r>
      <w:r>
        <w:t>MEVS is much closer to MarginEdge than before. The newest update adds visible progress in accounting access, setup, transfers, receiving, count sheets, integrations, and performance. The biggest remaining risks are not broad module absence; they are incomplete workflows, broken or mismatched routing, placeholder screens, and missing persistence for setup operations.</w:t>
      </w:r>
    </w:p>
    <w:p>
      <w:pPr>
        <w:pStyle w:val="Heading1"/>
      </w:pPr>
      <w:r>
        <w:t>Executive Summary</w:t>
      </w:r>
    </w:p>
    <w:p>
      <w:pPr>
        <w:pStyle w:val="ListBullet"/>
      </w:pPr>
      <w:r>
        <w:t>Strongest progress: Accounting is now role-gated with org_owner, Orders exposes Transfers and Receiving, Inventory has count-sheet entities and UI, Integrations now persists records, and Performance reads POS sales data.</w:t>
      </w:r>
    </w:p>
    <w:p>
      <w:pPr>
        <w:pStyle w:val="ListBullet"/>
      </w:pPr>
      <w:r>
        <w:t>Highest-priority blockers: Restaurant Setup exists in the navigation and as a page file, but it is not registered in pages.config or moduleConfig, so the module can be unreachable or entitlement-invisible.</w:t>
      </w:r>
    </w:p>
    <w:p>
      <w:pPr>
        <w:pStyle w:val="ListBullet"/>
      </w:pPr>
      <w:r>
        <w:t>Most visible user-facing gaps: Accounting tabs, Performance tabs, Transfer/Receiving dialogs, Inventory count workflows, Labor scheduling, and Restaurant Setup screens still contain under-development placeholder content.</w:t>
      </w:r>
    </w:p>
    <w:p>
      <w:pPr>
        <w:pStyle w:val="ListBullet"/>
      </w:pPr>
      <w:r>
        <w:t>Competitive opportunity: MEVS can stay ahead by turning AvT costing, AI Insights, integration health, and automated exception repair into first-class operator workflows rather than only matching MarginEdge module-for-module.</w:t>
      </w:r>
    </w:p>
    <w:p>
      <w:pPr>
        <w:pStyle w:val="Heading1"/>
      </w:pPr>
      <w:r>
        <w:t>MarginEdge Browser Baseline</w:t>
      </w:r>
    </w:p>
    <w:p>
      <w:r>
        <w:t>The current MarginEdge account shows a restaurant operations suite centered on Home, Orders, Performance, Vendors, Products, Recipes, SmartPrep, Inventory, Labor, Bill Pay, Card, Accounting, and Setup. Its competitive strength is not just module breadth; many modules are connected into daily operator workflows such as invoice approval, inventory count sheets, waste reporting, category performance, price movers, accounting mappings, and close-book controls.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376"/>
            <w:tcMar>
              <w:top w:w="80" w:type="dxa"/>
              <w:start w:w="120" w:type="dxa"/>
              <w:bottom w:w="80" w:type="dxa"/>
              <w:end w:w="120" w:type="dxa"/>
            </w:tcMar>
            <w:vAlign w:val="center"/>
            <w:shd w:fill="E8EEF5"/>
          </w:tcPr>
          <w:p>
            <w:pPr>
              <w:spacing w:after="40" w:line="264" w:lineRule="auto"/>
            </w:pPr>
            <w:r>
              <w:rPr>
                <w:rFonts w:ascii="Calibri" w:hAnsi="Calibri"/>
                <w:b/>
                <w:color w:val="0B2545"/>
                <w:sz w:val="18"/>
              </w:rPr>
              <w:t>MarginEdge area</w:t>
            </w:r>
          </w:p>
        </w:tc>
        <w:tc>
          <w:tcPr>
            <w:tcW w:type="dxa" w:w="6984"/>
            <w:tcMar>
              <w:top w:w="80" w:type="dxa"/>
              <w:start w:w="120" w:type="dxa"/>
              <w:bottom w:w="80" w:type="dxa"/>
              <w:end w:w="120" w:type="dxa"/>
            </w:tcMar>
            <w:vAlign w:val="center"/>
            <w:shd w:fill="E8EEF5"/>
          </w:tcPr>
          <w:p>
            <w:pPr>
              <w:spacing w:after="40" w:line="264" w:lineRule="auto"/>
            </w:pPr>
            <w:r>
              <w:rPr>
                <w:rFonts w:ascii="Calibri" w:hAnsi="Calibri"/>
                <w:b/>
                <w:color w:val="0B2545"/>
                <w:sz w:val="18"/>
              </w:rPr>
              <w:t>Observed functions to match or beat</w:t>
            </w:r>
          </w:p>
        </w:tc>
      </w:tr>
      <w:tr>
        <w:tc>
          <w:tcPr>
            <w:tcW w:type="dxa" w:w="2376"/>
            <w:tcMar>
              <w:top w:w="80" w:type="dxa"/>
              <w:start w:w="120" w:type="dxa"/>
              <w:bottom w:w="80" w:type="dxa"/>
              <w:end w:w="120" w:type="dxa"/>
            </w:tcMar>
            <w:vAlign w:val="center"/>
          </w:tcPr>
          <w:p>
            <w:pPr>
              <w:spacing w:after="40" w:line="264" w:lineRule="auto"/>
            </w:pPr>
            <w:r>
              <w:rPr>
                <w:rFonts w:ascii="Calibri" w:hAnsi="Calibri"/>
                <w:sz w:val="18"/>
              </w:rPr>
              <w:t>Home / Dashboard</w:t>
            </w:r>
          </w:p>
        </w:tc>
        <w:tc>
          <w:tcPr>
            <w:tcW w:type="dxa" w:w="6984"/>
            <w:tcMar>
              <w:top w:w="80" w:type="dxa"/>
              <w:start w:w="120" w:type="dxa"/>
              <w:bottom w:w="80" w:type="dxa"/>
              <w:end w:w="120" w:type="dxa"/>
            </w:tcMar>
            <w:vAlign w:val="center"/>
          </w:tcPr>
          <w:p>
            <w:pPr>
              <w:spacing w:after="40" w:line="264" w:lineRule="auto"/>
            </w:pPr>
            <w:r>
              <w:rPr>
                <w:rFonts w:ascii="Calibri" w:hAnsi="Calibri"/>
                <w:sz w:val="18"/>
              </w:rPr>
              <w:t>Sales, peer benchmark comparisons, period-to-date/year-to-date views, budget pacing, purchasing summary, price movers.</w:t>
            </w:r>
          </w:p>
        </w:tc>
      </w:tr>
      <w:tr>
        <w:tc>
          <w:tcPr>
            <w:tcW w:type="dxa" w:w="2376"/>
            <w:tcMar>
              <w:top w:w="80" w:type="dxa"/>
              <w:start w:w="120" w:type="dxa"/>
              <w:bottom w:w="80" w:type="dxa"/>
              <w:end w:w="120" w:type="dxa"/>
            </w:tcMar>
            <w:vAlign w:val="center"/>
          </w:tcPr>
          <w:p>
            <w:pPr>
              <w:spacing w:after="40" w:line="264" w:lineRule="auto"/>
            </w:pPr>
            <w:r>
              <w:rPr>
                <w:rFonts w:ascii="Calibri" w:hAnsi="Calibri"/>
                <w:sz w:val="18"/>
              </w:rPr>
              <w:t>Orders</w:t>
            </w:r>
          </w:p>
        </w:tc>
        <w:tc>
          <w:tcPr>
            <w:tcW w:type="dxa" w:w="6984"/>
            <w:tcMar>
              <w:top w:w="80" w:type="dxa"/>
              <w:start w:w="120" w:type="dxa"/>
              <w:bottom w:w="80" w:type="dxa"/>
              <w:end w:w="120" w:type="dxa"/>
            </w:tcMar>
            <w:vAlign w:val="center"/>
          </w:tcPr>
          <w:p>
            <w:pPr>
              <w:spacing w:after="40" w:line="264" w:lineRule="auto"/>
            </w:pPr>
            <w:r>
              <w:rPr>
                <w:rFonts w:ascii="Calibri" w:hAnsi="Calibri"/>
                <w:sz w:val="18"/>
              </w:rPr>
              <w:t>Search orders, order placement, invoice approval, transfers, order setup.</w:t>
            </w:r>
          </w:p>
        </w:tc>
      </w:tr>
      <w:tr>
        <w:tc>
          <w:tcPr>
            <w:tcW w:type="dxa" w:w="2376"/>
            <w:tcMar>
              <w:top w:w="80" w:type="dxa"/>
              <w:start w:w="120" w:type="dxa"/>
              <w:bottom w:w="80" w:type="dxa"/>
              <w:end w:w="120" w:type="dxa"/>
            </w:tcMar>
            <w:vAlign w:val="center"/>
          </w:tcPr>
          <w:p>
            <w:pPr>
              <w:spacing w:after="40" w:line="264" w:lineRule="auto"/>
            </w:pPr>
            <w:r>
              <w:rPr>
                <w:rFonts w:ascii="Calibri" w:hAnsi="Calibri"/>
                <w:sz w:val="18"/>
              </w:rPr>
              <w:t>Performance</w:t>
            </w:r>
          </w:p>
        </w:tc>
        <w:tc>
          <w:tcPr>
            <w:tcW w:type="dxa" w:w="6984"/>
            <w:tcMar>
              <w:top w:w="80" w:type="dxa"/>
              <w:start w:w="120" w:type="dxa"/>
              <w:bottom w:w="80" w:type="dxa"/>
              <w:end w:w="120" w:type="dxa"/>
            </w:tcMar>
            <w:vAlign w:val="center"/>
          </w:tcPr>
          <w:p>
            <w:pPr>
              <w:spacing w:after="40" w:line="264" w:lineRule="auto"/>
            </w:pPr>
            <w:r>
              <w:rPr>
                <w:rFonts w:ascii="Calibri" w:hAnsi="Calibri"/>
                <w:sz w:val="18"/>
              </w:rPr>
              <w:t>Budget, category report, controllable P&amp;L, usage report, sales, forecast, price alerts, price movers, theoretical usage.</w:t>
            </w:r>
          </w:p>
        </w:tc>
      </w:tr>
      <w:tr>
        <w:tc>
          <w:tcPr>
            <w:tcW w:type="dxa" w:w="2376"/>
            <w:tcMar>
              <w:top w:w="80" w:type="dxa"/>
              <w:start w:w="120" w:type="dxa"/>
              <w:bottom w:w="80" w:type="dxa"/>
              <w:end w:w="120" w:type="dxa"/>
            </w:tcMar>
            <w:vAlign w:val="center"/>
          </w:tcPr>
          <w:p>
            <w:pPr>
              <w:spacing w:after="40" w:line="264" w:lineRule="auto"/>
            </w:pPr>
            <w:r>
              <w:rPr>
                <w:rFonts w:ascii="Calibri" w:hAnsi="Calibri"/>
                <w:sz w:val="18"/>
              </w:rPr>
              <w:t>Inventory</w:t>
            </w:r>
          </w:p>
        </w:tc>
        <w:tc>
          <w:tcPr>
            <w:tcW w:type="dxa" w:w="6984"/>
            <w:tcMar>
              <w:top w:w="80" w:type="dxa"/>
              <w:start w:w="120" w:type="dxa"/>
              <w:bottom w:w="80" w:type="dxa"/>
              <w:end w:w="120" w:type="dxa"/>
            </w:tcMar>
            <w:vAlign w:val="center"/>
          </w:tcPr>
          <w:p>
            <w:pPr>
              <w:spacing w:after="40" w:line="264" w:lineRule="auto"/>
            </w:pPr>
            <w:r>
              <w:rPr>
                <w:rFonts w:ascii="Calibri" w:hAnsi="Calibri"/>
                <w:sz w:val="18"/>
              </w:rPr>
              <w:t>Summary, counts, waste log, waste summary, count sheets, products, liquor smart scale.</w:t>
            </w:r>
          </w:p>
        </w:tc>
      </w:tr>
      <w:tr>
        <w:tc>
          <w:tcPr>
            <w:tcW w:type="dxa" w:w="2376"/>
            <w:tcMar>
              <w:top w:w="80" w:type="dxa"/>
              <w:start w:w="120" w:type="dxa"/>
              <w:bottom w:w="80" w:type="dxa"/>
              <w:end w:w="120" w:type="dxa"/>
            </w:tcMar>
            <w:vAlign w:val="center"/>
          </w:tcPr>
          <w:p>
            <w:pPr>
              <w:spacing w:after="40" w:line="264" w:lineRule="auto"/>
            </w:pPr>
            <w:r>
              <w:rPr>
                <w:rFonts w:ascii="Calibri" w:hAnsi="Calibri"/>
                <w:sz w:val="18"/>
              </w:rPr>
              <w:t>Accounting</w:t>
            </w:r>
          </w:p>
        </w:tc>
        <w:tc>
          <w:tcPr>
            <w:tcW w:type="dxa" w:w="6984"/>
            <w:tcMar>
              <w:top w:w="80" w:type="dxa"/>
              <w:start w:w="120" w:type="dxa"/>
              <w:bottom w:w="80" w:type="dxa"/>
              <w:end w:w="120" w:type="dxa"/>
            </w:tcMar>
            <w:vAlign w:val="center"/>
          </w:tcPr>
          <w:p>
            <w:pPr>
              <w:spacing w:after="40" w:line="264" w:lineRule="auto"/>
            </w:pPr>
            <w:r>
              <w:rPr>
                <w:rFonts w:ascii="Calibri" w:hAnsi="Calibri"/>
                <w:sz w:val="18"/>
              </w:rPr>
              <w:t>Export, reconciliation, sales entries, inventory entries, mappings for sales, vendors, PMIX, payment accounts, close books, budget setup.</w:t>
            </w:r>
          </w:p>
        </w:tc>
      </w:tr>
      <w:tr>
        <w:tc>
          <w:tcPr>
            <w:tcW w:type="dxa" w:w="2376"/>
            <w:tcMar>
              <w:top w:w="80" w:type="dxa"/>
              <w:start w:w="120" w:type="dxa"/>
              <w:bottom w:w="80" w:type="dxa"/>
              <w:end w:w="120" w:type="dxa"/>
            </w:tcMar>
            <w:vAlign w:val="center"/>
          </w:tcPr>
          <w:p>
            <w:pPr>
              <w:spacing w:after="40" w:line="264" w:lineRule="auto"/>
            </w:pPr>
            <w:r>
              <w:rPr>
                <w:rFonts w:ascii="Calibri" w:hAnsi="Calibri"/>
                <w:sz w:val="18"/>
              </w:rPr>
              <w:t>Setup</w:t>
            </w:r>
          </w:p>
        </w:tc>
        <w:tc>
          <w:tcPr>
            <w:tcW w:type="dxa" w:w="6984"/>
            <w:tcMar>
              <w:top w:w="80" w:type="dxa"/>
              <w:start w:w="120" w:type="dxa"/>
              <w:bottom w:w="80" w:type="dxa"/>
              <w:end w:w="120" w:type="dxa"/>
            </w:tcMar>
            <w:vAlign w:val="center"/>
          </w:tcPr>
          <w:p>
            <w:pPr>
              <w:spacing w:after="40" w:line="264" w:lineRule="auto"/>
            </w:pPr>
            <w:r>
              <w:rPr>
                <w:rFonts w:ascii="Calibri" w:hAnsi="Calibri"/>
                <w:sz w:val="18"/>
              </w:rPr>
              <w:t>Users, shared devices, store groupings, integrations, POS, notifications.</w:t>
            </w:r>
          </w:p>
        </w:tc>
      </w:tr>
      <w:tr>
        <w:tc>
          <w:tcPr>
            <w:tcW w:type="dxa" w:w="2376"/>
            <w:tcMar>
              <w:top w:w="80" w:type="dxa"/>
              <w:start w:w="120" w:type="dxa"/>
              <w:bottom w:w="80" w:type="dxa"/>
              <w:end w:w="120" w:type="dxa"/>
            </w:tcMar>
            <w:vAlign w:val="center"/>
          </w:tcPr>
          <w:p>
            <w:pPr>
              <w:spacing w:after="40" w:line="264" w:lineRule="auto"/>
            </w:pPr>
            <w:r>
              <w:rPr>
                <w:rFonts w:ascii="Calibri" w:hAnsi="Calibri"/>
                <w:sz w:val="18"/>
              </w:rPr>
              <w:t>Recipes / Prep</w:t>
            </w:r>
          </w:p>
        </w:tc>
        <w:tc>
          <w:tcPr>
            <w:tcW w:type="dxa" w:w="6984"/>
            <w:tcMar>
              <w:top w:w="80" w:type="dxa"/>
              <w:start w:w="120" w:type="dxa"/>
              <w:bottom w:w="80" w:type="dxa"/>
              <w:end w:w="120" w:type="dxa"/>
            </w:tcMar>
            <w:vAlign w:val="center"/>
          </w:tcPr>
          <w:p>
            <w:pPr>
              <w:spacing w:after="40" w:line="264" w:lineRule="auto"/>
            </w:pPr>
            <w:r>
              <w:rPr>
                <w:rFonts w:ascii="Calibri" w:hAnsi="Calibri"/>
                <w:sz w:val="18"/>
              </w:rPr>
              <w:t>Menu items, prepared items, bar items, menu analysis, recipe viewer, setup, SmartPrep.</w:t>
            </w:r>
          </w:p>
        </w:tc>
      </w:tr>
      <w:tr>
        <w:tc>
          <w:tcPr>
            <w:tcW w:type="dxa" w:w="2376"/>
            <w:tcMar>
              <w:top w:w="80" w:type="dxa"/>
              <w:start w:w="120" w:type="dxa"/>
              <w:bottom w:w="80" w:type="dxa"/>
              <w:end w:w="120" w:type="dxa"/>
            </w:tcMar>
            <w:vAlign w:val="center"/>
          </w:tcPr>
          <w:p>
            <w:pPr>
              <w:spacing w:after="40" w:line="264" w:lineRule="auto"/>
            </w:pPr>
            <w:r>
              <w:rPr>
                <w:rFonts w:ascii="Calibri" w:hAnsi="Calibri"/>
                <w:sz w:val="18"/>
              </w:rPr>
              <w:t>Labor / Bill Pay / Card</w:t>
            </w:r>
          </w:p>
        </w:tc>
        <w:tc>
          <w:tcPr>
            <w:tcW w:type="dxa" w:w="6984"/>
            <w:tcMar>
              <w:top w:w="80" w:type="dxa"/>
              <w:start w:w="120" w:type="dxa"/>
              <w:bottom w:w="80" w:type="dxa"/>
              <w:end w:w="120" w:type="dxa"/>
            </w:tcMar>
            <w:vAlign w:val="center"/>
          </w:tcPr>
          <w:p>
            <w:pPr>
              <w:spacing w:after="40" w:line="264" w:lineRule="auto"/>
            </w:pPr>
            <w:r>
              <w:rPr>
                <w:rFonts w:ascii="Calibri" w:hAnsi="Calibri"/>
                <w:sz w:val="18"/>
              </w:rPr>
              <w:t>Labor summary, shifts, employees, setup; bill pay reconciliation/invoices/payments; purchase card capability.</w:t>
            </w:r>
          </w:p>
        </w:tc>
      </w:tr>
    </w:tbl>
    <w:p/>
    <w:p>
      <w:pPr>
        <w:pStyle w:val="Heading1"/>
      </w:pPr>
      <w:r>
        <w:t>What MEVS Improved in the Latest Update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232"/>
            <w:tcMar>
              <w:top w:w="80" w:type="dxa"/>
              <w:start w:w="120" w:type="dxa"/>
              <w:bottom w:w="80" w:type="dxa"/>
              <w:end w:w="120" w:type="dxa"/>
            </w:tcMar>
            <w:vAlign w:val="center"/>
            <w:shd w:fill="E8EEF5"/>
          </w:tcPr>
          <w:p>
            <w:pPr>
              <w:spacing w:after="40" w:line="264" w:lineRule="auto"/>
            </w:pPr>
            <w:r>
              <w:rPr>
                <w:rFonts w:ascii="Calibri" w:hAnsi="Calibri"/>
                <w:b/>
                <w:color w:val="0B2545"/>
                <w:sz w:val="18"/>
              </w:rPr>
              <w:t>Area</w:t>
            </w:r>
          </w:p>
        </w:tc>
        <w:tc>
          <w:tcPr>
            <w:tcW w:type="dxa" w:w="3528"/>
            <w:tcMar>
              <w:top w:w="80" w:type="dxa"/>
              <w:start w:w="120" w:type="dxa"/>
              <w:bottom w:w="80" w:type="dxa"/>
              <w:end w:w="120" w:type="dxa"/>
            </w:tcMar>
            <w:vAlign w:val="center"/>
            <w:shd w:fill="E8EEF5"/>
          </w:tcPr>
          <w:p>
            <w:pPr>
              <w:spacing w:after="40" w:line="264" w:lineRule="auto"/>
            </w:pPr>
            <w:r>
              <w:rPr>
                <w:rFonts w:ascii="Calibri" w:hAnsi="Calibri"/>
                <w:b/>
                <w:color w:val="0B2545"/>
                <w:sz w:val="18"/>
              </w:rPr>
              <w:t>Latest MEVS progress</w:t>
            </w:r>
          </w:p>
        </w:tc>
        <w:tc>
          <w:tcPr>
            <w:tcW w:type="dxa" w:w="3600"/>
            <w:tcMar>
              <w:top w:w="80" w:type="dxa"/>
              <w:start w:w="120" w:type="dxa"/>
              <w:bottom w:w="80" w:type="dxa"/>
              <w:end w:w="120" w:type="dxa"/>
            </w:tcMar>
            <w:vAlign w:val="center"/>
            <w:shd w:fill="E8EEF5"/>
          </w:tcPr>
          <w:p>
            <w:pPr>
              <w:spacing w:after="40" w:line="264" w:lineRule="auto"/>
            </w:pPr>
            <w:r>
              <w:rPr>
                <w:rFonts w:ascii="Calibri" w:hAnsi="Calibri"/>
                <w:b/>
                <w:color w:val="0B2545"/>
                <w:sz w:val="18"/>
              </w:rPr>
              <w:t>Remaining concern</w:t>
            </w:r>
          </w:p>
        </w:tc>
      </w:tr>
      <w:tr>
        <w:tc>
          <w:tcPr>
            <w:tcW w:type="dxa" w:w="2232"/>
            <w:tcMar>
              <w:top w:w="80" w:type="dxa"/>
              <w:start w:w="120" w:type="dxa"/>
              <w:bottom w:w="80" w:type="dxa"/>
              <w:end w:w="120" w:type="dxa"/>
            </w:tcMar>
            <w:vAlign w:val="center"/>
          </w:tcPr>
          <w:p>
            <w:pPr>
              <w:spacing w:after="40" w:line="264" w:lineRule="auto"/>
            </w:pPr>
            <w:r>
              <w:rPr>
                <w:rFonts w:ascii="Calibri" w:hAnsi="Calibri"/>
                <w:sz w:val="18"/>
              </w:rPr>
              <w:t>Accounting access</w:t>
            </w:r>
          </w:p>
        </w:tc>
        <w:tc>
          <w:tcPr>
            <w:tcW w:type="dxa" w:w="3528"/>
            <w:tcMar>
              <w:top w:w="80" w:type="dxa"/>
              <w:start w:w="120" w:type="dxa"/>
              <w:bottom w:w="80" w:type="dxa"/>
              <w:end w:w="120" w:type="dxa"/>
            </w:tcMar>
            <w:vAlign w:val="center"/>
          </w:tcPr>
          <w:p>
            <w:pPr>
              <w:spacing w:after="40" w:line="264" w:lineRule="auto"/>
            </w:pPr>
            <w:r>
              <w:rPr>
                <w:rFonts w:ascii="Calibri" w:hAnsi="Calibri"/>
                <w:sz w:val="18"/>
              </w:rPr>
              <w:t>moduleConfig now uses org_owner for Accounting, fixing the earlier org_admin role mismatch.</w:t>
            </w:r>
          </w:p>
        </w:tc>
        <w:tc>
          <w:tcPr>
            <w:tcW w:type="dxa" w:w="3600"/>
            <w:tcMar>
              <w:top w:w="80" w:type="dxa"/>
              <w:start w:w="120" w:type="dxa"/>
              <w:bottom w:w="80" w:type="dxa"/>
              <w:end w:w="120" w:type="dxa"/>
            </w:tcMar>
            <w:vAlign w:val="center"/>
          </w:tcPr>
          <w:p>
            <w:pPr>
              <w:spacing w:after="40" w:line="264" w:lineRule="auto"/>
            </w:pPr>
            <w:r>
              <w:rPr>
                <w:rFonts w:ascii="Calibri" w:hAnsi="Calibri"/>
                <w:sz w:val="18"/>
              </w:rPr>
              <w:t>Accounting sub-workflows remain mostly placeholders.</w:t>
            </w:r>
          </w:p>
        </w:tc>
      </w:tr>
      <w:tr>
        <w:tc>
          <w:tcPr>
            <w:tcW w:type="dxa" w:w="2232"/>
            <w:tcMar>
              <w:top w:w="80" w:type="dxa"/>
              <w:start w:w="120" w:type="dxa"/>
              <w:bottom w:w="80" w:type="dxa"/>
              <w:end w:w="120" w:type="dxa"/>
            </w:tcMar>
            <w:vAlign w:val="center"/>
          </w:tcPr>
          <w:p>
            <w:pPr>
              <w:spacing w:after="40" w:line="264" w:lineRule="auto"/>
            </w:pPr>
            <w:r>
              <w:rPr>
                <w:rFonts w:ascii="Calibri" w:hAnsi="Calibri"/>
                <w:sz w:val="18"/>
              </w:rPr>
              <w:t>Setup</w:t>
            </w:r>
          </w:p>
        </w:tc>
        <w:tc>
          <w:tcPr>
            <w:tcW w:type="dxa" w:w="3528"/>
            <w:tcMar>
              <w:top w:w="80" w:type="dxa"/>
              <w:start w:w="120" w:type="dxa"/>
              <w:bottom w:w="80" w:type="dxa"/>
              <w:end w:w="120" w:type="dxa"/>
            </w:tcMar>
            <w:vAlign w:val="center"/>
          </w:tcPr>
          <w:p>
            <w:pPr>
              <w:spacing w:after="40" w:line="264" w:lineRule="auto"/>
            </w:pPr>
            <w:r>
              <w:rPr>
                <w:rFonts w:ascii="Calibri" w:hAnsi="Calibri"/>
                <w:sz w:val="18"/>
              </w:rPr>
              <w:t>RestaurantSetup.jsx was added with POS Setup, Store Groups, Shared Devices, Notifications, and Location Settings tabs.</w:t>
            </w:r>
          </w:p>
        </w:tc>
        <w:tc>
          <w:tcPr>
            <w:tcW w:type="dxa" w:w="3600"/>
            <w:tcMar>
              <w:top w:w="80" w:type="dxa"/>
              <w:start w:w="120" w:type="dxa"/>
              <w:bottom w:w="80" w:type="dxa"/>
              <w:end w:w="120" w:type="dxa"/>
            </w:tcMar>
            <w:vAlign w:val="center"/>
          </w:tcPr>
          <w:p>
            <w:pPr>
              <w:spacing w:after="40" w:line="264" w:lineRule="auto"/>
            </w:pPr>
            <w:r>
              <w:rPr>
                <w:rFonts w:ascii="Calibri" w:hAnsi="Calibri"/>
                <w:sz w:val="18"/>
              </w:rPr>
              <w:t>The page is not registered in pages.config and is absent from moduleConfig.</w:t>
            </w:r>
          </w:p>
        </w:tc>
      </w:tr>
      <w:tr>
        <w:tc>
          <w:tcPr>
            <w:tcW w:type="dxa" w:w="2232"/>
            <w:tcMar>
              <w:top w:w="80" w:type="dxa"/>
              <w:start w:w="120" w:type="dxa"/>
              <w:bottom w:w="80" w:type="dxa"/>
              <w:end w:w="120" w:type="dxa"/>
            </w:tcMar>
            <w:vAlign w:val="center"/>
          </w:tcPr>
          <w:p>
            <w:pPr>
              <w:spacing w:after="40" w:line="264" w:lineRule="auto"/>
            </w:pPr>
            <w:r>
              <w:rPr>
                <w:rFonts w:ascii="Calibri" w:hAnsi="Calibri"/>
                <w:sz w:val="18"/>
              </w:rPr>
              <w:t>Orders</w:t>
            </w:r>
          </w:p>
        </w:tc>
        <w:tc>
          <w:tcPr>
            <w:tcW w:type="dxa" w:w="3528"/>
            <w:tcMar>
              <w:top w:w="80" w:type="dxa"/>
              <w:start w:w="120" w:type="dxa"/>
              <w:bottom w:w="80" w:type="dxa"/>
              <w:end w:w="120" w:type="dxa"/>
            </w:tcMar>
            <w:vAlign w:val="center"/>
          </w:tcPr>
          <w:p>
            <w:pPr>
              <w:spacing w:after="40" w:line="264" w:lineRule="auto"/>
            </w:pPr>
            <w:r>
              <w:rPr>
                <w:rFonts w:ascii="Calibri" w:hAnsi="Calibri"/>
                <w:sz w:val="18"/>
              </w:rPr>
              <w:t>Layout now exposes Transfers and Receiving under Orders; AutoOrdering has matching tabs.</w:t>
            </w:r>
          </w:p>
        </w:tc>
        <w:tc>
          <w:tcPr>
            <w:tcW w:type="dxa" w:w="3600"/>
            <w:tcMar>
              <w:top w:w="80" w:type="dxa"/>
              <w:start w:w="120" w:type="dxa"/>
              <w:bottom w:w="80" w:type="dxa"/>
              <w:end w:w="120" w:type="dxa"/>
            </w:tcMar>
            <w:vAlign w:val="center"/>
          </w:tcPr>
          <w:p>
            <w:pPr>
              <w:spacing w:after="40" w:line="264" w:lineRule="auto"/>
            </w:pPr>
            <w:r>
              <w:rPr>
                <w:rFonts w:ascii="Calibri" w:hAnsi="Calibri"/>
                <w:sz w:val="18"/>
              </w:rPr>
              <w:t>Dialogs still say workflow under development and appear not fully wired to Transfer/Receiving entities.</w:t>
            </w:r>
          </w:p>
        </w:tc>
      </w:tr>
      <w:tr>
        <w:tc>
          <w:tcPr>
            <w:tcW w:type="dxa" w:w="2232"/>
            <w:tcMar>
              <w:top w:w="80" w:type="dxa"/>
              <w:start w:w="120" w:type="dxa"/>
              <w:bottom w:w="80" w:type="dxa"/>
              <w:end w:w="120" w:type="dxa"/>
            </w:tcMar>
            <w:vAlign w:val="center"/>
          </w:tcPr>
          <w:p>
            <w:pPr>
              <w:spacing w:after="40" w:line="264" w:lineRule="auto"/>
            </w:pPr>
            <w:r>
              <w:rPr>
                <w:rFonts w:ascii="Calibri" w:hAnsi="Calibri"/>
                <w:sz w:val="18"/>
              </w:rPr>
              <w:t>Inventory</w:t>
            </w:r>
          </w:p>
        </w:tc>
        <w:tc>
          <w:tcPr>
            <w:tcW w:type="dxa" w:w="3528"/>
            <w:tcMar>
              <w:top w:w="80" w:type="dxa"/>
              <w:start w:w="120" w:type="dxa"/>
              <w:bottom w:w="80" w:type="dxa"/>
              <w:end w:w="120" w:type="dxa"/>
            </w:tcMar>
            <w:vAlign w:val="center"/>
          </w:tcPr>
          <w:p>
            <w:pPr>
              <w:spacing w:after="40" w:line="264" w:lineRule="auto"/>
            </w:pPr>
            <w:r>
              <w:rPr>
                <w:rFonts w:ascii="Calibri" w:hAnsi="Calibri"/>
                <w:sz w:val="18"/>
              </w:rPr>
              <w:t>CountSheet and CountSession entities/migrations exist; UI now includes Count Sheets.</w:t>
            </w:r>
          </w:p>
        </w:tc>
        <w:tc>
          <w:tcPr>
            <w:tcW w:type="dxa" w:w="3600"/>
            <w:tcMar>
              <w:top w:w="80" w:type="dxa"/>
              <w:start w:w="120" w:type="dxa"/>
              <w:bottom w:w="80" w:type="dxa"/>
              <w:end w:w="120" w:type="dxa"/>
            </w:tcMar>
            <w:vAlign w:val="center"/>
          </w:tcPr>
          <w:p>
            <w:pPr>
              <w:spacing w:after="40" w:line="264" w:lineRule="auto"/>
            </w:pPr>
            <w:r>
              <w:rPr>
                <w:rFonts w:ascii="Calibri" w:hAnsi="Calibri"/>
                <w:sz w:val="18"/>
              </w:rPr>
              <w:t>Count-sheet creation and count session entry are placeholders; duplicate tab content needs cleanup.</w:t>
            </w:r>
          </w:p>
        </w:tc>
      </w:tr>
      <w:tr>
        <w:tc>
          <w:tcPr>
            <w:tcW w:type="dxa" w:w="2232"/>
            <w:tcMar>
              <w:top w:w="80" w:type="dxa"/>
              <w:start w:w="120" w:type="dxa"/>
              <w:bottom w:w="80" w:type="dxa"/>
              <w:end w:w="120" w:type="dxa"/>
            </w:tcMar>
            <w:vAlign w:val="center"/>
          </w:tcPr>
          <w:p>
            <w:pPr>
              <w:spacing w:after="40" w:line="264" w:lineRule="auto"/>
            </w:pPr>
            <w:r>
              <w:rPr>
                <w:rFonts w:ascii="Calibri" w:hAnsi="Calibri"/>
                <w:sz w:val="18"/>
              </w:rPr>
              <w:t>Integrations</w:t>
            </w:r>
          </w:p>
        </w:tc>
        <w:tc>
          <w:tcPr>
            <w:tcW w:type="dxa" w:w="3528"/>
            <w:tcMar>
              <w:top w:w="80" w:type="dxa"/>
              <w:start w:w="120" w:type="dxa"/>
              <w:bottom w:w="80" w:type="dxa"/>
              <w:end w:w="120" w:type="dxa"/>
            </w:tcMar>
            <w:vAlign w:val="center"/>
          </w:tcPr>
          <w:p>
            <w:pPr>
              <w:spacing w:after="40" w:line="264" w:lineRule="auto"/>
            </w:pPr>
            <w:r>
              <w:rPr>
                <w:rFonts w:ascii="Calibri" w:hAnsi="Calibri"/>
                <w:sz w:val="18"/>
              </w:rPr>
              <w:t>Integration records now use persisted API entity operations instead of only mock UI state.</w:t>
            </w:r>
          </w:p>
        </w:tc>
        <w:tc>
          <w:tcPr>
            <w:tcW w:type="dxa" w:w="3600"/>
            <w:tcMar>
              <w:top w:w="80" w:type="dxa"/>
              <w:start w:w="120" w:type="dxa"/>
              <w:bottom w:w="80" w:type="dxa"/>
              <w:end w:w="120" w:type="dxa"/>
            </w:tcMar>
            <w:vAlign w:val="center"/>
          </w:tcPr>
          <w:p>
            <w:pPr>
              <w:spacing w:after="40" w:line="264" w:lineRule="auto"/>
            </w:pPr>
            <w:r>
              <w:rPr>
                <w:rFonts w:ascii="Calibri" w:hAnsi="Calibri"/>
                <w:sz w:val="18"/>
              </w:rPr>
              <w:t>Real OAuth, webhook status, sync health, and error recovery are still needed.</w:t>
            </w:r>
          </w:p>
        </w:tc>
      </w:tr>
      <w:tr>
        <w:tc>
          <w:tcPr>
            <w:tcW w:type="dxa" w:w="2232"/>
            <w:tcMar>
              <w:top w:w="80" w:type="dxa"/>
              <w:start w:w="120" w:type="dxa"/>
              <w:bottom w:w="80" w:type="dxa"/>
              <w:end w:w="120" w:type="dxa"/>
            </w:tcMar>
            <w:vAlign w:val="center"/>
          </w:tcPr>
          <w:p>
            <w:pPr>
              <w:spacing w:after="40" w:line="264" w:lineRule="auto"/>
            </w:pPr>
            <w:r>
              <w:rPr>
                <w:rFonts w:ascii="Calibri" w:hAnsi="Calibri"/>
                <w:sz w:val="18"/>
              </w:rPr>
              <w:t>Performance</w:t>
            </w:r>
          </w:p>
        </w:tc>
        <w:tc>
          <w:tcPr>
            <w:tcW w:type="dxa" w:w="3528"/>
            <w:tcMar>
              <w:top w:w="80" w:type="dxa"/>
              <w:start w:w="120" w:type="dxa"/>
              <w:bottom w:w="80" w:type="dxa"/>
              <w:end w:w="120" w:type="dxa"/>
            </w:tcMar>
            <w:vAlign w:val="center"/>
          </w:tcPr>
          <w:p>
            <w:pPr>
              <w:spacing w:after="40" w:line="264" w:lineRule="auto"/>
            </w:pPr>
            <w:r>
              <w:rPr>
                <w:rFonts w:ascii="Calibri" w:hAnsi="Calibri"/>
                <w:sz w:val="18"/>
              </w:rPr>
              <w:t>Performance page now reads POS sales data and calculates key sales/budget cards.</w:t>
            </w:r>
          </w:p>
        </w:tc>
        <w:tc>
          <w:tcPr>
            <w:tcW w:type="dxa" w:w="3600"/>
            <w:tcMar>
              <w:top w:w="80" w:type="dxa"/>
              <w:start w:w="120" w:type="dxa"/>
              <w:bottom w:w="80" w:type="dxa"/>
              <w:end w:w="120" w:type="dxa"/>
            </w:tcMar>
            <w:vAlign w:val="center"/>
          </w:tcPr>
          <w:p>
            <w:pPr>
              <w:spacing w:after="40" w:line="264" w:lineRule="auto"/>
            </w:pPr>
            <w:r>
              <w:rPr>
                <w:rFonts w:ascii="Calibri" w:hAnsi="Calibri"/>
                <w:sz w:val="18"/>
              </w:rPr>
              <w:t>Budget is still synthetic and most analytical tabs are under development.</w:t>
            </w:r>
          </w:p>
        </w:tc>
      </w:tr>
    </w:tbl>
    <w:p/>
    <w:p>
      <w:pPr>
        <w:pStyle w:val="Heading1"/>
      </w:pPr>
      <w:r>
        <w:t>Critical Fixes Before More Feature Work</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864"/>
            <w:tcMar>
              <w:top w:w="80" w:type="dxa"/>
              <w:start w:w="120" w:type="dxa"/>
              <w:bottom w:w="80" w:type="dxa"/>
              <w:end w:w="120" w:type="dxa"/>
            </w:tcMar>
            <w:vAlign w:val="center"/>
            <w:shd w:fill="E8EEF5"/>
          </w:tcPr>
          <w:p>
            <w:pPr>
              <w:spacing w:after="40" w:line="264" w:lineRule="auto"/>
            </w:pPr>
            <w:r>
              <w:rPr>
                <w:rFonts w:ascii="Calibri" w:hAnsi="Calibri"/>
                <w:b/>
                <w:color w:val="0B2545"/>
                <w:sz w:val="18"/>
              </w:rPr>
              <w:t>Priority</w:t>
            </w:r>
          </w:p>
        </w:tc>
        <w:tc>
          <w:tcPr>
            <w:tcW w:type="dxa" w:w="2232"/>
            <w:tcMar>
              <w:top w:w="80" w:type="dxa"/>
              <w:start w:w="120" w:type="dxa"/>
              <w:bottom w:w="80" w:type="dxa"/>
              <w:end w:w="120" w:type="dxa"/>
            </w:tcMar>
            <w:vAlign w:val="center"/>
            <w:shd w:fill="E8EEF5"/>
          </w:tcPr>
          <w:p>
            <w:pPr>
              <w:spacing w:after="40" w:line="264" w:lineRule="auto"/>
            </w:pPr>
            <w:r>
              <w:rPr>
                <w:rFonts w:ascii="Calibri" w:hAnsi="Calibri"/>
                <w:b/>
                <w:color w:val="0B2545"/>
                <w:sz w:val="18"/>
              </w:rPr>
              <w:t>Issue</w:t>
            </w:r>
          </w:p>
        </w:tc>
        <w:tc>
          <w:tcPr>
            <w:tcW w:type="dxa" w:w="2880"/>
            <w:tcMar>
              <w:top w:w="80" w:type="dxa"/>
              <w:start w:w="120" w:type="dxa"/>
              <w:bottom w:w="80" w:type="dxa"/>
              <w:end w:w="120" w:type="dxa"/>
            </w:tcMar>
            <w:vAlign w:val="center"/>
            <w:shd w:fill="E8EEF5"/>
          </w:tcPr>
          <w:p>
            <w:pPr>
              <w:spacing w:after="40" w:line="264" w:lineRule="auto"/>
            </w:pPr>
            <w:r>
              <w:rPr>
                <w:rFonts w:ascii="Calibri" w:hAnsi="Calibri"/>
                <w:b/>
                <w:color w:val="0B2545"/>
                <w:sz w:val="18"/>
              </w:rPr>
              <w:t>Evidence</w:t>
            </w:r>
          </w:p>
        </w:tc>
        <w:tc>
          <w:tcPr>
            <w:tcW w:type="dxa" w:w="3384"/>
            <w:tcMar>
              <w:top w:w="80" w:type="dxa"/>
              <w:start w:w="120" w:type="dxa"/>
              <w:bottom w:w="80" w:type="dxa"/>
              <w:end w:w="120" w:type="dxa"/>
            </w:tcMar>
            <w:vAlign w:val="center"/>
            <w:shd w:fill="E8EEF5"/>
          </w:tcPr>
          <w:p>
            <w:pPr>
              <w:spacing w:after="40" w:line="264" w:lineRule="auto"/>
            </w:pPr>
            <w:r>
              <w:rPr>
                <w:rFonts w:ascii="Calibri" w:hAnsi="Calibri"/>
                <w:b/>
                <w:color w:val="0B2545"/>
                <w:sz w:val="18"/>
              </w:rPr>
              <w:t>Recommended fix</w:t>
            </w:r>
          </w:p>
        </w:tc>
      </w:tr>
      <w:tr>
        <w:tc>
          <w:tcPr>
            <w:tcW w:type="dxa" w:w="864"/>
            <w:tcMar>
              <w:top w:w="80" w:type="dxa"/>
              <w:start w:w="120" w:type="dxa"/>
              <w:bottom w:w="80" w:type="dxa"/>
              <w:end w:w="120" w:type="dxa"/>
            </w:tcMar>
            <w:vAlign w:val="center"/>
          </w:tcPr>
          <w:p>
            <w:pPr>
              <w:spacing w:after="40" w:line="264" w:lineRule="auto"/>
            </w:pPr>
            <w:r>
              <w:rPr>
                <w:rFonts w:ascii="Calibri" w:hAnsi="Calibri"/>
                <w:sz w:val="18"/>
              </w:rPr>
              <w:t>P0</w:t>
            </w:r>
          </w:p>
        </w:tc>
        <w:tc>
          <w:tcPr>
            <w:tcW w:type="dxa" w:w="2232"/>
            <w:tcMar>
              <w:top w:w="80" w:type="dxa"/>
              <w:start w:w="120" w:type="dxa"/>
              <w:bottom w:w="80" w:type="dxa"/>
              <w:end w:w="120" w:type="dxa"/>
            </w:tcMar>
            <w:vAlign w:val="center"/>
          </w:tcPr>
          <w:p>
            <w:pPr>
              <w:spacing w:after="40" w:line="264" w:lineRule="auto"/>
            </w:pPr>
            <w:r>
              <w:rPr>
                <w:rFonts w:ascii="Calibri" w:hAnsi="Calibri"/>
                <w:sz w:val="18"/>
              </w:rPr>
              <w:t>Restaurant Setup routing and entitlement gap.</w:t>
            </w:r>
          </w:p>
        </w:tc>
        <w:tc>
          <w:tcPr>
            <w:tcW w:type="dxa" w:w="2880"/>
            <w:tcMar>
              <w:top w:w="80" w:type="dxa"/>
              <w:start w:w="120" w:type="dxa"/>
              <w:bottom w:w="80" w:type="dxa"/>
              <w:end w:w="120" w:type="dxa"/>
            </w:tcMar>
            <w:vAlign w:val="center"/>
          </w:tcPr>
          <w:p>
            <w:pPr>
              <w:spacing w:after="40" w:line="264" w:lineRule="auto"/>
            </w:pPr>
            <w:r>
              <w:rPr>
                <w:rFonts w:ascii="Calibri" w:hAnsi="Calibri"/>
                <w:sz w:val="18"/>
              </w:rPr>
              <w:t>Layout links to RestaurantSetup and RestaurantSetup.jsx exists, but pages.config and moduleConfig do not register it.</w:t>
            </w:r>
          </w:p>
        </w:tc>
        <w:tc>
          <w:tcPr>
            <w:tcW w:type="dxa" w:w="3384"/>
            <w:tcMar>
              <w:top w:w="80" w:type="dxa"/>
              <w:start w:w="120" w:type="dxa"/>
              <w:bottom w:w="80" w:type="dxa"/>
              <w:end w:w="120" w:type="dxa"/>
            </w:tcMar>
            <w:vAlign w:val="center"/>
          </w:tcPr>
          <w:p>
            <w:pPr>
              <w:spacing w:after="40" w:line="264" w:lineRule="auto"/>
            </w:pPr>
            <w:r>
              <w:rPr>
                <w:rFonts w:ascii="Calibri" w:hAnsi="Calibri"/>
                <w:sz w:val="18"/>
              </w:rPr>
              <w:t>Add lazy import and PAGES entry; add setup/restaurantSetup moduleConfig entry or attach it to Admin/Setup entitlement.</w:t>
            </w:r>
          </w:p>
        </w:tc>
      </w:tr>
      <w:tr>
        <w:tc>
          <w:tcPr>
            <w:tcW w:type="dxa" w:w="864"/>
            <w:tcMar>
              <w:top w:w="80" w:type="dxa"/>
              <w:start w:w="120" w:type="dxa"/>
              <w:bottom w:w="80" w:type="dxa"/>
              <w:end w:w="120" w:type="dxa"/>
            </w:tcMar>
            <w:vAlign w:val="center"/>
          </w:tcPr>
          <w:p>
            <w:pPr>
              <w:spacing w:after="40" w:line="264" w:lineRule="auto"/>
            </w:pPr>
            <w:r>
              <w:rPr>
                <w:rFonts w:ascii="Calibri" w:hAnsi="Calibri"/>
                <w:sz w:val="18"/>
              </w:rPr>
              <w:t>P0</w:t>
            </w:r>
          </w:p>
        </w:tc>
        <w:tc>
          <w:tcPr>
            <w:tcW w:type="dxa" w:w="2232"/>
            <w:tcMar>
              <w:top w:w="80" w:type="dxa"/>
              <w:start w:w="120" w:type="dxa"/>
              <w:bottom w:w="80" w:type="dxa"/>
              <w:end w:w="120" w:type="dxa"/>
            </w:tcMar>
            <w:vAlign w:val="center"/>
          </w:tcPr>
          <w:p>
            <w:pPr>
              <w:spacing w:after="40" w:line="264" w:lineRule="auto"/>
            </w:pPr>
            <w:r>
              <w:rPr>
                <w:rFonts w:ascii="Calibri" w:hAnsi="Calibri"/>
                <w:sz w:val="18"/>
              </w:rPr>
              <w:t>Accounting navigation tab mismatch.</w:t>
            </w:r>
          </w:p>
        </w:tc>
        <w:tc>
          <w:tcPr>
            <w:tcW w:type="dxa" w:w="2880"/>
            <w:tcMar>
              <w:top w:w="80" w:type="dxa"/>
              <w:start w:w="120" w:type="dxa"/>
              <w:bottom w:w="80" w:type="dxa"/>
              <w:end w:w="120" w:type="dxa"/>
            </w:tcMar>
            <w:vAlign w:val="center"/>
          </w:tcPr>
          <w:p>
            <w:pPr>
              <w:spacing w:after="40" w:line="264" w:lineRule="auto"/>
            </w:pPr>
            <w:r>
              <w:rPr>
                <w:rFonts w:ascii="Calibri" w:hAnsi="Calibri"/>
                <w:sz w:val="18"/>
              </w:rPr>
              <w:t>Layout links to Accounting?tab=mappings and Accounting?tab=close, while Accounting.jsx uses sales-mapping, vendor-mapping, pmix-mapping, and close-books.</w:t>
            </w:r>
          </w:p>
        </w:tc>
        <w:tc>
          <w:tcPr>
            <w:tcW w:type="dxa" w:w="3384"/>
            <w:tcMar>
              <w:top w:w="80" w:type="dxa"/>
              <w:start w:w="120" w:type="dxa"/>
              <w:bottom w:w="80" w:type="dxa"/>
              <w:end w:w="120" w:type="dxa"/>
            </w:tcMar>
            <w:vAlign w:val="center"/>
          </w:tcPr>
          <w:p>
            <w:pPr>
              <w:spacing w:after="40" w:line="264" w:lineRule="auto"/>
            </w:pPr>
            <w:r>
              <w:rPr>
                <w:rFonts w:ascii="Calibri" w:hAnsi="Calibri"/>
                <w:sz w:val="18"/>
              </w:rPr>
              <w:t>Change Layout to link to the exact Accounting tab values or update Accounting.jsx to accept aliases.</w:t>
            </w:r>
          </w:p>
        </w:tc>
      </w:tr>
      <w:tr>
        <w:tc>
          <w:tcPr>
            <w:tcW w:type="dxa" w:w="864"/>
            <w:tcMar>
              <w:top w:w="80" w:type="dxa"/>
              <w:start w:w="120" w:type="dxa"/>
              <w:bottom w:w="80" w:type="dxa"/>
              <w:end w:w="120" w:type="dxa"/>
            </w:tcMar>
            <w:vAlign w:val="center"/>
          </w:tcPr>
          <w:p>
            <w:pPr>
              <w:spacing w:after="40" w:line="264" w:lineRule="auto"/>
            </w:pPr>
            <w:r>
              <w:rPr>
                <w:rFonts w:ascii="Calibri" w:hAnsi="Calibri"/>
                <w:sz w:val="18"/>
              </w:rPr>
              <w:t>P0</w:t>
            </w:r>
          </w:p>
        </w:tc>
        <w:tc>
          <w:tcPr>
            <w:tcW w:type="dxa" w:w="2232"/>
            <w:tcMar>
              <w:top w:w="80" w:type="dxa"/>
              <w:start w:w="120" w:type="dxa"/>
              <w:bottom w:w="80" w:type="dxa"/>
              <w:end w:w="120" w:type="dxa"/>
            </w:tcMar>
            <w:vAlign w:val="center"/>
          </w:tcPr>
          <w:p>
            <w:pPr>
              <w:spacing w:after="40" w:line="264" w:lineRule="auto"/>
            </w:pPr>
            <w:r>
              <w:rPr>
                <w:rFonts w:ascii="Calibri" w:hAnsi="Calibri"/>
                <w:sz w:val="18"/>
              </w:rPr>
              <w:t>Inventory tab collision and unreachable waste summary.</w:t>
            </w:r>
          </w:p>
        </w:tc>
        <w:tc>
          <w:tcPr>
            <w:tcW w:type="dxa" w:w="2880"/>
            <w:tcMar>
              <w:top w:w="80" w:type="dxa"/>
              <w:start w:w="120" w:type="dxa"/>
              <w:bottom w:w="80" w:type="dxa"/>
              <w:end w:w="120" w:type="dxa"/>
            </w:tcMar>
            <w:vAlign w:val="center"/>
          </w:tcPr>
          <w:p>
            <w:pPr>
              <w:spacing w:after="40" w:line="264" w:lineRule="auto"/>
            </w:pPr>
            <w:r>
              <w:rPr>
                <w:rFonts w:ascii="Calibri" w:hAnsi="Calibri"/>
                <w:sz w:val="18"/>
              </w:rPr>
              <w:t>Inventory.jsx has two TabsContent blocks for count-sheets, and waste-summary content exists without a matching visible trigger.</w:t>
            </w:r>
          </w:p>
        </w:tc>
        <w:tc>
          <w:tcPr>
            <w:tcW w:type="dxa" w:w="3384"/>
            <w:tcMar>
              <w:top w:w="80" w:type="dxa"/>
              <w:start w:w="120" w:type="dxa"/>
              <w:bottom w:w="80" w:type="dxa"/>
              <w:end w:w="120" w:type="dxa"/>
            </w:tcMar>
            <w:vAlign w:val="center"/>
          </w:tcPr>
          <w:p>
            <w:pPr>
              <w:spacing w:after="40" w:line="264" w:lineRule="auto"/>
            </w:pPr>
            <w:r>
              <w:rPr>
                <w:rFonts w:ascii="Calibri" w:hAnsi="Calibri"/>
                <w:sz w:val="18"/>
              </w:rPr>
              <w:t>Merge the count-sheets content into one panel and add or remove the Waste Summary trigger intentionally.</w:t>
            </w:r>
          </w:p>
        </w:tc>
      </w:tr>
      <w:tr>
        <w:tc>
          <w:tcPr>
            <w:tcW w:type="dxa" w:w="864"/>
            <w:tcMar>
              <w:top w:w="80" w:type="dxa"/>
              <w:start w:w="120" w:type="dxa"/>
              <w:bottom w:w="80" w:type="dxa"/>
              <w:end w:w="120" w:type="dxa"/>
            </w:tcMar>
            <w:vAlign w:val="center"/>
          </w:tcPr>
          <w:p>
            <w:pPr>
              <w:spacing w:after="40" w:line="264" w:lineRule="auto"/>
            </w:pPr>
            <w:r>
              <w:rPr>
                <w:rFonts w:ascii="Calibri" w:hAnsi="Calibri"/>
                <w:sz w:val="18"/>
              </w:rPr>
              <w:t>P1</w:t>
            </w:r>
          </w:p>
        </w:tc>
        <w:tc>
          <w:tcPr>
            <w:tcW w:type="dxa" w:w="2232"/>
            <w:tcMar>
              <w:top w:w="80" w:type="dxa"/>
              <w:start w:w="120" w:type="dxa"/>
              <w:bottom w:w="80" w:type="dxa"/>
              <w:end w:w="120" w:type="dxa"/>
            </w:tcMar>
            <w:vAlign w:val="center"/>
          </w:tcPr>
          <w:p>
            <w:pPr>
              <w:spacing w:after="40" w:line="264" w:lineRule="auto"/>
            </w:pPr>
            <w:r>
              <w:rPr>
                <w:rFonts w:ascii="Calibri" w:hAnsi="Calibri"/>
                <w:sz w:val="18"/>
              </w:rPr>
              <w:t>Placeholder dialogs create false completeness.</w:t>
            </w:r>
          </w:p>
        </w:tc>
        <w:tc>
          <w:tcPr>
            <w:tcW w:type="dxa" w:w="2880"/>
            <w:tcMar>
              <w:top w:w="80" w:type="dxa"/>
              <w:start w:w="120" w:type="dxa"/>
              <w:bottom w:w="80" w:type="dxa"/>
              <w:end w:w="120" w:type="dxa"/>
            </w:tcMar>
            <w:vAlign w:val="center"/>
          </w:tcPr>
          <w:p>
            <w:pPr>
              <w:spacing w:after="40" w:line="264" w:lineRule="auto"/>
            </w:pPr>
            <w:r>
              <w:rPr>
                <w:rFonts w:ascii="Calibri" w:hAnsi="Calibri"/>
                <w:sz w:val="18"/>
              </w:rPr>
              <w:t>Transfer, Receiving, Count Sheet, Count Session, Restaurant Setup, Labor Setup, and Accounting mapping screens still display under-development messages.</w:t>
            </w:r>
          </w:p>
        </w:tc>
        <w:tc>
          <w:tcPr>
            <w:tcW w:type="dxa" w:w="3384"/>
            <w:tcMar>
              <w:top w:w="80" w:type="dxa"/>
              <w:start w:w="120" w:type="dxa"/>
              <w:bottom w:w="80" w:type="dxa"/>
              <w:end w:w="120" w:type="dxa"/>
            </w:tcMar>
            <w:vAlign w:val="center"/>
          </w:tcPr>
          <w:p>
            <w:pPr>
              <w:spacing w:after="40" w:line="264" w:lineRule="auto"/>
            </w:pPr>
            <w:r>
              <w:rPr>
                <w:rFonts w:ascii="Calibri" w:hAnsi="Calibri"/>
                <w:sz w:val="18"/>
              </w:rPr>
              <w:t>Convert placeholders into minimal end-to-end workflows before adding more tabs.</w:t>
            </w:r>
          </w:p>
        </w:tc>
      </w:tr>
    </w:tbl>
    <w:p/>
    <w:p>
      <w:pPr>
        <w:pStyle w:val="Heading1"/>
      </w:pPr>
      <w:r>
        <w:t>Remaining Missing or Incomplete Functions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72"/>
            <w:tcMar>
              <w:top w:w="80" w:type="dxa"/>
              <w:start w:w="120" w:type="dxa"/>
              <w:bottom w:w="80" w:type="dxa"/>
              <w:end w:w="120" w:type="dxa"/>
            </w:tcMar>
            <w:vAlign w:val="center"/>
            <w:shd w:fill="E8EEF5"/>
          </w:tcPr>
          <w:p>
            <w:pPr>
              <w:spacing w:after="40" w:line="264" w:lineRule="auto"/>
            </w:pPr>
            <w:r>
              <w:rPr>
                <w:rFonts w:ascii="Calibri" w:hAnsi="Calibri"/>
                <w:b/>
                <w:color w:val="0B2545"/>
                <w:sz w:val="18"/>
              </w:rPr>
              <w:t>Module</w:t>
            </w:r>
          </w:p>
        </w:tc>
        <w:tc>
          <w:tcPr>
            <w:tcW w:type="dxa" w:w="4680"/>
            <w:tcMar>
              <w:top w:w="80" w:type="dxa"/>
              <w:start w:w="120" w:type="dxa"/>
              <w:bottom w:w="80" w:type="dxa"/>
              <w:end w:w="120" w:type="dxa"/>
            </w:tcMar>
            <w:vAlign w:val="center"/>
            <w:shd w:fill="E8EEF5"/>
          </w:tcPr>
          <w:p>
            <w:pPr>
              <w:spacing w:after="40" w:line="264" w:lineRule="auto"/>
            </w:pPr>
            <w:r>
              <w:rPr>
                <w:rFonts w:ascii="Calibri" w:hAnsi="Calibri"/>
                <w:b/>
                <w:color w:val="0B2545"/>
                <w:sz w:val="18"/>
              </w:rPr>
              <w:t>Still missing / incomplete vs MarginEdge</w:t>
            </w:r>
          </w:p>
        </w:tc>
        <w:tc>
          <w:tcPr>
            <w:tcW w:type="dxa" w:w="2808"/>
            <w:tcMar>
              <w:top w:w="80" w:type="dxa"/>
              <w:start w:w="120" w:type="dxa"/>
              <w:bottom w:w="80" w:type="dxa"/>
              <w:end w:w="120" w:type="dxa"/>
            </w:tcMar>
            <w:vAlign w:val="center"/>
            <w:shd w:fill="E8EEF5"/>
          </w:tcPr>
          <w:p>
            <w:pPr>
              <w:spacing w:after="40" w:line="264" w:lineRule="auto"/>
            </w:pPr>
            <w:r>
              <w:rPr>
                <w:rFonts w:ascii="Calibri" w:hAnsi="Calibri"/>
                <w:b/>
                <w:color w:val="0B2545"/>
                <w:sz w:val="18"/>
              </w:rPr>
              <w:t>Business impact</w:t>
            </w:r>
          </w:p>
        </w:tc>
      </w:tr>
      <w:tr>
        <w:tc>
          <w:tcPr>
            <w:tcW w:type="dxa" w:w="1872"/>
            <w:tcMar>
              <w:top w:w="80" w:type="dxa"/>
              <w:start w:w="120" w:type="dxa"/>
              <w:bottom w:w="80" w:type="dxa"/>
              <w:end w:w="120" w:type="dxa"/>
            </w:tcMar>
            <w:vAlign w:val="center"/>
          </w:tcPr>
          <w:p>
            <w:pPr>
              <w:spacing w:after="40" w:line="264" w:lineRule="auto"/>
            </w:pPr>
            <w:r>
              <w:rPr>
                <w:rFonts w:ascii="Calibri" w:hAnsi="Calibri"/>
                <w:sz w:val="18"/>
              </w:rPr>
              <w:t>Performance</w:t>
            </w:r>
          </w:p>
        </w:tc>
        <w:tc>
          <w:tcPr>
            <w:tcW w:type="dxa" w:w="4680"/>
            <w:tcMar>
              <w:top w:w="80" w:type="dxa"/>
              <w:start w:w="120" w:type="dxa"/>
              <w:bottom w:w="80" w:type="dxa"/>
              <w:end w:w="120" w:type="dxa"/>
            </w:tcMar>
            <w:vAlign w:val="center"/>
          </w:tcPr>
          <w:p>
            <w:pPr>
              <w:spacing w:after="40" w:line="264" w:lineRule="auto"/>
            </w:pPr>
            <w:r>
              <w:rPr>
                <w:rFonts w:ascii="Calibri" w:hAnsi="Calibri"/>
                <w:sz w:val="18"/>
              </w:rPr>
              <w:t>Real controllable P&amp;L, category report, price alerts, price movers, usage report, theoretical usage, reliable budget setup, and charts.</w:t>
            </w:r>
          </w:p>
        </w:tc>
        <w:tc>
          <w:tcPr>
            <w:tcW w:type="dxa" w:w="2808"/>
            <w:tcMar>
              <w:top w:w="80" w:type="dxa"/>
              <w:start w:w="120" w:type="dxa"/>
              <w:bottom w:w="80" w:type="dxa"/>
              <w:end w:w="120" w:type="dxa"/>
            </w:tcMar>
            <w:vAlign w:val="center"/>
          </w:tcPr>
          <w:p>
            <w:pPr>
              <w:spacing w:after="40" w:line="264" w:lineRule="auto"/>
            </w:pPr>
            <w:r>
              <w:rPr>
                <w:rFonts w:ascii="Calibri" w:hAnsi="Calibri"/>
                <w:sz w:val="18"/>
              </w:rPr>
              <w:t>Operators cannot yet diagnose margin leakage with the same depth as MarginEdge.</w:t>
            </w:r>
          </w:p>
        </w:tc>
      </w:tr>
      <w:tr>
        <w:tc>
          <w:tcPr>
            <w:tcW w:type="dxa" w:w="1872"/>
            <w:tcMar>
              <w:top w:w="80" w:type="dxa"/>
              <w:start w:w="120" w:type="dxa"/>
              <w:bottom w:w="80" w:type="dxa"/>
              <w:end w:w="120" w:type="dxa"/>
            </w:tcMar>
            <w:vAlign w:val="center"/>
          </w:tcPr>
          <w:p>
            <w:pPr>
              <w:spacing w:after="40" w:line="264" w:lineRule="auto"/>
            </w:pPr>
            <w:r>
              <w:rPr>
                <w:rFonts w:ascii="Calibri" w:hAnsi="Calibri"/>
                <w:sz w:val="18"/>
              </w:rPr>
              <w:t>Orders</w:t>
            </w:r>
          </w:p>
        </w:tc>
        <w:tc>
          <w:tcPr>
            <w:tcW w:type="dxa" w:w="4680"/>
            <w:tcMar>
              <w:top w:w="80" w:type="dxa"/>
              <w:start w:w="120" w:type="dxa"/>
              <w:bottom w:w="80" w:type="dxa"/>
              <w:end w:w="120" w:type="dxa"/>
            </w:tcMar>
            <w:vAlign w:val="center"/>
          </w:tcPr>
          <w:p>
            <w:pPr>
              <w:spacing w:after="40" w:line="264" w:lineRule="auto"/>
            </w:pPr>
            <w:r>
              <w:rPr>
                <w:rFonts w:ascii="Calibri" w:hAnsi="Calibri"/>
                <w:sz w:val="18"/>
              </w:rPr>
              <w:t>Search Orders equivalent, real transfer creation, receiving against PO lines, partial receipt handling, discrepancy resolution, and order setup rules.</w:t>
            </w:r>
          </w:p>
        </w:tc>
        <w:tc>
          <w:tcPr>
            <w:tcW w:type="dxa" w:w="2808"/>
            <w:tcMar>
              <w:top w:w="80" w:type="dxa"/>
              <w:start w:w="120" w:type="dxa"/>
              <w:bottom w:w="80" w:type="dxa"/>
              <w:end w:w="120" w:type="dxa"/>
            </w:tcMar>
            <w:vAlign w:val="center"/>
          </w:tcPr>
          <w:p>
            <w:pPr>
              <w:spacing w:after="40" w:line="264" w:lineRule="auto"/>
            </w:pPr>
            <w:r>
              <w:rPr>
                <w:rFonts w:ascii="Calibri" w:hAnsi="Calibri"/>
                <w:sz w:val="18"/>
              </w:rPr>
              <w:t>Purchasing lifecycle is visible but not yet operationally complete.</w:t>
            </w:r>
          </w:p>
        </w:tc>
      </w:tr>
      <w:tr>
        <w:tc>
          <w:tcPr>
            <w:tcW w:type="dxa" w:w="1872"/>
            <w:tcMar>
              <w:top w:w="80" w:type="dxa"/>
              <w:start w:w="120" w:type="dxa"/>
              <w:bottom w:w="80" w:type="dxa"/>
              <w:end w:w="120" w:type="dxa"/>
            </w:tcMar>
            <w:vAlign w:val="center"/>
          </w:tcPr>
          <w:p>
            <w:pPr>
              <w:spacing w:after="40" w:line="264" w:lineRule="auto"/>
            </w:pPr>
            <w:r>
              <w:rPr>
                <w:rFonts w:ascii="Calibri" w:hAnsi="Calibri"/>
                <w:sz w:val="18"/>
              </w:rPr>
              <w:t>Accounting</w:t>
            </w:r>
          </w:p>
        </w:tc>
        <w:tc>
          <w:tcPr>
            <w:tcW w:type="dxa" w:w="4680"/>
            <w:tcMar>
              <w:top w:w="80" w:type="dxa"/>
              <w:start w:w="120" w:type="dxa"/>
              <w:bottom w:w="80" w:type="dxa"/>
              <w:end w:w="120" w:type="dxa"/>
            </w:tcMar>
            <w:vAlign w:val="center"/>
          </w:tcPr>
          <w:p>
            <w:pPr>
              <w:spacing w:after="40" w:line="264" w:lineRule="auto"/>
            </w:pPr>
            <w:r>
              <w:rPr>
                <w:rFonts w:ascii="Calibri" w:hAnsi="Calibri"/>
                <w:sz w:val="18"/>
              </w:rPr>
              <w:t>Export, reconciliation, sales mapping, vendor mapping, PMIX mapping, sales entries, inventory entries, categories, payment accounts, and close-books locking.</w:t>
            </w:r>
          </w:p>
        </w:tc>
        <w:tc>
          <w:tcPr>
            <w:tcW w:type="dxa" w:w="2808"/>
            <w:tcMar>
              <w:top w:w="80" w:type="dxa"/>
              <w:start w:w="120" w:type="dxa"/>
              <w:bottom w:w="80" w:type="dxa"/>
              <w:end w:w="120" w:type="dxa"/>
            </w:tcMar>
            <w:vAlign w:val="center"/>
          </w:tcPr>
          <w:p>
            <w:pPr>
              <w:spacing w:after="40" w:line="264" w:lineRule="auto"/>
            </w:pPr>
            <w:r>
              <w:rPr>
                <w:rFonts w:ascii="Calibri" w:hAnsi="Calibri"/>
                <w:sz w:val="18"/>
              </w:rPr>
              <w:t>Finance users may see the module but cannot trust it as an accounting close workflow yet.</w:t>
            </w:r>
          </w:p>
        </w:tc>
      </w:tr>
      <w:tr>
        <w:tc>
          <w:tcPr>
            <w:tcW w:type="dxa" w:w="1872"/>
            <w:tcMar>
              <w:top w:w="80" w:type="dxa"/>
              <w:start w:w="120" w:type="dxa"/>
              <w:bottom w:w="80" w:type="dxa"/>
              <w:end w:w="120" w:type="dxa"/>
            </w:tcMar>
            <w:vAlign w:val="center"/>
          </w:tcPr>
          <w:p>
            <w:pPr>
              <w:spacing w:after="40" w:line="264" w:lineRule="auto"/>
            </w:pPr>
            <w:r>
              <w:rPr>
                <w:rFonts w:ascii="Calibri" w:hAnsi="Calibri"/>
                <w:sz w:val="18"/>
              </w:rPr>
              <w:t>Inventory</w:t>
            </w:r>
          </w:p>
        </w:tc>
        <w:tc>
          <w:tcPr>
            <w:tcW w:type="dxa" w:w="4680"/>
            <w:tcMar>
              <w:top w:w="80" w:type="dxa"/>
              <w:start w:w="120" w:type="dxa"/>
              <w:bottom w:w="80" w:type="dxa"/>
              <w:end w:w="120" w:type="dxa"/>
            </w:tcMar>
            <w:vAlign w:val="center"/>
          </w:tcPr>
          <w:p>
            <w:pPr>
              <w:spacing w:after="40" w:line="264" w:lineRule="auto"/>
            </w:pPr>
            <w:r>
              <w:rPr>
                <w:rFonts w:ascii="Calibri" w:hAnsi="Calibri"/>
                <w:sz w:val="18"/>
              </w:rPr>
              <w:t>Count-sheet template builder, mobile count entry, count approvals, variance review, waste summary trigger, inventory products setup, and liquor smart scale equivalent.</w:t>
            </w:r>
          </w:p>
        </w:tc>
        <w:tc>
          <w:tcPr>
            <w:tcW w:type="dxa" w:w="2808"/>
            <w:tcMar>
              <w:top w:w="80" w:type="dxa"/>
              <w:start w:w="120" w:type="dxa"/>
              <w:bottom w:w="80" w:type="dxa"/>
              <w:end w:w="120" w:type="dxa"/>
            </w:tcMar>
            <w:vAlign w:val="center"/>
          </w:tcPr>
          <w:p>
            <w:pPr>
              <w:spacing w:after="40" w:line="264" w:lineRule="auto"/>
            </w:pPr>
            <w:r>
              <w:rPr>
                <w:rFonts w:ascii="Calibri" w:hAnsi="Calibri"/>
                <w:sz w:val="18"/>
              </w:rPr>
              <w:t>Inventory control exists in pieces but is not yet a daily count-and-variance system.</w:t>
            </w:r>
          </w:p>
        </w:tc>
      </w:tr>
      <w:tr>
        <w:tc>
          <w:tcPr>
            <w:tcW w:type="dxa" w:w="1872"/>
            <w:tcMar>
              <w:top w:w="80" w:type="dxa"/>
              <w:start w:w="120" w:type="dxa"/>
              <w:bottom w:w="80" w:type="dxa"/>
              <w:end w:w="120" w:type="dxa"/>
            </w:tcMar>
            <w:vAlign w:val="center"/>
          </w:tcPr>
          <w:p>
            <w:pPr>
              <w:spacing w:after="40" w:line="264" w:lineRule="auto"/>
            </w:pPr>
            <w:r>
              <w:rPr>
                <w:rFonts w:ascii="Calibri" w:hAnsi="Calibri"/>
                <w:sz w:val="18"/>
              </w:rPr>
              <w:t>Labor</w:t>
            </w:r>
          </w:p>
        </w:tc>
        <w:tc>
          <w:tcPr>
            <w:tcW w:type="dxa" w:w="4680"/>
            <w:tcMar>
              <w:top w:w="80" w:type="dxa"/>
              <w:start w:w="120" w:type="dxa"/>
              <w:bottom w:w="80" w:type="dxa"/>
              <w:end w:w="120" w:type="dxa"/>
            </w:tcMar>
            <w:vAlign w:val="center"/>
          </w:tcPr>
          <w:p>
            <w:pPr>
              <w:spacing w:after="40" w:line="264" w:lineRule="auto"/>
            </w:pPr>
            <w:r>
              <w:rPr>
                <w:rFonts w:ascii="Calibri" w:hAnsi="Calibri"/>
                <w:sz w:val="18"/>
              </w:rPr>
              <w:t>Schedule builder, shift variance, POS/timeclock import, overtime rules, and labor setup persistence.</w:t>
            </w:r>
          </w:p>
        </w:tc>
        <w:tc>
          <w:tcPr>
            <w:tcW w:type="dxa" w:w="2808"/>
            <w:tcMar>
              <w:top w:w="80" w:type="dxa"/>
              <w:start w:w="120" w:type="dxa"/>
              <w:bottom w:w="80" w:type="dxa"/>
              <w:end w:w="120" w:type="dxa"/>
            </w:tcMar>
            <w:vAlign w:val="center"/>
          </w:tcPr>
          <w:p>
            <w:pPr>
              <w:spacing w:after="40" w:line="264" w:lineRule="auto"/>
            </w:pPr>
            <w:r>
              <w:rPr>
                <w:rFonts w:ascii="Calibri" w:hAnsi="Calibri"/>
                <w:sz w:val="18"/>
              </w:rPr>
              <w:t>Labor can summarize data but cannot yet manage labor operations end to end.</w:t>
            </w:r>
          </w:p>
        </w:tc>
      </w:tr>
      <w:tr>
        <w:tc>
          <w:tcPr>
            <w:tcW w:type="dxa" w:w="1872"/>
            <w:tcMar>
              <w:top w:w="80" w:type="dxa"/>
              <w:start w:w="120" w:type="dxa"/>
              <w:bottom w:w="80" w:type="dxa"/>
              <w:end w:w="120" w:type="dxa"/>
            </w:tcMar>
            <w:vAlign w:val="center"/>
          </w:tcPr>
          <w:p>
            <w:pPr>
              <w:spacing w:after="40" w:line="264" w:lineRule="auto"/>
            </w:pPr>
            <w:r>
              <w:rPr>
                <w:rFonts w:ascii="Calibri" w:hAnsi="Calibri"/>
                <w:sz w:val="18"/>
              </w:rPr>
              <w:t>Setup</w:t>
            </w:r>
          </w:p>
        </w:tc>
        <w:tc>
          <w:tcPr>
            <w:tcW w:type="dxa" w:w="4680"/>
            <w:tcMar>
              <w:top w:w="80" w:type="dxa"/>
              <w:start w:w="120" w:type="dxa"/>
              <w:bottom w:w="80" w:type="dxa"/>
              <w:end w:w="120" w:type="dxa"/>
            </w:tcMar>
            <w:vAlign w:val="center"/>
          </w:tcPr>
          <w:p>
            <w:pPr>
              <w:spacing w:after="40" w:line="264" w:lineRule="auto"/>
            </w:pPr>
            <w:r>
              <w:rPr>
                <w:rFonts w:ascii="Calibri" w:hAnsi="Calibri"/>
                <w:sz w:val="18"/>
              </w:rPr>
              <w:t>Persistent POS setup, shared device registration, notification rules, location settings, and migrations for settings/devices/rules.</w:t>
            </w:r>
          </w:p>
        </w:tc>
        <w:tc>
          <w:tcPr>
            <w:tcW w:type="dxa" w:w="2808"/>
            <w:tcMar>
              <w:top w:w="80" w:type="dxa"/>
              <w:start w:w="120" w:type="dxa"/>
              <w:bottom w:w="80" w:type="dxa"/>
              <w:end w:w="120" w:type="dxa"/>
            </w:tcMar>
            <w:vAlign w:val="center"/>
          </w:tcPr>
          <w:p>
            <w:pPr>
              <w:spacing w:after="40" w:line="264" w:lineRule="auto"/>
            </w:pPr>
            <w:r>
              <w:rPr>
                <w:rFonts w:ascii="Calibri" w:hAnsi="Calibri"/>
                <w:sz w:val="18"/>
              </w:rPr>
              <w:t>Setup is currently more of a shell than a reliable configuration center.</w:t>
            </w:r>
          </w:p>
        </w:tc>
      </w:tr>
      <w:tr>
        <w:tc>
          <w:tcPr>
            <w:tcW w:type="dxa" w:w="1872"/>
            <w:tcMar>
              <w:top w:w="80" w:type="dxa"/>
              <w:start w:w="120" w:type="dxa"/>
              <w:bottom w:w="80" w:type="dxa"/>
              <w:end w:w="120" w:type="dxa"/>
            </w:tcMar>
            <w:vAlign w:val="center"/>
          </w:tcPr>
          <w:p>
            <w:pPr>
              <w:spacing w:after="40" w:line="264" w:lineRule="auto"/>
            </w:pPr>
            <w:r>
              <w:rPr>
                <w:rFonts w:ascii="Calibri" w:hAnsi="Calibri"/>
                <w:sz w:val="18"/>
              </w:rPr>
              <w:t>Recipes / Prep</w:t>
            </w:r>
          </w:p>
        </w:tc>
        <w:tc>
          <w:tcPr>
            <w:tcW w:type="dxa" w:w="4680"/>
            <w:tcMar>
              <w:top w:w="80" w:type="dxa"/>
              <w:start w:w="120" w:type="dxa"/>
              <w:bottom w:w="80" w:type="dxa"/>
              <w:end w:w="120" w:type="dxa"/>
            </w:tcMar>
            <w:vAlign w:val="center"/>
          </w:tcPr>
          <w:p>
            <w:pPr>
              <w:spacing w:after="40" w:line="264" w:lineRule="auto"/>
            </w:pPr>
            <w:r>
              <w:rPr>
                <w:rFonts w:ascii="Calibri" w:hAnsi="Calibri"/>
                <w:sz w:val="18"/>
              </w:rPr>
              <w:t>Bar Items and SmartPrep-style production planning are still missing; recipe viewer/setup needs deeper workflow support.</w:t>
            </w:r>
          </w:p>
        </w:tc>
        <w:tc>
          <w:tcPr>
            <w:tcW w:type="dxa" w:w="2808"/>
            <w:tcMar>
              <w:top w:w="80" w:type="dxa"/>
              <w:start w:w="120" w:type="dxa"/>
              <w:bottom w:w="80" w:type="dxa"/>
              <w:end w:w="120" w:type="dxa"/>
            </w:tcMar>
            <w:vAlign w:val="center"/>
          </w:tcPr>
          <w:p>
            <w:pPr>
              <w:spacing w:after="40" w:line="264" w:lineRule="auto"/>
            </w:pPr>
            <w:r>
              <w:rPr>
                <w:rFonts w:ascii="Calibri" w:hAnsi="Calibri"/>
                <w:sz w:val="18"/>
              </w:rPr>
              <w:t>Menu and prep operations trail MarginEdge in bar and prep planning scenarios.</w:t>
            </w:r>
          </w:p>
        </w:tc>
      </w:tr>
      <w:tr>
        <w:tc>
          <w:tcPr>
            <w:tcW w:type="dxa" w:w="1872"/>
            <w:tcMar>
              <w:top w:w="80" w:type="dxa"/>
              <w:start w:w="120" w:type="dxa"/>
              <w:bottom w:w="80" w:type="dxa"/>
              <w:end w:w="120" w:type="dxa"/>
            </w:tcMar>
            <w:vAlign w:val="center"/>
          </w:tcPr>
          <w:p>
            <w:pPr>
              <w:spacing w:after="40" w:line="264" w:lineRule="auto"/>
            </w:pPr>
            <w:r>
              <w:rPr>
                <w:rFonts w:ascii="Calibri" w:hAnsi="Calibri"/>
                <w:sz w:val="18"/>
              </w:rPr>
              <w:t>Bill Pay / Card</w:t>
            </w:r>
          </w:p>
        </w:tc>
        <w:tc>
          <w:tcPr>
            <w:tcW w:type="dxa" w:w="4680"/>
            <w:tcMar>
              <w:top w:w="80" w:type="dxa"/>
              <w:start w:w="120" w:type="dxa"/>
              <w:bottom w:w="80" w:type="dxa"/>
              <w:end w:w="120" w:type="dxa"/>
            </w:tcMar>
            <w:vAlign w:val="center"/>
          </w:tcPr>
          <w:p>
            <w:pPr>
              <w:spacing w:after="40" w:line="264" w:lineRule="auto"/>
            </w:pPr>
            <w:r>
              <w:rPr>
                <w:rFonts w:ascii="Calibri" w:hAnsi="Calibri"/>
                <w:sz w:val="18"/>
              </w:rPr>
              <w:t>MEVS has Bill Pay/Payments, but no MarginEdge Card equivalent was found.</w:t>
            </w:r>
          </w:p>
        </w:tc>
        <w:tc>
          <w:tcPr>
            <w:tcW w:type="dxa" w:w="2808"/>
            <w:tcMar>
              <w:top w:w="80" w:type="dxa"/>
              <w:start w:w="120" w:type="dxa"/>
              <w:bottom w:w="80" w:type="dxa"/>
              <w:end w:w="120" w:type="dxa"/>
            </w:tcMar>
            <w:vAlign w:val="center"/>
          </w:tcPr>
          <w:p>
            <w:pPr>
              <w:spacing w:after="40" w:line="264" w:lineRule="auto"/>
            </w:pPr>
            <w:r>
              <w:rPr>
                <w:rFonts w:ascii="Calibri" w:hAnsi="Calibri"/>
                <w:sz w:val="18"/>
              </w:rPr>
              <w:t>A purchase card workflow could become a differentiator if integrated into spend controls.</w:t>
            </w:r>
          </w:p>
        </w:tc>
      </w:tr>
    </w:tbl>
    <w:p/>
    <w:p>
      <w:pPr>
        <w:pStyle w:val="Heading1"/>
      </w:pPr>
      <w:r>
        <w:t>Recommended Improvements to Stay Ahead</w:t>
      </w:r>
    </w:p>
    <w:p>
      <w:pPr>
        <w:pStyle w:val="ListBullet"/>
      </w:pPr>
      <w:r>
        <w:t>AI action center: turn AI Insights into prioritized actions with owner, dollar impact, confidence, due date, and one-click task creation.</w:t>
      </w:r>
    </w:p>
    <w:p>
      <w:pPr>
        <w:pStyle w:val="ListBullet"/>
      </w:pPr>
      <w:r>
        <w:t>Explainable AvT costing: show the variance source by invoice line, recipe usage, waste, sales mix, transfer, and count adjustment.</w:t>
      </w:r>
    </w:p>
    <w:p>
      <w:pPr>
        <w:pStyle w:val="ListBullet"/>
      </w:pPr>
      <w:r>
        <w:t>Integration health console: expose sync status, failed records, retry actions, mapping drift, duplicate vendors/products, and POS/accounting connection health.</w:t>
      </w:r>
    </w:p>
    <w:p>
      <w:pPr>
        <w:pStyle w:val="ListBullet"/>
      </w:pPr>
      <w:r>
        <w:t>Smart purchasing guardrails: recommend vendor substitutions, flag unusual price movement before orders are placed, and suggest order quantities based on forecast, par, and active prep plans.</w:t>
      </w:r>
    </w:p>
    <w:p>
      <w:pPr>
        <w:pStyle w:val="ListBullet"/>
      </w:pPr>
      <w:r>
        <w:t>Close-readiness score: before accounting close, show missing invoices, unmapped categories, unreconciled payments, stale inventory counts, and unresolved receiving discrepancies.</w:t>
      </w:r>
    </w:p>
    <w:p>
      <w:pPr>
        <w:pStyle w:val="ListBullet"/>
      </w:pPr>
      <w:r>
        <w:t>Setup completeness score: guide each restaurant through POS, vendors, products, recipes, accounts, users, devices, notifications, and first close with an auditable checklist.</w:t>
      </w:r>
    </w:p>
    <w:p>
      <w:pPr>
        <w:pStyle w:val="Heading1"/>
      </w:pPr>
      <w:r>
        <w:t>30-Day Implementation Roadmap</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512"/>
            <w:tcMar>
              <w:top w:w="80" w:type="dxa"/>
              <w:start w:w="120" w:type="dxa"/>
              <w:bottom w:w="80" w:type="dxa"/>
              <w:end w:w="120" w:type="dxa"/>
            </w:tcMar>
            <w:vAlign w:val="center"/>
            <w:shd w:fill="E8EEF5"/>
          </w:tcPr>
          <w:p>
            <w:pPr>
              <w:spacing w:after="40" w:line="264" w:lineRule="auto"/>
            </w:pPr>
            <w:r>
              <w:rPr>
                <w:rFonts w:ascii="Calibri" w:hAnsi="Calibri"/>
                <w:b/>
                <w:color w:val="0B2545"/>
                <w:sz w:val="18"/>
              </w:rPr>
              <w:t>Timeframe</w:t>
            </w:r>
          </w:p>
        </w:tc>
        <w:tc>
          <w:tcPr>
            <w:tcW w:type="dxa" w:w="2880"/>
            <w:tcMar>
              <w:top w:w="80" w:type="dxa"/>
              <w:start w:w="120" w:type="dxa"/>
              <w:bottom w:w="80" w:type="dxa"/>
              <w:end w:w="120" w:type="dxa"/>
            </w:tcMar>
            <w:vAlign w:val="center"/>
            <w:shd w:fill="E8EEF5"/>
          </w:tcPr>
          <w:p>
            <w:pPr>
              <w:spacing w:after="40" w:line="264" w:lineRule="auto"/>
            </w:pPr>
            <w:r>
              <w:rPr>
                <w:rFonts w:ascii="Calibri" w:hAnsi="Calibri"/>
                <w:b/>
                <w:color w:val="0B2545"/>
                <w:sz w:val="18"/>
              </w:rPr>
              <w:t>Focus</w:t>
            </w:r>
          </w:p>
        </w:tc>
        <w:tc>
          <w:tcPr>
            <w:tcW w:type="dxa" w:w="4968"/>
            <w:tcMar>
              <w:top w:w="80" w:type="dxa"/>
              <w:start w:w="120" w:type="dxa"/>
              <w:bottom w:w="80" w:type="dxa"/>
              <w:end w:w="120" w:type="dxa"/>
            </w:tcMar>
            <w:vAlign w:val="center"/>
            <w:shd w:fill="E8EEF5"/>
          </w:tcPr>
          <w:p>
            <w:pPr>
              <w:spacing w:after="40" w:line="264" w:lineRule="auto"/>
            </w:pPr>
            <w:r>
              <w:rPr>
                <w:rFonts w:ascii="Calibri" w:hAnsi="Calibri"/>
                <w:b/>
                <w:color w:val="0B2545"/>
                <w:sz w:val="18"/>
              </w:rPr>
              <w:t>Deliverables</w:t>
            </w:r>
          </w:p>
        </w:tc>
      </w:tr>
      <w:tr>
        <w:tc>
          <w:tcPr>
            <w:tcW w:type="dxa" w:w="1512"/>
            <w:tcMar>
              <w:top w:w="80" w:type="dxa"/>
              <w:start w:w="120" w:type="dxa"/>
              <w:bottom w:w="80" w:type="dxa"/>
              <w:end w:w="120" w:type="dxa"/>
            </w:tcMar>
            <w:vAlign w:val="center"/>
          </w:tcPr>
          <w:p>
            <w:pPr>
              <w:spacing w:after="40" w:line="264" w:lineRule="auto"/>
            </w:pPr>
            <w:r>
              <w:rPr>
                <w:rFonts w:ascii="Calibri" w:hAnsi="Calibri"/>
                <w:sz w:val="18"/>
              </w:rPr>
              <w:t>Week 1</w:t>
            </w:r>
          </w:p>
        </w:tc>
        <w:tc>
          <w:tcPr>
            <w:tcW w:type="dxa" w:w="2880"/>
            <w:tcMar>
              <w:top w:w="80" w:type="dxa"/>
              <w:start w:w="120" w:type="dxa"/>
              <w:bottom w:w="80" w:type="dxa"/>
              <w:end w:w="120" w:type="dxa"/>
            </w:tcMar>
            <w:vAlign w:val="center"/>
          </w:tcPr>
          <w:p>
            <w:pPr>
              <w:spacing w:after="40" w:line="264" w:lineRule="auto"/>
            </w:pPr>
            <w:r>
              <w:rPr>
                <w:rFonts w:ascii="Calibri" w:hAnsi="Calibri"/>
                <w:sz w:val="18"/>
              </w:rPr>
              <w:t>Stabilize routing and navigation.</w:t>
            </w:r>
          </w:p>
        </w:tc>
        <w:tc>
          <w:tcPr>
            <w:tcW w:type="dxa" w:w="4968"/>
            <w:tcMar>
              <w:top w:w="80" w:type="dxa"/>
              <w:start w:w="120" w:type="dxa"/>
              <w:bottom w:w="80" w:type="dxa"/>
              <w:end w:w="120" w:type="dxa"/>
            </w:tcMar>
            <w:vAlign w:val="center"/>
          </w:tcPr>
          <w:p>
            <w:pPr>
              <w:spacing w:after="40" w:line="264" w:lineRule="auto"/>
            </w:pPr>
            <w:r>
              <w:rPr>
                <w:rFonts w:ascii="Calibri" w:hAnsi="Calibri"/>
                <w:sz w:val="18"/>
              </w:rPr>
              <w:t>Register RestaurantSetup; add moduleConfig support; fix Accounting tab links; clean Inventory duplicate count-sheets and Waste Summary tab.</w:t>
            </w:r>
          </w:p>
        </w:tc>
      </w:tr>
      <w:tr>
        <w:tc>
          <w:tcPr>
            <w:tcW w:type="dxa" w:w="1512"/>
            <w:tcMar>
              <w:top w:w="80" w:type="dxa"/>
              <w:start w:w="120" w:type="dxa"/>
              <w:bottom w:w="80" w:type="dxa"/>
              <w:end w:w="120" w:type="dxa"/>
            </w:tcMar>
            <w:vAlign w:val="center"/>
          </w:tcPr>
          <w:p>
            <w:pPr>
              <w:spacing w:after="40" w:line="264" w:lineRule="auto"/>
            </w:pPr>
            <w:r>
              <w:rPr>
                <w:rFonts w:ascii="Calibri" w:hAnsi="Calibri"/>
                <w:sz w:val="18"/>
              </w:rPr>
              <w:t>Week 2</w:t>
            </w:r>
          </w:p>
        </w:tc>
        <w:tc>
          <w:tcPr>
            <w:tcW w:type="dxa" w:w="2880"/>
            <w:tcMar>
              <w:top w:w="80" w:type="dxa"/>
              <w:start w:w="120" w:type="dxa"/>
              <w:bottom w:w="80" w:type="dxa"/>
              <w:end w:w="120" w:type="dxa"/>
            </w:tcMar>
            <w:vAlign w:val="center"/>
          </w:tcPr>
          <w:p>
            <w:pPr>
              <w:spacing w:after="40" w:line="264" w:lineRule="auto"/>
            </w:pPr>
            <w:r>
              <w:rPr>
                <w:rFonts w:ascii="Calibri" w:hAnsi="Calibri"/>
                <w:sz w:val="18"/>
              </w:rPr>
              <w:t>Make Orders and Inventory workflows real.</w:t>
            </w:r>
          </w:p>
        </w:tc>
        <w:tc>
          <w:tcPr>
            <w:tcW w:type="dxa" w:w="4968"/>
            <w:tcMar>
              <w:top w:w="80" w:type="dxa"/>
              <w:start w:w="120" w:type="dxa"/>
              <w:bottom w:w="80" w:type="dxa"/>
              <w:end w:w="120" w:type="dxa"/>
            </w:tcMar>
            <w:vAlign w:val="center"/>
          </w:tcPr>
          <w:p>
            <w:pPr>
              <w:spacing w:after="40" w:line="264" w:lineRule="auto"/>
            </w:pPr>
            <w:r>
              <w:rPr>
                <w:rFonts w:ascii="Calibri" w:hAnsi="Calibri"/>
                <w:sz w:val="18"/>
              </w:rPr>
              <w:t>Create Transfer and Receiving records from dialogs; support partial receipts and discrepancies; create CountSheet templates; launch mobile count session entry.</w:t>
            </w:r>
          </w:p>
        </w:tc>
      </w:tr>
      <w:tr>
        <w:tc>
          <w:tcPr>
            <w:tcW w:type="dxa" w:w="1512"/>
            <w:tcMar>
              <w:top w:w="80" w:type="dxa"/>
              <w:start w:w="120" w:type="dxa"/>
              <w:bottom w:w="80" w:type="dxa"/>
              <w:end w:w="120" w:type="dxa"/>
            </w:tcMar>
            <w:vAlign w:val="center"/>
          </w:tcPr>
          <w:p>
            <w:pPr>
              <w:spacing w:after="40" w:line="264" w:lineRule="auto"/>
            </w:pPr>
            <w:r>
              <w:rPr>
                <w:rFonts w:ascii="Calibri" w:hAnsi="Calibri"/>
                <w:sz w:val="18"/>
              </w:rPr>
              <w:t>Week 3</w:t>
            </w:r>
          </w:p>
        </w:tc>
        <w:tc>
          <w:tcPr>
            <w:tcW w:type="dxa" w:w="2880"/>
            <w:tcMar>
              <w:top w:w="80" w:type="dxa"/>
              <w:start w:w="120" w:type="dxa"/>
              <w:bottom w:w="80" w:type="dxa"/>
              <w:end w:w="120" w:type="dxa"/>
            </w:tcMar>
            <w:vAlign w:val="center"/>
          </w:tcPr>
          <w:p>
            <w:pPr>
              <w:spacing w:after="40" w:line="264" w:lineRule="auto"/>
            </w:pPr>
            <w:r>
              <w:rPr>
                <w:rFonts w:ascii="Calibri" w:hAnsi="Calibri"/>
                <w:sz w:val="18"/>
              </w:rPr>
              <w:t>Deepen Performance.</w:t>
            </w:r>
          </w:p>
        </w:tc>
        <w:tc>
          <w:tcPr>
            <w:tcW w:type="dxa" w:w="4968"/>
            <w:tcMar>
              <w:top w:w="80" w:type="dxa"/>
              <w:start w:w="120" w:type="dxa"/>
              <w:bottom w:w="80" w:type="dxa"/>
              <w:end w:w="120" w:type="dxa"/>
            </w:tcMar>
            <w:vAlign w:val="center"/>
          </w:tcPr>
          <w:p>
            <w:pPr>
              <w:spacing w:after="40" w:line="264" w:lineRule="auto"/>
            </w:pPr>
            <w:r>
              <w:rPr>
                <w:rFonts w:ascii="Calibri" w:hAnsi="Calibri"/>
                <w:sz w:val="18"/>
              </w:rPr>
              <w:t>Add real sales charts, budget setup, category report, price movers, usage report, theoretical usage, and P&amp;L cards from existing entities.</w:t>
            </w:r>
          </w:p>
        </w:tc>
      </w:tr>
      <w:tr>
        <w:tc>
          <w:tcPr>
            <w:tcW w:type="dxa" w:w="1512"/>
            <w:tcMar>
              <w:top w:w="80" w:type="dxa"/>
              <w:start w:w="120" w:type="dxa"/>
              <w:bottom w:w="80" w:type="dxa"/>
              <w:end w:w="120" w:type="dxa"/>
            </w:tcMar>
            <w:vAlign w:val="center"/>
          </w:tcPr>
          <w:p>
            <w:pPr>
              <w:spacing w:after="40" w:line="264" w:lineRule="auto"/>
            </w:pPr>
            <w:r>
              <w:rPr>
                <w:rFonts w:ascii="Calibri" w:hAnsi="Calibri"/>
                <w:sz w:val="18"/>
              </w:rPr>
              <w:t>Week 4</w:t>
            </w:r>
          </w:p>
        </w:tc>
        <w:tc>
          <w:tcPr>
            <w:tcW w:type="dxa" w:w="2880"/>
            <w:tcMar>
              <w:top w:w="80" w:type="dxa"/>
              <w:start w:w="120" w:type="dxa"/>
              <w:bottom w:w="80" w:type="dxa"/>
              <w:end w:w="120" w:type="dxa"/>
            </w:tcMar>
            <w:vAlign w:val="center"/>
          </w:tcPr>
          <w:p>
            <w:pPr>
              <w:spacing w:after="40" w:line="264" w:lineRule="auto"/>
            </w:pPr>
            <w:r>
              <w:rPr>
                <w:rFonts w:ascii="Calibri" w:hAnsi="Calibri"/>
                <w:sz w:val="18"/>
              </w:rPr>
              <w:t>Make Accounting and Setup credible.</w:t>
            </w:r>
          </w:p>
        </w:tc>
        <w:tc>
          <w:tcPr>
            <w:tcW w:type="dxa" w:w="4968"/>
            <w:tcMar>
              <w:top w:w="80" w:type="dxa"/>
              <w:start w:w="120" w:type="dxa"/>
              <w:bottom w:w="80" w:type="dxa"/>
              <w:end w:w="120" w:type="dxa"/>
            </w:tcMar>
            <w:vAlign w:val="center"/>
          </w:tcPr>
          <w:p>
            <w:pPr>
              <w:spacing w:after="40" w:line="264" w:lineRule="auto"/>
            </w:pPr>
            <w:r>
              <w:rPr>
                <w:rFonts w:ascii="Calibri" w:hAnsi="Calibri"/>
                <w:sz w:val="18"/>
              </w:rPr>
              <w:t>Build export/mapping/reconciliation minimum viable workflows; persist POS setup, shared devices, notification rules, store groups, and location settings.</w:t>
            </w:r>
          </w:p>
        </w:tc>
      </w:tr>
    </w:tbl>
    <w:p/>
    <w:p>
      <w:pPr>
        <w:pStyle w:val="Heading1"/>
      </w:pPr>
      <w:r>
        <w:t>Implementation Checklist</w:t>
      </w:r>
    </w:p>
    <w:p>
      <w:pPr>
        <w:pStyle w:val="ListNumber"/>
      </w:pPr>
      <w:r>
        <w:t>P0: Add RestaurantSetup to pages.config and moduleConfig.</w:t>
      </w:r>
    </w:p>
    <w:p>
      <w:pPr>
        <w:pStyle w:val="ListNumber"/>
      </w:pPr>
      <w:r>
        <w:t>P0: Align Layout accounting links with Accounting.jsx tab values.</w:t>
      </w:r>
    </w:p>
    <w:p>
      <w:pPr>
        <w:pStyle w:val="ListNumber"/>
      </w:pPr>
      <w:r>
        <w:t>P0: Merge duplicate count-sheets panels and expose or remove Waste Summary.</w:t>
      </w:r>
    </w:p>
    <w:p>
      <w:pPr>
        <w:pStyle w:val="ListNumber"/>
      </w:pPr>
      <w:r>
        <w:t>P1: Wire Transfers and Receiving to api.entities.Transfer and api.entities.Receiving with create/list/update flows.</w:t>
      </w:r>
    </w:p>
    <w:p>
      <w:pPr>
        <w:pStyle w:val="ListNumber"/>
      </w:pPr>
      <w:r>
        <w:t>P1: Add real CountSheet and CountSession creation, count entry, submit, and variance review.</w:t>
      </w:r>
    </w:p>
    <w:p>
      <w:pPr>
        <w:pStyle w:val="ListNumber"/>
      </w:pPr>
      <w:r>
        <w:t>P1: Replace Accounting placeholder cards with minimum viable export, mapping, reconciliation, and close-book actions.</w:t>
      </w:r>
    </w:p>
    <w:p>
      <w:pPr>
        <w:pStyle w:val="ListNumber"/>
      </w:pPr>
      <w:r>
        <w:t>P2: Implement Performance analytics with real charts, budget persistence, and alert thresholds.</w:t>
      </w:r>
    </w:p>
    <w:p>
      <w:pPr>
        <w:pStyle w:val="ListNumber"/>
      </w:pPr>
      <w:r>
        <w:t>P2: Persist Restaurant Setup tabs with database tables for shared devices, notification rules, location settings, and POS configuration.</w:t>
      </w:r>
    </w:p>
    <w:p>
      <w:pPr>
        <w:pStyle w:val="ListNumber"/>
      </w:pPr>
      <w:r>
        <w:t>P2: Add Bar Items and SmartPrep-style prep planning to Recipes/Menu Engineering.</w:t>
      </w:r>
    </w:p>
    <w:p>
      <w:pPr>
        <w:pStyle w:val="ListNumber"/>
      </w:pPr>
      <w:r>
        <w:t>P3: Add purchase-card or controlled spend workflow to compete with MarginEdge Card.</w:t>
      </w:r>
    </w:p>
    <w:p>
      <w:pPr>
        <w:pStyle w:val="Heading1"/>
      </w:pPr>
      <w:r>
        <w:t>Conclusion</w:t>
      </w:r>
    </w:p>
    <w:p>
      <w:r>
        <w:t>The latest MEVS update moved the platform from broad feature coverage toward competitive parity, but several modules still stop at navigation-level or placeholder-level completeness. The immediate win is to fix the routing and tab issues, then convert the visible placeholder workflows into small but real end-to-end actions. Once that foundation is stable, MEVS can outpace MarginEdge by leaning into AI-driven exception handling, explainable AvT, and integration health features that reduce operator work instead of only reporting it.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MEVS vs MarginEdge latest platform gap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