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EA0" w:rsidRPr="003B56A0" w:rsidRDefault="003B56A0">
      <w:pPr>
        <w:spacing w:after="80"/>
        <w:rPr>
          <w:sz w:val="28"/>
          <w:szCs w:val="28"/>
        </w:rPr>
      </w:pPr>
      <w:r w:rsidRPr="003B56A0">
        <w:rPr>
          <w:b/>
          <w:bCs/>
          <w:sz w:val="28"/>
          <w:szCs w:val="28"/>
        </w:rPr>
        <w:t>Customer Churn Analysis</w:t>
      </w:r>
    </w:p>
    <w:p w:rsidR="00A84EA0" w:rsidRPr="003B56A0" w:rsidRDefault="003B56A0">
      <w:pPr>
        <w:spacing w:after="400"/>
        <w:rPr>
          <w:sz w:val="28"/>
          <w:szCs w:val="28"/>
        </w:rPr>
      </w:pPr>
      <w:r w:rsidRPr="003B56A0">
        <w:rPr>
          <w:color w:val="595959"/>
          <w:sz w:val="28"/>
          <w:szCs w:val="28"/>
        </w:rPr>
        <w:t>Overall Project Report</w:t>
      </w:r>
    </w:p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t>1. Executive Summary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 xml:space="preserve">This project </w:t>
      </w:r>
      <w:proofErr w:type="spellStart"/>
      <w:r w:rsidRPr="003B56A0">
        <w:rPr>
          <w:sz w:val="28"/>
          <w:szCs w:val="28"/>
        </w:rPr>
        <w:t>analyzed</w:t>
      </w:r>
      <w:proofErr w:type="spellEnd"/>
      <w:r w:rsidRPr="003B56A0">
        <w:rPr>
          <w:sz w:val="28"/>
          <w:szCs w:val="28"/>
        </w:rPr>
        <w:t xml:space="preserve"> 1,500 customers of a subscription business to identify why customers churn and which segments are most at risk. The analysis was carried out across four tools — Excel, SQL, Python, and Power BI — with every number cross-validated acro</w:t>
      </w:r>
      <w:r w:rsidRPr="003B56A0">
        <w:rPr>
          <w:sz w:val="28"/>
          <w:szCs w:val="28"/>
        </w:rPr>
        <w:t>ss all four.</w:t>
      </w:r>
      <w:bookmarkStart w:id="0" w:name="_GoBack"/>
      <w:bookmarkEnd w:id="0"/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Overall churn rate is 18.9%. The single strongest driver is contract type: month-to-month customers churn at 28.1%, compared to 6.7% for two-year contracts. Churn is also concentrated in a customer's first 12 months, and strongly linked to low</w:t>
      </w:r>
      <w:r w:rsidRPr="003B56A0">
        <w:rPr>
          <w:sz w:val="28"/>
          <w:szCs w:val="28"/>
        </w:rPr>
        <w:t xml:space="preserve"> product usage and unresolved complaints. A compound risk segment — month-to-month, low-usage, with an unresolved complaint — churns at 51.5%, nearly triple the baseline rate.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A predictive model (Random Forest / Logistic Regression) was trained to score ev</w:t>
      </w:r>
      <w:r w:rsidRPr="003B56A0">
        <w:rPr>
          <w:sz w:val="28"/>
          <w:szCs w:val="28"/>
        </w:rPr>
        <w:t>ery currently active customer by churn probability, producing a ranked at-risk list for targeted retention outreach.</w:t>
      </w:r>
    </w:p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t>2. Methodology: Tools Used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900"/>
      </w:tblGrid>
      <w:tr w:rsidR="00A84EA0" w:rsidRPr="003B56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Tool</w:t>
            </w:r>
          </w:p>
        </w:tc>
        <w:tc>
          <w:tcPr>
            <w:tcW w:w="79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What Was Built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Excel</w:t>
            </w:r>
          </w:p>
        </w:tc>
        <w:tc>
          <w:tcPr>
            <w:tcW w:w="7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Formula-driven workbook (Raw Data, Cleaned Data, Summary, At-Risk Customers) with liv</w:t>
            </w:r>
            <w:r w:rsidRPr="003B56A0">
              <w:rPr>
                <w:color w:val="000000"/>
                <w:sz w:val="28"/>
                <w:szCs w:val="28"/>
              </w:rPr>
              <w:t>e, auto-updating metrics and risk ranking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SQL</w:t>
            </w:r>
          </w:p>
        </w:tc>
        <w:tc>
          <w:tcPr>
            <w:tcW w:w="7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Relational schema, a data-cleaning view, and 13 validated queries covering every finding in this report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Python</w:t>
            </w:r>
          </w:p>
        </w:tc>
        <w:tc>
          <w:tcPr>
            <w:tcW w:w="7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8 exploratory visualizations plus a trained churn-prediction model (AUC 0.76-0.80), scoring all 1,216 active customers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Power BI</w:t>
            </w:r>
          </w:p>
        </w:tc>
        <w:tc>
          <w:tcPr>
            <w:tcW w:w="7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3-page interactive dashboard: Churn Trends, Cohort Analysis, and At-Risk Customers, built on the cleaned data and model output</w:t>
            </w:r>
          </w:p>
        </w:tc>
      </w:tr>
    </w:tbl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t>2.1 Excel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The workbook holds the full 1,500-row dataset as a filterable Excel Table, with three formula-driven helper columns (</w:t>
      </w:r>
      <w:proofErr w:type="spellStart"/>
      <w:r w:rsidRPr="003B56A0">
        <w:rPr>
          <w:sz w:val="28"/>
          <w:szCs w:val="28"/>
        </w:rPr>
        <w:t>signup_year</w:t>
      </w:r>
      <w:proofErr w:type="spellEnd"/>
      <w:r w:rsidRPr="003B56A0">
        <w:rPr>
          <w:sz w:val="28"/>
          <w:szCs w:val="28"/>
        </w:rPr>
        <w:t xml:space="preserve">, </w:t>
      </w:r>
      <w:proofErr w:type="spellStart"/>
      <w:r w:rsidRPr="003B56A0">
        <w:rPr>
          <w:sz w:val="28"/>
          <w:szCs w:val="28"/>
        </w:rPr>
        <w:t>tenure_bucket</w:t>
      </w:r>
      <w:proofErr w:type="spellEnd"/>
      <w:r w:rsidRPr="003B56A0">
        <w:rPr>
          <w:sz w:val="28"/>
          <w:szCs w:val="28"/>
        </w:rPr>
        <w:t xml:space="preserve">, </w:t>
      </w:r>
      <w:proofErr w:type="spellStart"/>
      <w:r w:rsidRPr="003B56A0">
        <w:rPr>
          <w:sz w:val="28"/>
          <w:szCs w:val="28"/>
        </w:rPr>
        <w:t>risk_score</w:t>
      </w:r>
      <w:proofErr w:type="spellEnd"/>
      <w:r w:rsidRPr="003B56A0">
        <w:rPr>
          <w:sz w:val="28"/>
          <w:szCs w:val="28"/>
        </w:rPr>
        <w:t>) and a missing-value flag for data-quality checks. The Summary sheet calculates every met</w:t>
      </w:r>
      <w:r w:rsidRPr="003B56A0">
        <w:rPr>
          <w:sz w:val="28"/>
          <w:szCs w:val="28"/>
        </w:rPr>
        <w:t>ric in this report live, using COUNTIFS/SUMIFS/AVERAGEIFS wrapped in IFERROR, so nothing is hardcoded. The At-Risk Customers sheet uses LARGE + INDEX/MATCH to auto-rank the top 50 active customers by risk score, refreshing automatically as the underlying d</w:t>
      </w:r>
      <w:r w:rsidRPr="003B56A0">
        <w:rPr>
          <w:sz w:val="28"/>
          <w:szCs w:val="28"/>
        </w:rPr>
        <w:t>ata changes.</w:t>
      </w:r>
    </w:p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lastRenderedPageBreak/>
        <w:t>2.2 SQL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A relational schema and 13 queries reproduce every Excel finding independently, plus a monthly cohort retention matrix. Every query was executed against the dataset and cross-checked against the Excel output; all results matched exactl</w:t>
      </w:r>
      <w:r w:rsidRPr="003B56A0">
        <w:rPr>
          <w:sz w:val="28"/>
          <w:szCs w:val="28"/>
        </w:rPr>
        <w:t xml:space="preserve">y, confirming the findings are not an </w:t>
      </w:r>
      <w:proofErr w:type="spellStart"/>
      <w:r w:rsidRPr="003B56A0">
        <w:rPr>
          <w:sz w:val="28"/>
          <w:szCs w:val="28"/>
        </w:rPr>
        <w:t>artifact</w:t>
      </w:r>
      <w:proofErr w:type="spellEnd"/>
      <w:r w:rsidRPr="003B56A0">
        <w:rPr>
          <w:sz w:val="28"/>
          <w:szCs w:val="28"/>
        </w:rPr>
        <w:t xml:space="preserve"> of one tool's formulas.</w:t>
      </w:r>
    </w:p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t>2.3 Python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 xml:space="preserve">Pandas and </w:t>
      </w:r>
      <w:proofErr w:type="spellStart"/>
      <w:r w:rsidRPr="003B56A0">
        <w:rPr>
          <w:sz w:val="28"/>
          <w:szCs w:val="28"/>
        </w:rPr>
        <w:t>seaborn</w:t>
      </w:r>
      <w:proofErr w:type="spellEnd"/>
      <w:r w:rsidRPr="003B56A0">
        <w:rPr>
          <w:sz w:val="28"/>
          <w:szCs w:val="28"/>
        </w:rPr>
        <w:t xml:space="preserve"> were used to build 8 visualizations — churn by segment, revenue comparison, usage and complaint patterns, a cohort retention </w:t>
      </w:r>
      <w:proofErr w:type="spellStart"/>
      <w:r w:rsidRPr="003B56A0">
        <w:rPr>
          <w:sz w:val="28"/>
          <w:szCs w:val="28"/>
        </w:rPr>
        <w:t>heatmap</w:t>
      </w:r>
      <w:proofErr w:type="spellEnd"/>
      <w:r w:rsidRPr="003B56A0">
        <w:rPr>
          <w:sz w:val="28"/>
          <w:szCs w:val="28"/>
        </w:rPr>
        <w:t>, and a correlation mat</w:t>
      </w:r>
      <w:r w:rsidRPr="003B56A0">
        <w:rPr>
          <w:sz w:val="28"/>
          <w:szCs w:val="28"/>
        </w:rPr>
        <w:t>rix. A Logistic Regression and a Random Forest model were then trained to predict churn probability per customer, validated on a held-out test set, and used to score every currently active customer.</w:t>
      </w:r>
    </w:p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t>2.4 Power BI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A 3-page interactive dashboard was planned a</w:t>
      </w:r>
      <w:r w:rsidRPr="003B56A0">
        <w:rPr>
          <w:sz w:val="28"/>
          <w:szCs w:val="28"/>
        </w:rPr>
        <w:t xml:space="preserve">nd specified: Churn Trends (KPI cards, segment breakdowns, a usage-vs-tenure risk scatter plot), Cohort Analysis (a retention </w:t>
      </w:r>
      <w:proofErr w:type="spellStart"/>
      <w:r w:rsidRPr="003B56A0">
        <w:rPr>
          <w:sz w:val="28"/>
          <w:szCs w:val="28"/>
        </w:rPr>
        <w:t>heatmap</w:t>
      </w:r>
      <w:proofErr w:type="spellEnd"/>
      <w:r w:rsidRPr="003B56A0">
        <w:rPr>
          <w:sz w:val="28"/>
          <w:szCs w:val="28"/>
        </w:rPr>
        <w:t xml:space="preserve"> and survivorship funnel), and At-Risk Customers (a model-scored, filterable customer table). DAX measures mirror the Excel</w:t>
      </w:r>
      <w:r w:rsidRPr="003B56A0">
        <w:rPr>
          <w:sz w:val="28"/>
          <w:szCs w:val="28"/>
        </w:rPr>
        <w:t xml:space="preserve"> formulas and SQL queries, so all four tools report identical numbers.</w:t>
      </w:r>
    </w:p>
    <w:p w:rsidR="00A84EA0" w:rsidRPr="003B56A0" w:rsidRDefault="003B56A0">
      <w:pPr>
        <w:rPr>
          <w:sz w:val="28"/>
          <w:szCs w:val="28"/>
        </w:rPr>
      </w:pPr>
      <w:r w:rsidRPr="003B56A0">
        <w:rPr>
          <w:sz w:val="28"/>
          <w:szCs w:val="28"/>
        </w:rPr>
        <w:br w:type="page"/>
      </w:r>
    </w:p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lastRenderedPageBreak/>
        <w:t>3. Key Findings</w:t>
      </w:r>
    </w:p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t>3.1 Churn by Segment</w:t>
      </w:r>
    </w:p>
    <w:p w:rsidR="00A84EA0" w:rsidRPr="003B56A0" w:rsidRDefault="003B56A0">
      <w:pPr>
        <w:spacing w:after="150"/>
        <w:jc w:val="center"/>
        <w:rPr>
          <w:sz w:val="28"/>
          <w:szCs w:val="28"/>
        </w:rPr>
      </w:pPr>
      <w:r w:rsidRPr="003B56A0">
        <w:rPr>
          <w:noProof/>
          <w:sz w:val="28"/>
          <w:szCs w:val="28"/>
        </w:rPr>
        <w:drawing>
          <wp:inline distT="0" distB="0" distL="0" distR="0">
            <wp:extent cx="5838825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A0" w:rsidRPr="003B56A0" w:rsidRDefault="003B56A0">
      <w:pPr>
        <w:spacing w:after="200"/>
        <w:jc w:val="center"/>
        <w:rPr>
          <w:sz w:val="28"/>
          <w:szCs w:val="28"/>
        </w:rPr>
      </w:pPr>
      <w:r w:rsidRPr="003B56A0">
        <w:rPr>
          <w:i/>
          <w:iCs/>
          <w:color w:val="595959"/>
          <w:sz w:val="28"/>
          <w:szCs w:val="28"/>
        </w:rPr>
        <w:t>Month-to-month contracts churn at 28.1% vs. 6.7% for two-year contracts. Churn peaks at 22-24% in the first 12 months, then declines to 14% beyond 24 months.</w:t>
      </w:r>
    </w:p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t>3.2 Usage, Complaints, and Compound Risk</w:t>
      </w:r>
    </w:p>
    <w:p w:rsidR="00A84EA0" w:rsidRPr="003B56A0" w:rsidRDefault="003B56A0">
      <w:pPr>
        <w:spacing w:after="150"/>
        <w:jc w:val="center"/>
        <w:rPr>
          <w:sz w:val="28"/>
          <w:szCs w:val="28"/>
        </w:rPr>
      </w:pPr>
      <w:r w:rsidRPr="003B56A0">
        <w:rPr>
          <w:noProof/>
          <w:sz w:val="28"/>
          <w:szCs w:val="28"/>
        </w:rPr>
        <w:drawing>
          <wp:inline distT="0" distB="0" distL="0" distR="0">
            <wp:extent cx="4448175" cy="179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A0" w:rsidRPr="003B56A0" w:rsidRDefault="003B56A0">
      <w:pPr>
        <w:spacing w:after="200"/>
        <w:jc w:val="center"/>
        <w:rPr>
          <w:sz w:val="28"/>
          <w:szCs w:val="28"/>
        </w:rPr>
      </w:pPr>
      <w:r w:rsidRPr="003B56A0">
        <w:rPr>
          <w:i/>
          <w:iCs/>
          <w:color w:val="595959"/>
          <w:sz w:val="28"/>
          <w:szCs w:val="28"/>
        </w:rPr>
        <w:t>An unresolved complaint nearly doubles churn risk (27.9</w:t>
      </w:r>
      <w:r w:rsidRPr="003B56A0">
        <w:rPr>
          <w:i/>
          <w:iCs/>
          <w:color w:val="595959"/>
          <w:sz w:val="28"/>
          <w:szCs w:val="28"/>
        </w:rPr>
        <w:t>% vs. 15.6%). The compound risk segment (month-to-month + low usage + unresolved complaint) churns at 51.5% against an 18.9% baseline.</w:t>
      </w:r>
    </w:p>
    <w:p w:rsidR="00A84EA0" w:rsidRPr="003B56A0" w:rsidRDefault="003B56A0">
      <w:pPr>
        <w:pStyle w:val="Heading2"/>
        <w:spacing w:before="200" w:after="100"/>
        <w:rPr>
          <w:sz w:val="28"/>
          <w:szCs w:val="28"/>
        </w:rPr>
      </w:pPr>
      <w:r w:rsidRPr="003B56A0">
        <w:rPr>
          <w:sz w:val="28"/>
          <w:szCs w:val="28"/>
        </w:rPr>
        <w:t>3.3 Revenue Impact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900"/>
      </w:tblGrid>
      <w:tr w:rsidR="00A84EA0" w:rsidRPr="003B56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39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Value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Revenue from churned customers</w:t>
            </w:r>
          </w:p>
        </w:tc>
        <w:tc>
          <w:tcPr>
            <w:tcW w:w="3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15.1% of total ($91,110 of $602,375)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Avg. lifetime value: retained vs. churned</w:t>
            </w:r>
          </w:p>
        </w:tc>
        <w:tc>
          <w:tcPr>
            <w:tcW w:w="3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$420.45 vs. $320.81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Churn rate with an unresolved complaint</w:t>
            </w:r>
          </w:p>
        </w:tc>
        <w:tc>
          <w:tcPr>
            <w:tcW w:w="3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27.9% (vs. 15.6% baseline)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Compound risk segment churn rate</w:t>
            </w:r>
          </w:p>
        </w:tc>
        <w:tc>
          <w:tcPr>
            <w:tcW w:w="3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51.5% (month-to-month + low usage + unresolved complaint, n=66)</w:t>
            </w:r>
          </w:p>
        </w:tc>
      </w:tr>
    </w:tbl>
    <w:p w:rsidR="00A84EA0" w:rsidRPr="003B56A0" w:rsidRDefault="003B56A0">
      <w:pPr>
        <w:rPr>
          <w:sz w:val="28"/>
          <w:szCs w:val="28"/>
        </w:rPr>
      </w:pPr>
      <w:r w:rsidRPr="003B56A0">
        <w:rPr>
          <w:sz w:val="28"/>
          <w:szCs w:val="28"/>
        </w:rPr>
        <w:br w:type="page"/>
      </w:r>
    </w:p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lastRenderedPageBreak/>
        <w:t>4. Predictive Model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Two m</w:t>
      </w:r>
      <w:r w:rsidRPr="003B56A0">
        <w:rPr>
          <w:sz w:val="28"/>
          <w:szCs w:val="28"/>
        </w:rPr>
        <w:t>odels were trained and evaluated on a held-out 25% test set: Logistic Regression (AUC 0.795) and Random Forest (AUC 0.763). Both independently confirmed contract type, usage score, tenure, and login frequency as the leading churn drivers — the same drivers</w:t>
      </w:r>
      <w:r w:rsidRPr="003B56A0">
        <w:rPr>
          <w:sz w:val="28"/>
          <w:szCs w:val="28"/>
        </w:rPr>
        <w:t xml:space="preserve"> identified manually in the Excel and SQL analysis, reinforcing that these findings are robust rather than a single-method </w:t>
      </w:r>
      <w:proofErr w:type="spellStart"/>
      <w:r w:rsidRPr="003B56A0">
        <w:rPr>
          <w:sz w:val="28"/>
          <w:szCs w:val="28"/>
        </w:rPr>
        <w:t>artifact</w:t>
      </w:r>
      <w:proofErr w:type="spellEnd"/>
      <w:r w:rsidRPr="003B56A0">
        <w:rPr>
          <w:sz w:val="28"/>
          <w:szCs w:val="28"/>
        </w:rPr>
        <w:t>.</w:t>
      </w:r>
    </w:p>
    <w:p w:rsidR="00A84EA0" w:rsidRPr="003B56A0" w:rsidRDefault="003B56A0">
      <w:pPr>
        <w:spacing w:after="150"/>
        <w:jc w:val="center"/>
        <w:rPr>
          <w:sz w:val="28"/>
          <w:szCs w:val="28"/>
        </w:rPr>
      </w:pPr>
      <w:r w:rsidRPr="003B56A0">
        <w:rPr>
          <w:noProof/>
          <w:sz w:val="28"/>
          <w:szCs w:val="28"/>
        </w:rPr>
        <w:drawing>
          <wp:inline distT="0" distB="0" distL="0" distR="0">
            <wp:extent cx="4314825" cy="3762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EA0" w:rsidRPr="003B56A0" w:rsidRDefault="003B56A0">
      <w:pPr>
        <w:spacing w:after="200"/>
        <w:jc w:val="center"/>
        <w:rPr>
          <w:sz w:val="28"/>
          <w:szCs w:val="28"/>
        </w:rPr>
      </w:pPr>
      <w:r w:rsidRPr="003B56A0">
        <w:rPr>
          <w:i/>
          <w:iCs/>
          <w:color w:val="595959"/>
          <w:sz w:val="28"/>
          <w:szCs w:val="28"/>
        </w:rPr>
        <w:t xml:space="preserve">Random Forest feature </w:t>
      </w:r>
      <w:proofErr w:type="spellStart"/>
      <w:r w:rsidRPr="003B56A0">
        <w:rPr>
          <w:i/>
          <w:iCs/>
          <w:color w:val="595959"/>
          <w:sz w:val="28"/>
          <w:szCs w:val="28"/>
        </w:rPr>
        <w:t>importances</w:t>
      </w:r>
      <w:proofErr w:type="spellEnd"/>
      <w:r w:rsidRPr="003B56A0">
        <w:rPr>
          <w:i/>
          <w:iCs/>
          <w:color w:val="595959"/>
          <w:sz w:val="28"/>
          <w:szCs w:val="28"/>
        </w:rPr>
        <w:t>. Contract type, usage score, tenure, and login frequency rank highest, matching the man</w:t>
      </w:r>
      <w:r w:rsidRPr="003B56A0">
        <w:rPr>
          <w:i/>
          <w:iCs/>
          <w:color w:val="595959"/>
          <w:sz w:val="28"/>
          <w:szCs w:val="28"/>
        </w:rPr>
        <w:t>ual Excel/SQL findings.</w:t>
      </w:r>
    </w:p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t>5. At-Risk Customer List</w:t>
      </w:r>
    </w:p>
    <w:p w:rsidR="00A84EA0" w:rsidRPr="003B56A0" w:rsidRDefault="003B56A0">
      <w:pPr>
        <w:spacing w:after="120"/>
        <w:rPr>
          <w:sz w:val="28"/>
          <w:szCs w:val="28"/>
        </w:rPr>
      </w:pPr>
      <w:r w:rsidRPr="003B56A0">
        <w:rPr>
          <w:sz w:val="28"/>
          <w:szCs w:val="28"/>
        </w:rPr>
        <w:t>Every currently active customer (1,216 total) was scored with the trained model to produce a churn probability. The table below shows the 5 highest-risk customers; full ranked lists of 50 are available in the Excel workbook, the SQL query output, and as st</w:t>
      </w:r>
      <w:r w:rsidRPr="003B56A0">
        <w:rPr>
          <w:sz w:val="28"/>
          <w:szCs w:val="28"/>
        </w:rPr>
        <w:t>andalone CSV files from the Python phase.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2400"/>
        <w:gridCol w:w="1700"/>
        <w:gridCol w:w="1900"/>
      </w:tblGrid>
      <w:tr w:rsidR="00A84EA0" w:rsidRPr="003B56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Customer ID</w:t>
            </w:r>
          </w:p>
        </w:tc>
        <w:tc>
          <w:tcPr>
            <w:tcW w:w="15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Plan</w:t>
            </w:r>
          </w:p>
        </w:tc>
        <w:tc>
          <w:tcPr>
            <w:tcW w:w="24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Contract</w:t>
            </w:r>
          </w:p>
        </w:tc>
        <w:tc>
          <w:tcPr>
            <w:tcW w:w="17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Usage Score</w:t>
            </w:r>
          </w:p>
        </w:tc>
        <w:tc>
          <w:tcPr>
            <w:tcW w:w="1900" w:type="dxa"/>
            <w:shd w:val="clear" w:color="auto" w:fill="305496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b/>
                <w:bCs/>
                <w:color w:val="FFFFFF"/>
                <w:sz w:val="28"/>
                <w:szCs w:val="28"/>
              </w:rPr>
              <w:t>Churn Prob.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CUST100505</w:t>
            </w:r>
          </w:p>
        </w:tc>
        <w:tc>
          <w:tcPr>
            <w:tcW w:w="1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Basic</w:t>
            </w:r>
          </w:p>
        </w:tc>
        <w:tc>
          <w:tcPr>
            <w:tcW w:w="24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Month-to-month</w:t>
            </w:r>
          </w:p>
        </w:tc>
        <w:tc>
          <w:tcPr>
            <w:tcW w:w="17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31.7</w:t>
            </w:r>
          </w:p>
        </w:tc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77.8%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CUST100341</w:t>
            </w:r>
          </w:p>
        </w:tc>
        <w:tc>
          <w:tcPr>
            <w:tcW w:w="1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Standard</w:t>
            </w:r>
          </w:p>
        </w:tc>
        <w:tc>
          <w:tcPr>
            <w:tcW w:w="24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Month-to-month</w:t>
            </w:r>
          </w:p>
        </w:tc>
        <w:tc>
          <w:tcPr>
            <w:tcW w:w="17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1.5</w:t>
            </w:r>
          </w:p>
        </w:tc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75.8%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CUST100710</w:t>
            </w:r>
          </w:p>
        </w:tc>
        <w:tc>
          <w:tcPr>
            <w:tcW w:w="1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Standard</w:t>
            </w:r>
          </w:p>
        </w:tc>
        <w:tc>
          <w:tcPr>
            <w:tcW w:w="24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Month-to-month</w:t>
            </w:r>
          </w:p>
        </w:tc>
        <w:tc>
          <w:tcPr>
            <w:tcW w:w="17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12.8</w:t>
            </w:r>
          </w:p>
        </w:tc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75.7%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lastRenderedPageBreak/>
              <w:t>CUST100406</w:t>
            </w:r>
          </w:p>
        </w:tc>
        <w:tc>
          <w:tcPr>
            <w:tcW w:w="1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Basic</w:t>
            </w:r>
          </w:p>
        </w:tc>
        <w:tc>
          <w:tcPr>
            <w:tcW w:w="24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Month-to-month</w:t>
            </w:r>
          </w:p>
        </w:tc>
        <w:tc>
          <w:tcPr>
            <w:tcW w:w="17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38.8</w:t>
            </w:r>
          </w:p>
        </w:tc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74.4%</w:t>
            </w:r>
          </w:p>
        </w:tc>
      </w:tr>
      <w:tr w:rsidR="00A84EA0" w:rsidRPr="003B56A0">
        <w:tblPrEx>
          <w:tblCellMar>
            <w:top w:w="0" w:type="dxa"/>
            <w:bottom w:w="0" w:type="dxa"/>
          </w:tblCellMar>
        </w:tblPrEx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CUST101478</w:t>
            </w:r>
          </w:p>
        </w:tc>
        <w:tc>
          <w:tcPr>
            <w:tcW w:w="15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Standard</w:t>
            </w:r>
          </w:p>
        </w:tc>
        <w:tc>
          <w:tcPr>
            <w:tcW w:w="24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Month-to-month</w:t>
            </w:r>
          </w:p>
        </w:tc>
        <w:tc>
          <w:tcPr>
            <w:tcW w:w="17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41.0</w:t>
            </w:r>
          </w:p>
        </w:tc>
        <w:tc>
          <w:tcPr>
            <w:tcW w:w="1900" w:type="dxa"/>
          </w:tcPr>
          <w:p w:rsidR="00A84EA0" w:rsidRPr="003B56A0" w:rsidRDefault="003B56A0">
            <w:pPr>
              <w:rPr>
                <w:sz w:val="28"/>
                <w:szCs w:val="28"/>
              </w:rPr>
            </w:pPr>
            <w:r w:rsidRPr="003B56A0">
              <w:rPr>
                <w:color w:val="000000"/>
                <w:sz w:val="28"/>
                <w:szCs w:val="28"/>
              </w:rPr>
              <w:t>74.3%</w:t>
            </w:r>
          </w:p>
        </w:tc>
      </w:tr>
    </w:tbl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t>6. Recommendations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Prioritize contract conversion: moving month-to-month customers to annual contracts is the single highest-leverage retention lever.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Front-load retention efforts into a customer's first 12 months, where churn risk is highest.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Resolve complaints quickly — an unresolved complaint nearly doubles churn risk.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Proactively target the 66-customer compound risk segment (51.5% churn rate).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Use th</w:t>
      </w:r>
      <w:r w:rsidRPr="003B56A0">
        <w:rPr>
          <w:sz w:val="28"/>
          <w:szCs w:val="28"/>
        </w:rPr>
        <w:t>e model-scored at-risk list operationally for retention outreach; refresh it as new customer data comes in.</w:t>
      </w:r>
    </w:p>
    <w:p w:rsidR="00A84EA0" w:rsidRPr="003B56A0" w:rsidRDefault="003B56A0">
      <w:pPr>
        <w:pStyle w:val="Heading1"/>
        <w:spacing w:before="300" w:after="150"/>
        <w:rPr>
          <w:sz w:val="28"/>
          <w:szCs w:val="28"/>
        </w:rPr>
      </w:pPr>
      <w:r w:rsidRPr="003B56A0">
        <w:rPr>
          <w:sz w:val="28"/>
          <w:szCs w:val="28"/>
        </w:rPr>
        <w:t>7. Deliverables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Excel workbook — formula-driven analysis, cleaning, and live at-risk ranking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SQL script — schema, cleaning view, 13 validated queries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Python scripts and model — 8 charts, trained classifier, scored customer lists</w:t>
      </w:r>
    </w:p>
    <w:p w:rsidR="00A84EA0" w:rsidRPr="003B56A0" w:rsidRDefault="003B56A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3B56A0">
        <w:rPr>
          <w:sz w:val="28"/>
          <w:szCs w:val="28"/>
        </w:rPr>
        <w:t>Power BI dashboard plan — 3 pages, ready to build from the cleaned data and model output</w:t>
      </w:r>
    </w:p>
    <w:p w:rsidR="00A84EA0" w:rsidRDefault="003B56A0">
      <w:pPr>
        <w:pStyle w:val="ListParagraph"/>
        <w:numPr>
          <w:ilvl w:val="0"/>
          <w:numId w:val="1"/>
        </w:numPr>
        <w:spacing w:after="60"/>
      </w:pPr>
      <w:r w:rsidRPr="003B56A0">
        <w:rPr>
          <w:sz w:val="28"/>
          <w:szCs w:val="28"/>
        </w:rPr>
        <w:t>This report and an accompanying</w:t>
      </w:r>
      <w:r w:rsidRPr="003B56A0">
        <w:rPr>
          <w:sz w:val="28"/>
          <w:szCs w:val="28"/>
        </w:rPr>
        <w:t xml:space="preserve"> summary slide dec</w:t>
      </w:r>
      <w:r>
        <w:t>k</w:t>
      </w:r>
    </w:p>
    <w:sectPr w:rsidR="00A84E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777770"/>
    <w:multiLevelType w:val="hybridMultilevel"/>
    <w:tmpl w:val="C15C58C6"/>
    <w:lvl w:ilvl="0" w:tplc="1BB65F1E">
      <w:start w:val="1"/>
      <w:numFmt w:val="bullet"/>
      <w:lvlText w:val="●"/>
      <w:lvlJc w:val="left"/>
      <w:pPr>
        <w:ind w:left="720" w:hanging="360"/>
      </w:pPr>
    </w:lvl>
    <w:lvl w:ilvl="1" w:tplc="9F60A31C" w:tentative="1">
      <w:start w:val="1"/>
      <w:numFmt w:val="bullet"/>
      <w:lvlText w:val="○"/>
      <w:lvlJc w:val="left"/>
      <w:pPr>
        <w:ind w:left="1440" w:hanging="360"/>
      </w:pPr>
    </w:lvl>
    <w:lvl w:ilvl="2" w:tplc="ED568C0E" w:tentative="1">
      <w:start w:val="1"/>
      <w:numFmt w:val="bullet"/>
      <w:lvlText w:val="■"/>
      <w:lvlJc w:val="left"/>
      <w:pPr>
        <w:ind w:left="2160" w:hanging="360"/>
      </w:pPr>
    </w:lvl>
    <w:lvl w:ilvl="3" w:tplc="57421650" w:tentative="1">
      <w:start w:val="1"/>
      <w:numFmt w:val="bullet"/>
      <w:lvlText w:val="●"/>
      <w:lvlJc w:val="left"/>
      <w:pPr>
        <w:ind w:left="2880" w:hanging="360"/>
      </w:pPr>
    </w:lvl>
    <w:lvl w:ilvl="4" w:tplc="714A97F0" w:tentative="1">
      <w:start w:val="1"/>
      <w:numFmt w:val="bullet"/>
      <w:lvlText w:val="○"/>
      <w:lvlJc w:val="left"/>
      <w:pPr>
        <w:ind w:left="3600" w:hanging="360"/>
      </w:pPr>
    </w:lvl>
    <w:lvl w:ilvl="5" w:tplc="41CC7C52" w:tentative="1">
      <w:start w:val="1"/>
      <w:numFmt w:val="bullet"/>
      <w:lvlText w:val="■"/>
      <w:lvlJc w:val="left"/>
      <w:pPr>
        <w:ind w:left="4320" w:hanging="360"/>
      </w:pPr>
    </w:lvl>
    <w:lvl w:ilvl="6" w:tplc="EEF4C428" w:tentative="1">
      <w:start w:val="1"/>
      <w:numFmt w:val="bullet"/>
      <w:lvlText w:val="●"/>
      <w:lvlJc w:val="left"/>
      <w:pPr>
        <w:ind w:left="5040" w:hanging="360"/>
      </w:pPr>
    </w:lvl>
    <w:lvl w:ilvl="7" w:tplc="B1349544" w:tentative="1">
      <w:start w:val="1"/>
      <w:numFmt w:val="bullet"/>
      <w:lvlText w:val="●"/>
      <w:lvlJc w:val="left"/>
      <w:pPr>
        <w:ind w:left="5760" w:hanging="360"/>
      </w:pPr>
    </w:lvl>
    <w:lvl w:ilvl="8" w:tplc="C07E347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EA0"/>
    <w:rsid w:val="003B56A0"/>
    <w:rsid w:val="00A8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69A25D-D81A-485E-BA7A-7688B734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2026-10-06T08:01:00Z</dcterms:created>
  <dcterms:modified xsi:type="dcterms:W3CDTF">2026-10-07T06:25:00Z</dcterms:modified>
</cp:coreProperties>
</file>