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Stack</w:t>
      </w:r>
    </w:p>
    <w:p>
      <w:pPr>
        <w:pStyle w:val="Heading2"/>
      </w:pPr>
      <w:r>
        <w:t>Define Your Technology Stack</w:t>
      </w:r>
    </w:p>
    <w:p>
      <w:r>
        <w:t>The stack below was chosen to keep EcoTrack performant, accessible, and cost-effective to deploy, while supporting real AI and emissions-data integrations once configured.</w:t>
      </w:r>
    </w:p>
    <w:p>
      <w:pPr>
        <w:pStyle w:val="Heading3"/>
      </w:pPr>
      <w:r>
        <w:t>Technology Stack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Version / Package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96"/>
          </w:tcPr>
          <w:p>
            <w:r>
              <w:t>Frontend Framework</w:t>
            </w:r>
          </w:p>
        </w:tc>
        <w:tc>
          <w:tcPr>
            <w:tcW w:type="dxa" w:w="2196"/>
          </w:tcPr>
          <w:p>
            <w:r>
              <w:t>React 18</w:t>
            </w:r>
          </w:p>
        </w:tc>
        <w:tc>
          <w:tcPr>
            <w:tcW w:type="dxa" w:w="2196"/>
          </w:tcPr>
          <w:p>
            <w:r>
              <w:t>react@18.2.0</w:t>
            </w:r>
          </w:p>
        </w:tc>
        <w:tc>
          <w:tcPr>
            <w:tcW w:type="dxa" w:w="2196"/>
          </w:tcPr>
          <w:p>
            <w:r>
              <w:t>Component-based UI, rich ecosystem, fast reconciliation</w:t>
            </w:r>
          </w:p>
        </w:tc>
      </w:tr>
      <w:tr>
        <w:tc>
          <w:tcPr>
            <w:tcW w:type="dxa" w:w="2196"/>
          </w:tcPr>
          <w:p>
            <w:r>
              <w:t>Build Tool</w:t>
            </w:r>
          </w:p>
        </w:tc>
        <w:tc>
          <w:tcPr>
            <w:tcW w:type="dxa" w:w="2196"/>
          </w:tcPr>
          <w:p>
            <w:r>
              <w:t>Vite 5</w:t>
            </w:r>
          </w:p>
        </w:tc>
        <w:tc>
          <w:tcPr>
            <w:tcW w:type="dxa" w:w="2196"/>
          </w:tcPr>
          <w:p>
            <w:r>
              <w:t>vite@5.2.0</w:t>
            </w:r>
          </w:p>
        </w:tc>
        <w:tc>
          <w:tcPr>
            <w:tcW w:type="dxa" w:w="2196"/>
          </w:tcPr>
          <w:p>
            <w:r>
              <w:t>Sub-second HMR, optimised production bundles with code splitting</w:t>
            </w:r>
          </w:p>
        </w:tc>
      </w:tr>
      <w:tr>
        <w:tc>
          <w:tcPr>
            <w:tcW w:type="dxa" w:w="2196"/>
          </w:tcPr>
          <w:p>
            <w:r>
              <w:t>Styling</w:t>
            </w:r>
          </w:p>
        </w:tc>
        <w:tc>
          <w:tcPr>
            <w:tcW w:type="dxa" w:w="2196"/>
          </w:tcPr>
          <w:p>
            <w:r>
              <w:t>Tailwind CSS 3</w:t>
            </w:r>
          </w:p>
        </w:tc>
        <w:tc>
          <w:tcPr>
            <w:tcW w:type="dxa" w:w="2196"/>
          </w:tcPr>
          <w:p>
            <w:r>
              <w:t>tailwindcss@3.4.3</w:t>
            </w:r>
          </w:p>
        </w:tc>
        <w:tc>
          <w:tcPr>
            <w:tcW w:type="dxa" w:w="2196"/>
          </w:tcPr>
          <w:p>
            <w:r>
              <w:t>Utility-first — rapid iteration, consistent dark-mode design system</w:t>
            </w:r>
          </w:p>
        </w:tc>
      </w:tr>
      <w:tr>
        <w:tc>
          <w:tcPr>
            <w:tcW w:type="dxa" w:w="2196"/>
          </w:tcPr>
          <w:p>
            <w:r>
              <w:t>Routing</w:t>
            </w:r>
          </w:p>
        </w:tc>
        <w:tc>
          <w:tcPr>
            <w:tcW w:type="dxa" w:w="2196"/>
          </w:tcPr>
          <w:p>
            <w:r>
              <w:t>React Router v6</w:t>
            </w:r>
          </w:p>
        </w:tc>
        <w:tc>
          <w:tcPr>
            <w:tcW w:type="dxa" w:w="2196"/>
          </w:tcPr>
          <w:p>
            <w:r>
              <w:t>react-router-dom@6.22.3</w:t>
            </w:r>
          </w:p>
        </w:tc>
        <w:tc>
          <w:tcPr>
            <w:tcW w:type="dxa" w:w="2196"/>
          </w:tcPr>
          <w:p>
            <w:r>
              <w:t>Declarative client-side routing; protected routes via ProtectedRoute.jsx</w:t>
            </w:r>
          </w:p>
        </w:tc>
      </w:tr>
      <w:tr>
        <w:tc>
          <w:tcPr>
            <w:tcW w:type="dxa" w:w="2196"/>
          </w:tcPr>
          <w:p>
            <w:r>
              <w:t>Authentication</w:t>
            </w:r>
          </w:p>
        </w:tc>
        <w:tc>
          <w:tcPr>
            <w:tcW w:type="dxa" w:w="2196"/>
          </w:tcPr>
          <w:p>
            <w:r>
              <w:t>Firebase Auth</w:t>
            </w:r>
          </w:p>
        </w:tc>
        <w:tc>
          <w:tcPr>
            <w:tcW w:type="dxa" w:w="2196"/>
          </w:tcPr>
          <w:p>
            <w:r>
              <w:t>firebase@10.11.0</w:t>
            </w:r>
          </w:p>
        </w:tc>
        <w:tc>
          <w:tcPr>
            <w:tcW w:type="dxa" w:w="2196"/>
          </w:tcPr>
          <w:p>
            <w:r>
              <w:t>Managed email/password auth; free tier generous; real-time session</w:t>
            </w:r>
          </w:p>
        </w:tc>
      </w:tr>
      <w:tr>
        <w:tc>
          <w:tcPr>
            <w:tcW w:type="dxa" w:w="2196"/>
          </w:tcPr>
          <w:p>
            <w:r>
              <w:t>Database</w:t>
            </w:r>
          </w:p>
        </w:tc>
        <w:tc>
          <w:tcPr>
            <w:tcW w:type="dxa" w:w="2196"/>
          </w:tcPr>
          <w:p>
            <w:r>
              <w:t>Cloud Firestore</w:t>
            </w:r>
          </w:p>
        </w:tc>
        <w:tc>
          <w:tcPr>
            <w:tcW w:type="dxa" w:w="2196"/>
          </w:tcPr>
          <w:p>
            <w:r>
              <w:t>firebase@10.11.0</w:t>
            </w:r>
          </w:p>
        </w:tc>
        <w:tc>
          <w:tcPr>
            <w:tcW w:type="dxa" w:w="2196"/>
          </w:tcPr>
          <w:p>
            <w:r>
              <w:t>NoSQL document store; real-time sync; scales automatically</w:t>
            </w:r>
          </w:p>
        </w:tc>
      </w:tr>
      <w:tr>
        <w:tc>
          <w:tcPr>
            <w:tcW w:type="dxa" w:w="2196"/>
          </w:tcPr>
          <w:p>
            <w:r>
              <w:t>AI Layer</w:t>
            </w:r>
          </w:p>
        </w:tc>
        <w:tc>
          <w:tcPr>
            <w:tcW w:type="dxa" w:w="2196"/>
          </w:tcPr>
          <w:p>
            <w:r>
              <w:t>Groq API</w:t>
            </w:r>
          </w:p>
        </w:tc>
        <w:tc>
          <w:tcPr>
            <w:tcW w:type="dxa" w:w="2196"/>
          </w:tcPr>
          <w:p>
            <w:r>
              <w:t>llama-3.3-70b-versatile</w:t>
            </w:r>
          </w:p>
        </w:tc>
        <w:tc>
          <w:tcPr>
            <w:tcW w:type="dxa" w:w="2196"/>
          </w:tcPr>
          <w:p>
            <w:r>
              <w:t>Ultra-fast LLM inference; free tier; structured JSON prompt/response</w:t>
            </w:r>
          </w:p>
        </w:tc>
      </w:tr>
      <w:tr>
        <w:tc>
          <w:tcPr>
            <w:tcW w:type="dxa" w:w="2196"/>
          </w:tcPr>
          <w:p>
            <w:r>
              <w:t>Emissions Data</w:t>
            </w:r>
          </w:p>
        </w:tc>
        <w:tc>
          <w:tcPr>
            <w:tcW w:type="dxa" w:w="2196"/>
          </w:tcPr>
          <w:p>
            <w:r>
              <w:t>Carbon Interface API</w:t>
            </w:r>
          </w:p>
        </w:tc>
        <w:tc>
          <w:tcPr>
            <w:tcW w:type="dxa" w:w="2196"/>
          </w:tcPr>
          <w:p>
            <w:r>
              <w:t>REST v1</w:t>
            </w:r>
          </w:p>
        </w:tc>
        <w:tc>
          <w:tcPr>
            <w:tcW w:type="dxa" w:w="2196"/>
          </w:tcPr>
          <w:p>
            <w:r>
              <w:t>Standardised real-world emission factors; authoritative source</w:t>
            </w:r>
          </w:p>
        </w:tc>
      </w:tr>
      <w:tr>
        <w:tc>
          <w:tcPr>
            <w:tcW w:type="dxa" w:w="2196"/>
          </w:tcPr>
          <w:p>
            <w:r>
              <w:t>Backend / Proxy</w:t>
            </w:r>
          </w:p>
        </w:tc>
        <w:tc>
          <w:tcPr>
            <w:tcW w:type="dxa" w:w="2196"/>
          </w:tcPr>
          <w:p>
            <w:r>
              <w:t>Flask (Python)</w:t>
            </w:r>
          </w:p>
        </w:tc>
        <w:tc>
          <w:tcPr>
            <w:tcW w:type="dxa" w:w="2196"/>
          </w:tcPr>
          <w:p>
            <w:r>
              <w:t>flask</w:t>
            </w:r>
          </w:p>
        </w:tc>
        <w:tc>
          <w:tcPr>
            <w:tcW w:type="dxa" w:w="2196"/>
          </w:tcPr>
          <w:p>
            <w:r>
              <w:t>Lightweight REST API; securely proxies API keys; /api/* routes</w:t>
            </w:r>
          </w:p>
        </w:tc>
      </w:tr>
      <w:tr>
        <w:tc>
          <w:tcPr>
            <w:tcW w:type="dxa" w:w="2196"/>
          </w:tcPr>
          <w:p>
            <w:r>
              <w:t>HTTP Client</w:t>
            </w:r>
          </w:p>
        </w:tc>
        <w:tc>
          <w:tcPr>
            <w:tcW w:type="dxa" w:w="2196"/>
          </w:tcPr>
          <w:p>
            <w:r>
              <w:t>Axios</w:t>
            </w:r>
          </w:p>
        </w:tc>
        <w:tc>
          <w:tcPr>
            <w:tcW w:type="dxa" w:w="2196"/>
          </w:tcPr>
          <w:p>
            <w:r>
              <w:t>axios@1.6.8</w:t>
            </w:r>
          </w:p>
        </w:tc>
        <w:tc>
          <w:tcPr>
            <w:tcW w:type="dxa" w:w="2196"/>
          </w:tcPr>
          <w:p>
            <w:r>
              <w:t>Promise-based HTTP; interceptors; clean error handling</w:t>
            </w:r>
          </w:p>
        </w:tc>
      </w:tr>
      <w:tr>
        <w:tc>
          <w:tcPr>
            <w:tcW w:type="dxa" w:w="2196"/>
          </w:tcPr>
          <w:p>
            <w:r>
              <w:t>Charting</w:t>
            </w:r>
          </w:p>
        </w:tc>
        <w:tc>
          <w:tcPr>
            <w:tcW w:type="dxa" w:w="2196"/>
          </w:tcPr>
          <w:p>
            <w:r>
              <w:t>Chart.js + react-chartjs-2</w:t>
            </w:r>
          </w:p>
        </w:tc>
        <w:tc>
          <w:tcPr>
            <w:tcW w:type="dxa" w:w="2196"/>
          </w:tcPr>
          <w:p>
            <w:r>
              <w:t>chart.js@4.4.2</w:t>
            </w:r>
          </w:p>
        </w:tc>
        <w:tc>
          <w:tcPr>
            <w:tcW w:type="dxa" w:w="2196"/>
          </w:tcPr>
          <w:p>
            <w:r>
              <w:t>Line + bar charts for 30-day emissions history visualization</w:t>
            </w:r>
          </w:p>
        </w:tc>
      </w:tr>
      <w:tr>
        <w:tc>
          <w:tcPr>
            <w:tcW w:type="dxa" w:w="2196"/>
          </w:tcPr>
          <w:p>
            <w:r>
              <w:t>Icons</w:t>
            </w:r>
          </w:p>
        </w:tc>
        <w:tc>
          <w:tcPr>
            <w:tcW w:type="dxa" w:w="2196"/>
          </w:tcPr>
          <w:p>
            <w:r>
              <w:t>Lucide React</w:t>
            </w:r>
          </w:p>
        </w:tc>
        <w:tc>
          <w:tcPr>
            <w:tcW w:type="dxa" w:w="2196"/>
          </w:tcPr>
          <w:p>
            <w:r>
              <w:t>lucide-react@0.368.0</w:t>
            </w:r>
          </w:p>
        </w:tc>
        <w:tc>
          <w:tcPr>
            <w:tcW w:type="dxa" w:w="2196"/>
          </w:tcPr>
          <w:p>
            <w:r>
              <w:t>Consistent SVG icon set; tree-shakeable; accessible</w:t>
            </w:r>
          </w:p>
        </w:tc>
      </w:tr>
      <w:tr>
        <w:tc>
          <w:tcPr>
            <w:tcW w:type="dxa" w:w="2196"/>
          </w:tcPr>
          <w:p>
            <w:r>
              <w:t>Dev Proxy</w:t>
            </w:r>
          </w:p>
        </w:tc>
        <w:tc>
          <w:tcPr>
            <w:tcW w:type="dxa" w:w="2196"/>
          </w:tcPr>
          <w:p>
            <w:r>
              <w:t>Vite proxy config</w:t>
            </w:r>
          </w:p>
        </w:tc>
        <w:tc>
          <w:tcPr>
            <w:tcW w:type="dxa" w:w="2196"/>
          </w:tcPr>
          <w:p>
            <w:r>
              <w:t>vite.config.js</w:t>
            </w:r>
          </w:p>
        </w:tc>
        <w:tc>
          <w:tcPr>
            <w:tcW w:type="dxa" w:w="2196"/>
          </w:tcPr>
          <w:p>
            <w:r>
              <w:t>Forwards /api → localhost:5000 in dev to avoid CORS issues</w:t>
            </w:r>
          </w:p>
        </w:tc>
      </w:tr>
    </w:tbl>
    <w:p/>
    <w:p>
      <w:pPr>
        <w:pStyle w:val="Heading3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928"/>
          </w:tcPr>
          <w:p>
            <w:r>
              <w:t>VITE_FIREBASE_API_KEY</w:t>
            </w:r>
          </w:p>
        </w:tc>
        <w:tc>
          <w:tcPr>
            <w:tcW w:type="dxa" w:w="2928"/>
          </w:tcPr>
          <w:p>
            <w:r>
              <w:t>Firebase Web API Key</w:t>
            </w:r>
          </w:p>
        </w:tc>
        <w:tc>
          <w:tcPr>
            <w:tcW w:type="dxa" w:w="2928"/>
          </w:tcPr>
          <w:p>
            <w:r>
              <w:t>Firebase Console → Project Settings</w:t>
            </w:r>
          </w:p>
        </w:tc>
      </w:tr>
      <w:tr>
        <w:tc>
          <w:tcPr>
            <w:tcW w:type="dxa" w:w="2928"/>
          </w:tcPr>
          <w:p>
            <w:r>
              <w:t>VITE_FIREBASE_PROJECT_ID</w:t>
            </w:r>
          </w:p>
        </w:tc>
        <w:tc>
          <w:tcPr>
            <w:tcW w:type="dxa" w:w="2928"/>
          </w:tcPr>
          <w:p>
            <w:r>
              <w:t>Firebase Project ID</w:t>
            </w:r>
          </w:p>
        </w:tc>
        <w:tc>
          <w:tcPr>
            <w:tcW w:type="dxa" w:w="2928"/>
          </w:tcPr>
          <w:p>
            <w:r>
              <w:t>Firebase Console → Project Settings</w:t>
            </w:r>
          </w:p>
        </w:tc>
      </w:tr>
      <w:tr>
        <w:tc>
          <w:tcPr>
            <w:tcW w:type="dxa" w:w="2928"/>
          </w:tcPr>
          <w:p>
            <w:r>
              <w:t>VITE_FIREBASE_AUTH_DOMAIN</w:t>
            </w:r>
          </w:p>
        </w:tc>
        <w:tc>
          <w:tcPr>
            <w:tcW w:type="dxa" w:w="2928"/>
          </w:tcPr>
          <w:p>
            <w:r>
              <w:t>Firebase Auth Domain</w:t>
            </w:r>
          </w:p>
        </w:tc>
        <w:tc>
          <w:tcPr>
            <w:tcW w:type="dxa" w:w="2928"/>
          </w:tcPr>
          <w:p>
            <w:r>
              <w:t>Firebase Console → Project Settings</w:t>
            </w:r>
          </w:p>
        </w:tc>
      </w:tr>
      <w:tr>
        <w:tc>
          <w:tcPr>
            <w:tcW w:type="dxa" w:w="2928"/>
          </w:tcPr>
          <w:p>
            <w:r>
              <w:t>VITE_FIREBASE_APP_ID</w:t>
            </w:r>
          </w:p>
        </w:tc>
        <w:tc>
          <w:tcPr>
            <w:tcW w:type="dxa" w:w="2928"/>
          </w:tcPr>
          <w:p>
            <w:r>
              <w:t>Firebase App ID</w:t>
            </w:r>
          </w:p>
        </w:tc>
        <w:tc>
          <w:tcPr>
            <w:tcW w:type="dxa" w:w="2928"/>
          </w:tcPr>
          <w:p>
            <w:r>
              <w:t>Firebase Console → Project Settings</w:t>
            </w:r>
          </w:p>
        </w:tc>
      </w:tr>
      <w:tr>
        <w:tc>
          <w:tcPr>
            <w:tcW w:type="dxa" w:w="2928"/>
          </w:tcPr>
          <w:p>
            <w:r>
              <w:t>VITE_GROQ_API_KEY</w:t>
            </w:r>
          </w:p>
        </w:tc>
        <w:tc>
          <w:tcPr>
            <w:tcW w:type="dxa" w:w="2928"/>
          </w:tcPr>
          <w:p>
            <w:r>
              <w:t>Groq API key for LLM suggestions</w:t>
            </w:r>
          </w:p>
        </w:tc>
        <w:tc>
          <w:tcPr>
            <w:tcW w:type="dxa" w:w="2928"/>
          </w:tcPr>
          <w:p>
            <w:r>
              <w:t>console.groq.com/keys</w:t>
            </w:r>
          </w:p>
        </w:tc>
      </w:tr>
      <w:tr>
        <w:tc>
          <w:tcPr>
            <w:tcW w:type="dxa" w:w="2928"/>
          </w:tcPr>
          <w:p>
            <w:r>
              <w:t>VITE_CARBON_INTERFACE_API_KEY</w:t>
            </w:r>
          </w:p>
        </w:tc>
        <w:tc>
          <w:tcPr>
            <w:tcW w:type="dxa" w:w="2928"/>
          </w:tcPr>
          <w:p>
            <w:r>
              <w:t>Carbon Interface API key</w:t>
            </w:r>
          </w:p>
        </w:tc>
        <w:tc>
          <w:tcPr>
            <w:tcW w:type="dxa" w:w="2928"/>
          </w:tcPr>
          <w:p>
            <w:r>
              <w:t>carboninterface.com</w:t>
            </w:r>
          </w:p>
        </w:tc>
      </w:tr>
      <w:tr>
        <w:tc>
          <w:tcPr>
            <w:tcW w:type="dxa" w:w="2928"/>
          </w:tcPr>
          <w:p>
            <w:r>
              <w:t>VITE_API_BASE_URL</w:t>
            </w:r>
          </w:p>
        </w:tc>
        <w:tc>
          <w:tcPr>
            <w:tcW w:type="dxa" w:w="2928"/>
          </w:tcPr>
          <w:p>
            <w:r>
              <w:t>Flask backend base URL</w:t>
            </w:r>
          </w:p>
        </w:tc>
        <w:tc>
          <w:tcPr>
            <w:tcW w:type="dxa" w:w="2928"/>
          </w:tcPr>
          <w:p>
            <w:r>
              <w:t>http://localhost:5000 (dev)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