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Scalability &amp; Future Plan Template</w:t>
      </w:r>
    </w:p>
    <w:p>
      <w:pPr>
        <w:pStyle w:val="Heading2"/>
      </w:pPr>
      <w:r>
        <w:t>Scalability &amp; Future Plan</w:t>
      </w:r>
    </w:p>
    <w:p>
      <w:pPr>
        <w:pStyle w:val="Heading3"/>
      </w:pPr>
      <w:r>
        <w:t>Scalability</w:t>
      </w:r>
    </w:p>
    <w:p>
      <w:r>
        <w:t>EcoTrack v1.0 is designed with scalability in mind across all tiers.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92"/>
          </w:tcPr>
          <w:p>
            <w:r>
              <w:rPr>
                <w:b/>
              </w:rPr>
              <w:t>Scalability Approach</w:t>
            </w:r>
          </w:p>
        </w:tc>
      </w:tr>
      <w:tr>
        <w:tc>
          <w:tcPr>
            <w:tcW w:type="dxa" w:w="4392"/>
          </w:tcPr>
          <w:p>
            <w:r>
              <w:t>Firebase Authentication</w:t>
            </w:r>
          </w:p>
        </w:tc>
        <w:tc>
          <w:tcPr>
            <w:tcW w:type="dxa" w:w="4392"/>
          </w:tcPr>
          <w:p>
            <w:r>
              <w:t>Scales to millions of users automatically; managed by Google infrastructure; no server provisioning required</w:t>
            </w:r>
          </w:p>
        </w:tc>
      </w:tr>
      <w:tr>
        <w:tc>
          <w:tcPr>
            <w:tcW w:type="dxa" w:w="4392"/>
          </w:tcPr>
          <w:p>
            <w:r>
              <w:t>Cloud Firestore</w:t>
            </w:r>
          </w:p>
        </w:tc>
        <w:tc>
          <w:tcPr>
            <w:tcW w:type="dxa" w:w="4392"/>
          </w:tcPr>
          <w:p>
            <w:r>
              <w:t>Horizontally scalable NoSQL document database; auto-sharding; built-in multi-region replication available</w:t>
            </w:r>
          </w:p>
        </w:tc>
      </w:tr>
      <w:tr>
        <w:tc>
          <w:tcPr>
            <w:tcW w:type="dxa" w:w="4392"/>
          </w:tcPr>
          <w:p>
            <w:r>
              <w:t>Flask Backend</w:t>
            </w:r>
          </w:p>
        </w:tc>
        <w:tc>
          <w:tcPr>
            <w:tcW w:type="dxa" w:w="4392"/>
          </w:tcPr>
          <w:p>
            <w:r>
              <w:t>Stateless REST API — can be containerised (Docker) and horizontally scaled behind a load balancer (e.g., AWS ELB, GCP Cloud Run)</w:t>
            </w:r>
          </w:p>
        </w:tc>
      </w:tr>
      <w:tr>
        <w:tc>
          <w:tcPr>
            <w:tcW w:type="dxa" w:w="4392"/>
          </w:tcPr>
          <w:p>
            <w:r>
              <w:t>Groq API</w:t>
            </w:r>
          </w:p>
        </w:tc>
        <w:tc>
          <w:tcPr>
            <w:tcW w:type="dxa" w:w="4392"/>
          </w:tcPr>
          <w:p>
            <w:r>
              <w:t>Scales via API rate limits; production tier supports high request volumes; no infrastructure management required</w:t>
            </w:r>
          </w:p>
        </w:tc>
      </w:tr>
      <w:tr>
        <w:tc>
          <w:tcPr>
            <w:tcW w:type="dxa" w:w="4392"/>
          </w:tcPr>
          <w:p>
            <w:r>
              <w:t>Carbon Interface API</w:t>
            </w:r>
          </w:p>
        </w:tc>
        <w:tc>
          <w:tcPr>
            <w:tcW w:type="dxa" w:w="4392"/>
          </w:tcPr>
          <w:p>
            <w:r>
              <w:t>Scales via API subscription tier; emission factor library maintained by vendor</w:t>
            </w:r>
          </w:p>
        </w:tc>
      </w:tr>
      <w:tr>
        <w:tc>
          <w:tcPr>
            <w:tcW w:type="dxa" w:w="4392"/>
          </w:tcPr>
          <w:p>
            <w:r>
              <w:t>Vite Production Bundle</w:t>
            </w:r>
          </w:p>
        </w:tc>
        <w:tc>
          <w:tcPr>
            <w:tcW w:type="dxa" w:w="4392"/>
          </w:tcPr>
          <w:p>
            <w:r>
              <w:t>Static files served from CDN (Firebase Hosting, Vercel, Cloudflare); auto-scaled globally</w:t>
            </w:r>
          </w:p>
        </w:tc>
      </w:tr>
      <w:tr>
        <w:tc>
          <w:tcPr>
            <w:tcW w:type="dxa" w:w="4392"/>
          </w:tcPr>
          <w:p>
            <w:r>
              <w:t>Firestore Data Model</w:t>
            </w:r>
          </w:p>
        </w:tc>
        <w:tc>
          <w:tcPr>
            <w:tcW w:type="dxa" w:w="4392"/>
          </w:tcPr>
          <w:p>
            <w:r>
              <w:t>Per-user subcollection (users/{uid}/habits) — naturally partitioned by user; no hotspot risk</w:t>
            </w:r>
          </w:p>
        </w:tc>
      </w:tr>
      <w:tr>
        <w:tc>
          <w:tcPr>
            <w:tcW w:type="dxa" w:w="4392"/>
          </w:tcPr>
          <w:p>
            <w:r>
              <w:t>Demo Mode</w:t>
            </w:r>
          </w:p>
        </w:tc>
        <w:tc>
          <w:tcPr>
            <w:tcW w:type="dxa" w:w="4392"/>
          </w:tcPr>
          <w:p>
            <w:r>
              <w:t>Entirely client-side (localStorage) — zero server load; scales to unlimited simultaneous demo users</w:t>
            </w:r>
          </w:p>
        </w:tc>
      </w:tr>
    </w:tbl>
    <w:p/>
    <w:p>
      <w:pPr>
        <w:pStyle w:val="Heading3"/>
      </w:pPr>
      <w:r>
        <w:t>Future Plan</w:t>
      </w:r>
    </w:p>
    <w:p>
      <w:r>
        <w:t>EcoTrack's roadmap beyond v1.0 is structured across three release phases.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928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2928"/>
          </w:tcPr>
          <w:p>
            <w:r>
              <w:t>v2.0 – Mobile &amp; Social</w:t>
            </w:r>
          </w:p>
        </w:tc>
        <w:tc>
          <w:tcPr>
            <w:tcW w:type="dxa" w:w="2928"/>
          </w:tcPr>
          <w:p>
            <w:r>
              <w:t>Q4 2026</w:t>
            </w:r>
          </w:p>
        </w:tc>
        <w:tc>
          <w:tcPr>
            <w:tcW w:type="dxa" w:w="2928"/>
          </w:tcPr>
          <w:p>
            <w:r>
              <w:t>Progressive Web App (PWA) install; push notification reminders; Social leaderboard with friend comparison; Weekly email digest of carbon summary; Google OAuth sign-in</w:t>
            </w:r>
          </w:p>
        </w:tc>
      </w:tr>
      <w:tr>
        <w:tc>
          <w:tcPr>
            <w:tcW w:type="dxa" w:w="2928"/>
          </w:tcPr>
          <w:p>
            <w:r>
              <w:t>v2.5 – Advanced Analytics</w:t>
            </w:r>
          </w:p>
        </w:tc>
        <w:tc>
          <w:tcPr>
            <w:tcW w:type="dxa" w:w="2928"/>
          </w:tcPr>
          <w:p>
            <w:r>
              <w:t>Q1 2027</w:t>
            </w:r>
          </w:p>
        </w:tc>
        <w:tc>
          <w:tcPr>
            <w:tcW w:type="dxa" w:w="2928"/>
          </w:tcPr>
          <w:p>
            <w:r>
              <w:t>ML-based personal emission trend forecasting; Carbon equivalency visualizations (e.g., 'equal to X trees planted'); Comparative benchmarks against national/city averages; Exportable PDF reports</w:t>
            </w:r>
          </w:p>
        </w:tc>
      </w:tr>
      <w:tr>
        <w:tc>
          <w:tcPr>
            <w:tcW w:type="dxa" w:w="2928"/>
          </w:tcPr>
          <w:p>
            <w:r>
              <w:t>v3.0 – IoT &amp; Integrations</w:t>
            </w:r>
          </w:p>
        </w:tc>
        <w:tc>
          <w:tcPr>
            <w:tcW w:type="dxa" w:w="2928"/>
          </w:tcPr>
          <w:p>
            <w:r>
              <w:t>Q3 2027</w:t>
            </w:r>
          </w:p>
        </w:tc>
        <w:tc>
          <w:tcPr>
            <w:tcW w:type="dxa" w:w="2928"/>
          </w:tcPr>
          <w:p>
            <w:r>
              <w:t>Smart home API integration (Google Home, Apple HomeKit) for auto-energy logging; EV integration (Tesla API, Uber Green) for auto-travel logging; Carbon offset marketplace with certified project links; Corporate team / organisation accounts</w:t>
            </w:r>
          </w:p>
        </w:tc>
      </w:tr>
    </w:tbl>
    <w:p/>
    <w:p>
      <w:pPr>
        <w:pStyle w:val="Heading3"/>
      </w:pPr>
      <w:r>
        <w:t>Technical Debt &amp; Improvement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92"/>
          </w:tcPr>
          <w:p>
            <w:r>
              <w:rPr>
                <w:b/>
              </w:rPr>
              <w:t>Improvement Needed</w:t>
            </w:r>
          </w:p>
        </w:tc>
      </w:tr>
      <w:tr>
        <w:tc>
          <w:tcPr>
            <w:tcW w:type="dxa" w:w="4392"/>
          </w:tcPr>
          <w:p>
            <w:r>
              <w:t>Flask Backend</w:t>
            </w:r>
          </w:p>
        </w:tc>
        <w:tc>
          <w:tcPr>
            <w:tcW w:type="dxa" w:w="4392"/>
          </w:tcPr>
          <w:p>
            <w:r>
              <w:t>Currently not included in repo — needs proper repo structure, tests, and deployment pipeline</w:t>
            </w:r>
          </w:p>
        </w:tc>
      </w:tr>
      <w:tr>
        <w:tc>
          <w:tcPr>
            <w:tcW w:type="dxa" w:w="4392"/>
          </w:tcPr>
          <w:p>
            <w:r>
              <w:t>Error Boundaries</w:t>
            </w:r>
          </w:p>
        </w:tc>
        <w:tc>
          <w:tcPr>
            <w:tcW w:type="dxa" w:w="4392"/>
          </w:tcPr>
          <w:p>
            <w:r>
              <w:t>Add React Error Boundaries to prevent full-page crashes on unexpected render errors</w:t>
            </w:r>
          </w:p>
        </w:tc>
      </w:tr>
      <w:tr>
        <w:tc>
          <w:tcPr>
            <w:tcW w:type="dxa" w:w="4392"/>
          </w:tcPr>
          <w:p>
            <w:r>
              <w:t>Unit Testing</w:t>
            </w:r>
          </w:p>
        </w:tc>
        <w:tc>
          <w:tcPr>
            <w:tcW w:type="dxa" w:w="4392"/>
          </w:tcPr>
          <w:p>
            <w:r>
              <w:t>Add Jest + React Testing Library tests for AppContext.jsx logic and key components</w:t>
            </w:r>
          </w:p>
        </w:tc>
      </w:tr>
      <w:tr>
        <w:tc>
          <w:tcPr>
            <w:tcW w:type="dxa" w:w="4392"/>
          </w:tcPr>
          <w:p>
            <w:r>
              <w:t>End-to-End Testing</w:t>
            </w:r>
          </w:p>
        </w:tc>
        <w:tc>
          <w:tcPr>
            <w:tcW w:type="dxa" w:w="4392"/>
          </w:tcPr>
          <w:p>
            <w:r>
              <w:t>Add Playwright or Cypress E2E tests covering the full Log Today → Dashboard → Suggestions flow</w:t>
            </w:r>
          </w:p>
        </w:tc>
      </w:tr>
      <w:tr>
        <w:tc>
          <w:tcPr>
            <w:tcW w:type="dxa" w:w="4392"/>
          </w:tcPr>
          <w:p>
            <w:r>
              <w:t>Firestore Security Rules</w:t>
            </w:r>
          </w:p>
        </w:tc>
        <w:tc>
          <w:tcPr>
            <w:tcW w:type="dxa" w:w="4392"/>
          </w:tcPr>
          <w:p>
            <w:r>
              <w:t>Implement and verify Firestore rules: restrict reads/writes to authenticated user's own UID</w:t>
            </w:r>
          </w:p>
        </w:tc>
      </w:tr>
      <w:tr>
        <w:tc>
          <w:tcPr>
            <w:tcW w:type="dxa" w:w="4392"/>
          </w:tcPr>
          <w:p>
            <w:r>
              <w:t>Accessibility Audit</w:t>
            </w:r>
          </w:p>
        </w:tc>
        <w:tc>
          <w:tcPr>
            <w:tcW w:type="dxa" w:w="4392"/>
          </w:tcPr>
          <w:p>
            <w:r>
              <w:t>Run axe DevTools audit; ensure all form fields have aria-labels; keyboard navigation tested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