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60" w:before="0"/>
        <w:jc w:val="center"/>
      </w:pPr>
      <w:r>
        <w:rPr>
          <w:rFonts w:ascii="Arial" w:cs="Arial" w:eastAsia="Arial" w:hAnsi="Arial"/>
          <w:b/>
          <w:bCs/>
          <w:color w:val="1B3A5C"/>
          <w:sz w:val="80"/>
          <w:szCs w:val="80"/>
        </w:rPr>
        <w:t xml:space="preserve">DECHUB</w:t>
      </w:r>
    </w:p>
    <w:p>
      <w:pPr>
        <w:spacing w:after="80" w:before="0"/>
        <w:jc w:val="center"/>
      </w:pPr>
      <w:r>
        <w:rPr>
          <w:rFonts w:ascii="Arial" w:cs="Arial" w:eastAsia="Arial" w:hAnsi="Arial"/>
          <w:b/>
          <w:bCs/>
          <w:color w:val="0F7B6C"/>
          <w:sz w:val="36"/>
          <w:szCs w:val="36"/>
        </w:rPr>
        <w:t xml:space="preserve">Global Workforce Platform</w:t>
      </w:r>
    </w:p>
    <w:p>
      <w:pPr>
        <w:pBdr>
          <w:bottom w:val="single" w:color="F0A500" w:sz="6" w:space="1"/>
        </w:pBdr>
        <w:spacing w:after="160" w:before="160"/>
      </w:pPr>
    </w:p>
    <w:p>
      <w:pPr>
        <w:spacing w:after="60" w:before="0"/>
        <w:jc w:val="center"/>
      </w:pPr>
      <w:r>
        <w:rPr>
          <w:rFonts w:ascii="Arial" w:cs="Arial" w:eastAsia="Arial" w:hAnsi="Arial"/>
          <w:b/>
          <w:bCs/>
          <w:color w:val="1B3A5C"/>
          <w:sz w:val="44"/>
          <w:szCs w:val="44"/>
        </w:rPr>
        <w:t xml:space="preserve">COMPREHENSIVE MARKETING STRATEGY</w:t>
      </w:r>
    </w:p>
    <w:p>
      <w:pPr>
        <w:spacing w:after="80" w:before="0"/>
        <w:jc w:val="center"/>
      </w:pPr>
      <w:r>
        <w:rPr>
          <w:rFonts w:ascii="Arial" w:cs="Arial" w:eastAsia="Arial" w:hAnsi="Arial"/>
          <w:color w:val="0F7B6C"/>
          <w:sz w:val="26"/>
          <w:szCs w:val="26"/>
        </w:rPr>
        <w:t xml:space="preserve">2025–2026 | Brand Awareness · Demand Generation · Customer Acquisition</w:t>
      </w:r>
    </w:p>
    <w:p>
      <w:pPr>
        <w:pBdr>
          <w:bottom w:val="single" w:color="F0A500" w:sz="6" w:space="1"/>
        </w:pBdr>
        <w:spacing w:after="240" w:before="160"/>
      </w:pPr>
    </w:p>
    <w:p>
      <w:pPr>
        <w:spacing w:after="60" w:before="0"/>
        <w:jc w:val="center"/>
      </w:pPr>
      <w:r>
        <w:rPr>
          <w:rFonts w:ascii="Arial" w:cs="Arial" w:eastAsia="Arial" w:hAnsi="Arial"/>
          <w:color w:val="1A1A2E"/>
          <w:sz w:val="24"/>
          <w:szCs w:val="24"/>
        </w:rPr>
        <w:t xml:space="preserve">Prepared for Founders, Leadership &amp; Investors</w:t>
      </w:r>
    </w:p>
    <w:p>
      <w:pPr>
        <w:spacing w:after="40" w:before="40"/>
        <w:jc w:val="center"/>
      </w:pPr>
      <w:r>
        <w:rPr>
          <w:rFonts w:ascii="Arial" w:cs="Arial" w:eastAsia="Arial" w:hAnsi="Arial"/>
          <w:color w:val="777777"/>
          <w:sz w:val="22"/>
          <w:szCs w:val="22"/>
        </w:rPr>
        <w:t xml:space="preserve">Confidential · Strategic Document</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 Executive Summary</w:t>
      </w:r>
    </w:p>
    <w:p>
      <w:pPr>
        <w:pStyle w:val="Heading2"/>
        <w:spacing w:after="120" w:before="280"/>
      </w:pPr>
      <w:r>
        <w:rPr>
          <w:rFonts w:ascii="Arial" w:cs="Arial" w:eastAsia="Arial" w:hAnsi="Arial"/>
          <w:b/>
          <w:bCs/>
          <w:color w:val="0F7B6C"/>
          <w:sz w:val="28"/>
          <w:szCs w:val="28"/>
        </w:rPr>
        <w:t xml:space="preserve">Company Overview</w:t>
      </w:r>
    </w:p>
    <w:p>
      <w:pPr>
        <w:spacing w:after="80" w:before="80"/>
      </w:pPr>
      <w:r>
        <w:rPr>
          <w:rFonts w:ascii="Arial" w:cs="Arial" w:eastAsia="Arial" w:hAnsi="Arial"/>
          <w:b w:val="false"/>
          <w:bCs w:val="false"/>
          <w:color w:val="1A1A2E"/>
          <w:sz w:val="22"/>
          <w:szCs w:val="22"/>
        </w:rPr>
        <w:t xml:space="preserve">Dechub is a next-generation cross-border hiring and workforce management platform purpose-built for the global economy. Through a single unified platform, companies across the world can hire, onboard, manage, and pay talent globally while maintaining full legal compliance. Dechub's platform spans Global Employee Hiring, Payroll Management, HRMS, Compliance Management, Employee Onboarding, Contractor Management, and Talent Discovery — making it a comprehensive Employer of Record (EOR) and HR infrastructure provider.</w:t>
      </w:r>
    </w:p>
    <w:p>
      <w:pPr>
        <w:spacing w:after="80" w:before="80"/>
      </w:pPr>
      <w:r>
        <w:rPr>
          <w:rFonts w:ascii="Arial" w:cs="Arial" w:eastAsia="Arial" w:hAnsi="Arial"/>
          <w:b w:val="false"/>
          <w:bCs w:val="false"/>
          <w:color w:val="1A1A2E"/>
          <w:sz w:val="22"/>
          <w:szCs w:val="22"/>
        </w:rPr>
        <w:t xml:space="preserve">A core strategic market is India-bound hiring: enabling foreign companies to hire top Indian talent seamlessly, while also supporting any company hiring cross-border globally.</w:t>
      </w:r>
    </w:p>
    <w:p>
      <w:pPr>
        <w:pStyle w:val="Heading2"/>
        <w:spacing w:after="120" w:before="280"/>
      </w:pPr>
      <w:r>
        <w:rPr>
          <w:rFonts w:ascii="Arial" w:cs="Arial" w:eastAsia="Arial" w:hAnsi="Arial"/>
          <w:b/>
          <w:bCs/>
          <w:color w:val="0F7B6C"/>
          <w:sz w:val="28"/>
          <w:szCs w:val="28"/>
        </w:rPr>
        <w:t xml:space="preserve">Marketing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8F4F2" w:val="clear"/>
            <w:tcMar>
              <w:top w:type="dxa" w:w="120"/>
              <w:left w:type="dxa" w:w="200"/>
              <w:bottom w:type="dxa" w:w="120"/>
              <w:right w:type="dxa" w:w="120"/>
            </w:tcMar>
          </w:tcPr>
          <w:p>
            <w:r>
              <w:rPr>
                <w:rFonts w:ascii="Arial" w:cs="Arial" w:eastAsia="Arial" w:hAnsi="Arial"/>
                <w:color w:val="1A1A2E"/>
                <w:sz w:val="22"/>
                <w:szCs w:val="22"/>
              </w:rPr>
              <w:t xml:space="preserve">To establish Dechub as the most trusted, transparent, and execution-focused global workforce platform — the go-to brand for companies looking to hire and manage talent across borders without friction.</w:t>
            </w:r>
          </w:p>
        </w:tc>
      </w:tr>
    </w:tbl>
    <w:p>
      <w:r>
        <w:t xml:space="preserve"/>
      </w:r>
    </w:p>
    <w:p>
      <w:pPr>
        <w:pStyle w:val="Heading2"/>
        <w:spacing w:after="120" w:before="280"/>
      </w:pPr>
      <w:r>
        <w:rPr>
          <w:rFonts w:ascii="Arial" w:cs="Arial" w:eastAsia="Arial" w:hAnsi="Arial"/>
          <w:b/>
          <w:bCs/>
          <w:color w:val="0F7B6C"/>
          <w:sz w:val="28"/>
          <w:szCs w:val="28"/>
        </w:rPr>
        <w:t xml:space="preserve">Marketing Objectives</w:t>
      </w:r>
    </w:p>
    <w:p>
      <w:pPr>
        <w:pStyle w:val="ListParagraph"/>
        <w:numPr>
          <w:ilvl w:val="0"/>
          <w:numId w:val="2"/>
        </w:numPr>
        <w:spacing w:after="60" w:before="60"/>
      </w:pPr>
      <w:r>
        <w:rPr>
          <w:rFonts w:ascii="Arial" w:cs="Arial" w:eastAsia="Arial" w:hAnsi="Arial"/>
          <w:color w:val="1A1A2E"/>
          <w:sz w:val="22"/>
          <w:szCs w:val="22"/>
        </w:rPr>
        <w:t xml:space="preserve">Generate 500+ qualified leads (MQLs) within the first 6 months post-launch</w:t>
      </w:r>
    </w:p>
    <w:p>
      <w:pPr>
        <w:pStyle w:val="ListParagraph"/>
        <w:numPr>
          <w:ilvl w:val="0"/>
          <w:numId w:val="2"/>
        </w:numPr>
        <w:spacing w:after="60" w:before="60"/>
      </w:pPr>
      <w:r>
        <w:rPr>
          <w:rFonts w:ascii="Arial" w:cs="Arial" w:eastAsia="Arial" w:hAnsi="Arial"/>
          <w:color w:val="1A1A2E"/>
          <w:sz w:val="22"/>
          <w:szCs w:val="22"/>
        </w:rPr>
        <w:t xml:space="preserve">Achieve 50 paying customers within 12 months</w:t>
      </w:r>
    </w:p>
    <w:p>
      <w:pPr>
        <w:pStyle w:val="ListParagraph"/>
        <w:numPr>
          <w:ilvl w:val="0"/>
          <w:numId w:val="2"/>
        </w:numPr>
        <w:spacing w:after="60" w:before="60"/>
      </w:pPr>
      <w:r>
        <w:rPr>
          <w:rFonts w:ascii="Arial" w:cs="Arial" w:eastAsia="Arial" w:hAnsi="Arial"/>
          <w:color w:val="1A1A2E"/>
          <w:sz w:val="22"/>
          <w:szCs w:val="22"/>
        </w:rPr>
        <w:t xml:space="preserve">Build domain authority and rank on page 1 for 30+ high-intent keywords by Month 12</w:t>
      </w:r>
    </w:p>
    <w:p>
      <w:pPr>
        <w:pStyle w:val="ListParagraph"/>
        <w:numPr>
          <w:ilvl w:val="0"/>
          <w:numId w:val="2"/>
        </w:numPr>
        <w:spacing w:after="60" w:before="60"/>
      </w:pPr>
      <w:r>
        <w:rPr>
          <w:rFonts w:ascii="Arial" w:cs="Arial" w:eastAsia="Arial" w:hAnsi="Arial"/>
          <w:color w:val="1A1A2E"/>
          <w:sz w:val="22"/>
          <w:szCs w:val="22"/>
        </w:rPr>
        <w:t xml:space="preserve">Grow monthly website traffic to 20,000+ unique visitors by Q4</w:t>
      </w:r>
    </w:p>
    <w:p>
      <w:pPr>
        <w:pStyle w:val="ListParagraph"/>
        <w:numPr>
          <w:ilvl w:val="0"/>
          <w:numId w:val="2"/>
        </w:numPr>
        <w:spacing w:after="60" w:before="60"/>
      </w:pPr>
      <w:r>
        <w:rPr>
          <w:rFonts w:ascii="Arial" w:cs="Arial" w:eastAsia="Arial" w:hAnsi="Arial"/>
          <w:color w:val="1A1A2E"/>
          <w:sz w:val="22"/>
          <w:szCs w:val="22"/>
        </w:rPr>
        <w:t xml:space="preserve">Establish brand presence across LinkedIn, Google, and industry publications</w:t>
      </w:r>
    </w:p>
    <w:p>
      <w:pPr>
        <w:pStyle w:val="ListParagraph"/>
        <w:numPr>
          <w:ilvl w:val="0"/>
          <w:numId w:val="2"/>
        </w:numPr>
        <w:spacing w:after="60" w:before="60"/>
      </w:pPr>
      <w:r>
        <w:rPr>
          <w:rFonts w:ascii="Arial" w:cs="Arial" w:eastAsia="Arial" w:hAnsi="Arial"/>
          <w:color w:val="1A1A2E"/>
          <w:sz w:val="22"/>
          <w:szCs w:val="22"/>
        </w:rPr>
        <w:t xml:space="preserve">Achieve $500K–$1M ARR within the first 12–18 months</w:t>
      </w:r>
    </w:p>
    <w:p>
      <w:pPr>
        <w:pStyle w:val="Heading2"/>
        <w:spacing w:after="120" w:before="280"/>
      </w:pPr>
      <w:r>
        <w:rPr>
          <w:rFonts w:ascii="Arial" w:cs="Arial" w:eastAsia="Arial" w:hAnsi="Arial"/>
          <w:b/>
          <w:bCs/>
          <w:color w:val="0F7B6C"/>
          <w:sz w:val="28"/>
          <w:szCs w:val="28"/>
        </w:rPr>
        <w:t xml:space="preserve">Expected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6-Month Target</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12-Month Target</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Paying Customers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10–15</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50–75</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MRR</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$25K–$50K</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$100K–$200K</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CAC (Blended)</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$800–$1,200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$600–$900</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LTV : CAC Ratio</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3:1</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5:1+</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2. Market Analysis</w:t>
      </w:r>
    </w:p>
    <w:p>
      <w:pPr>
        <w:pStyle w:val="Heading2"/>
        <w:spacing w:after="120" w:before="280"/>
      </w:pPr>
      <w:r>
        <w:rPr>
          <w:rFonts w:ascii="Arial" w:cs="Arial" w:eastAsia="Arial" w:hAnsi="Arial"/>
          <w:b/>
          <w:bCs/>
          <w:color w:val="0F7B6C"/>
          <w:sz w:val="28"/>
          <w:szCs w:val="28"/>
        </w:rPr>
        <w:t xml:space="preserve">Global HRTech Market Overview</w:t>
      </w:r>
    </w:p>
    <w:p>
      <w:pPr>
        <w:spacing w:after="80" w:before="80"/>
      </w:pPr>
      <w:r>
        <w:rPr>
          <w:rFonts w:ascii="Arial" w:cs="Arial" w:eastAsia="Arial" w:hAnsi="Arial"/>
          <w:b w:val="false"/>
          <w:bCs w:val="false"/>
          <w:color w:val="1A1A2E"/>
          <w:sz w:val="22"/>
          <w:szCs w:val="22"/>
        </w:rPr>
        <w:t xml:space="preserve">The global HR Technology market is valued at approximately $38 billion in 2024 and is projected to reach $81 billion by 2030, growing at a CAGR of ~13.5%. This growth is driven by digital transformation of HR functions, rising demand for remote workforce tools, and the increasing complexity of global employment compliance.</w:t>
      </w:r>
    </w:p>
    <w:p>
      <w:pPr>
        <w:pStyle w:val="Heading2"/>
        <w:spacing w:after="120" w:before="280"/>
      </w:pPr>
      <w:r>
        <w:rPr>
          <w:rFonts w:ascii="Arial" w:cs="Arial" w:eastAsia="Arial" w:hAnsi="Arial"/>
          <w:b/>
          <w:bCs/>
          <w:color w:val="0F7B6C"/>
          <w:sz w:val="28"/>
          <w:szCs w:val="28"/>
        </w:rPr>
        <w:t xml:space="preserve">Key Industry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Signal</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Dechub Opportunity</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EOR Market Boom</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$6.7B market growing at 15% CAGR</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product-market fit</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Remote-First Adoption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70%+ companies now hire remotely</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Platform demand surge</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India Talent Surge</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global tech talent exporter</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Focused GTM advantage</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Compliance Complexity</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Local laws in 190+ countries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Compliance-as-USP</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Payroll Modernisation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$10.5B global payroll software market</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Bundled revenue stream</w:t>
            </w:r>
          </w:p>
        </w:tc>
      </w:tr>
    </w:tbl>
    <w:p>
      <w:r>
        <w:t xml:space="preserve"/>
      </w:r>
    </w:p>
    <w:p>
      <w:pPr>
        <w:pStyle w:val="Heading2"/>
        <w:spacing w:after="120" w:before="280"/>
      </w:pPr>
      <w:r>
        <w:rPr>
          <w:rFonts w:ascii="Arial" w:cs="Arial" w:eastAsia="Arial" w:hAnsi="Arial"/>
          <w:b/>
          <w:bCs/>
          <w:color w:val="0F7B6C"/>
          <w:sz w:val="28"/>
          <w:szCs w:val="28"/>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BD5E0" w:sz="1"/>
              <w:left w:val="single" w:color="CBD5E0" w:sz="1"/>
              <w:bottom w:val="single" w:color="CBD5E0" w:sz="1"/>
              <w:right w:val="single" w:color="CBD5E0" w:sz="1"/>
            </w:tcBorders>
            <w:shd w:fill="0F7B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468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WEAKNESSES</w:t>
            </w:r>
          </w:p>
        </w:tc>
      </w:tr>
      <w:tr>
        <w:tc>
          <w:tcPr>
            <w:tcW w:type="dxa" w:w="4680"/>
            <w:tcBorders>
              <w:top w:val="single" w:color="CBD5E0" w:sz="1"/>
              <w:left w:val="single" w:color="CBD5E0" w:sz="1"/>
              <w:bottom w:val="single" w:color="CBD5E0" w:sz="1"/>
              <w:right w:val="single" w:color="CBD5E0" w:sz="1"/>
            </w:tcBorders>
            <w:shd w:fill="E8F4F2" w:val="clear"/>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India-focused EOR niche: underserved by global players</w:t>
            </w:r>
          </w:p>
          <w:p>
            <w:pPr>
              <w:pStyle w:val="ListParagraph"/>
              <w:numPr>
                <w:ilvl w:val="0"/>
                <w:numId w:val="2"/>
              </w:numPr>
            </w:pPr>
            <w:r>
              <w:rPr>
                <w:rFonts w:ascii="Arial" w:cs="Arial" w:eastAsia="Arial" w:hAnsi="Arial"/>
                <w:sz w:val="20"/>
                <w:szCs w:val="20"/>
              </w:rPr>
              <w:t xml:space="preserve">Full-stack platform: hiring + payroll + HRMS + compliance</w:t>
            </w:r>
          </w:p>
          <w:p>
            <w:pPr>
              <w:pStyle w:val="ListParagraph"/>
              <w:numPr>
                <w:ilvl w:val="0"/>
                <w:numId w:val="2"/>
              </w:numPr>
            </w:pPr>
            <w:r>
              <w:rPr>
                <w:rFonts w:ascii="Arial" w:cs="Arial" w:eastAsia="Arial" w:hAnsi="Arial"/>
                <w:sz w:val="20"/>
                <w:szCs w:val="20"/>
              </w:rPr>
              <w:t xml:space="preserve">Competitive pricing vs. Deel/Remote</w:t>
            </w:r>
          </w:p>
          <w:p>
            <w:pPr>
              <w:pStyle w:val="ListParagraph"/>
              <w:numPr>
                <w:ilvl w:val="0"/>
                <w:numId w:val="2"/>
              </w:numPr>
            </w:pPr>
            <w:r>
              <w:rPr>
                <w:rFonts w:ascii="Arial" w:cs="Arial" w:eastAsia="Arial" w:hAnsi="Arial"/>
                <w:sz w:val="20"/>
                <w:szCs w:val="20"/>
              </w:rPr>
              <w:t xml:space="preserve">MVP ready with faster time-to-market</w:t>
            </w:r>
          </w:p>
        </w:tc>
        <w:tc>
          <w:tcPr>
            <w:tcW w:type="dxa" w:w="4680"/>
            <w:tcBorders>
              <w:top w:val="single" w:color="CBD5E0" w:sz="1"/>
              <w:left w:val="single" w:color="CBD5E0" w:sz="1"/>
              <w:bottom w:val="single" w:color="CBD5E0" w:sz="1"/>
              <w:right w:val="single" w:color="CBD5E0" w:sz="1"/>
            </w:tcBorders>
            <w:shd w:fill="FFF8F0" w:val="clear"/>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Brand awareness near zero at launch</w:t>
            </w:r>
          </w:p>
          <w:p>
            <w:pPr>
              <w:pStyle w:val="ListParagraph"/>
              <w:numPr>
                <w:ilvl w:val="0"/>
                <w:numId w:val="2"/>
              </w:numPr>
            </w:pPr>
            <w:r>
              <w:rPr>
                <w:rFonts w:ascii="Arial" w:cs="Arial" w:eastAsia="Arial" w:hAnsi="Arial"/>
                <w:sz w:val="20"/>
                <w:szCs w:val="20"/>
              </w:rPr>
              <w:t xml:space="preserve">No existing customer base or case studies</w:t>
            </w:r>
          </w:p>
          <w:p>
            <w:pPr>
              <w:pStyle w:val="ListParagraph"/>
              <w:numPr>
                <w:ilvl w:val="0"/>
                <w:numId w:val="2"/>
              </w:numPr>
            </w:pPr>
            <w:r>
              <w:rPr>
                <w:rFonts w:ascii="Arial" w:cs="Arial" w:eastAsia="Arial" w:hAnsi="Arial"/>
                <w:sz w:val="20"/>
                <w:szCs w:val="20"/>
              </w:rPr>
              <w:t xml:space="preserve">Limited marketing budget vs. established players</w:t>
            </w:r>
          </w:p>
        </w:tc>
      </w:tr>
      <w:tr>
        <w:tc>
          <w:tcPr>
            <w:tcW w:type="dxa" w:w="4680"/>
            <w:gridSpan w:val="1"/>
            <w:tcBorders>
              <w:top w:val="single" w:color="CBD5E0" w:sz="1"/>
              <w:left w:val="single" w:color="CBD5E0" w:sz="1"/>
              <w:bottom w:val="single" w:color="CBD5E0" w:sz="1"/>
              <w:right w:val="single" w:color="CBD5E0" w:sz="1"/>
            </w:tcBorders>
            <w:shd w:fill="0F7B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OPPORTUNITIES</w:t>
            </w:r>
          </w:p>
        </w:tc>
        <w:tc>
          <w:tcPr>
            <w:tcW w:type="dxa" w:w="468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THREATS</w:t>
            </w:r>
          </w:p>
        </w:tc>
      </w:tr>
      <w:tr>
        <w:tc>
          <w:tcPr>
            <w:tcW w:type="dxa" w:w="4680"/>
            <w:tcBorders>
              <w:top w:val="single" w:color="CBD5E0" w:sz="1"/>
              <w:left w:val="single" w:color="CBD5E0" w:sz="1"/>
              <w:bottom w:val="single" w:color="CBD5E0" w:sz="1"/>
              <w:right w:val="single" w:color="CBD5E0" w:sz="1"/>
            </w:tcBorders>
            <w:shd w:fill="E8F4F2" w:val="clear"/>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Rising demand for India-based remote talent hiring</w:t>
            </w:r>
          </w:p>
          <w:p>
            <w:pPr>
              <w:pStyle w:val="ListParagraph"/>
              <w:numPr>
                <w:ilvl w:val="0"/>
                <w:numId w:val="2"/>
              </w:numPr>
            </w:pPr>
            <w:r>
              <w:rPr>
                <w:rFonts w:ascii="Arial" w:cs="Arial" w:eastAsia="Arial" w:hAnsi="Arial"/>
                <w:sz w:val="20"/>
                <w:szCs w:val="20"/>
              </w:rPr>
              <w:t xml:space="preserve">Untapped SME and startup segment</w:t>
            </w:r>
          </w:p>
          <w:p>
            <w:pPr>
              <w:pStyle w:val="ListParagraph"/>
              <w:numPr>
                <w:ilvl w:val="0"/>
                <w:numId w:val="2"/>
              </w:numPr>
            </w:pPr>
            <w:r>
              <w:rPr>
                <w:rFonts w:ascii="Arial" w:cs="Arial" w:eastAsia="Arial" w:hAnsi="Arial"/>
                <w:sz w:val="20"/>
                <w:szCs w:val="20"/>
              </w:rPr>
              <w:t xml:space="preserve">Strategic partnerships with Indian IT hubs and incubators</w:t>
            </w:r>
          </w:p>
          <w:p>
            <w:pPr>
              <w:pStyle w:val="ListParagraph"/>
              <w:numPr>
                <w:ilvl w:val="0"/>
                <w:numId w:val="2"/>
              </w:numPr>
            </w:pPr>
            <w:r>
              <w:rPr>
                <w:rFonts w:ascii="Arial" w:cs="Arial" w:eastAsia="Arial" w:hAnsi="Arial"/>
                <w:sz w:val="20"/>
                <w:szCs w:val="20"/>
              </w:rPr>
              <w:t xml:space="preserve">Southeast Asia, Middle East, and Africa EOR expansion</w:t>
            </w:r>
          </w:p>
        </w:tc>
        <w:tc>
          <w:tcPr>
            <w:tcW w:type="dxa" w:w="4680"/>
            <w:tcBorders>
              <w:top w:val="single" w:color="CBD5E0" w:sz="1"/>
              <w:left w:val="single" w:color="CBD5E0" w:sz="1"/>
              <w:bottom w:val="single" w:color="CBD5E0" w:sz="1"/>
              <w:right w:val="single" w:color="CBD5E0" w:sz="1"/>
            </w:tcBorders>
            <w:shd w:fill="FFF8F0" w:val="clear"/>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Deel, Remote, Multiplier with $500M+ in funding</w:t>
            </w:r>
          </w:p>
          <w:p>
            <w:pPr>
              <w:pStyle w:val="ListParagraph"/>
              <w:numPr>
                <w:ilvl w:val="0"/>
                <w:numId w:val="2"/>
              </w:numPr>
            </w:pPr>
            <w:r>
              <w:rPr>
                <w:rFonts w:ascii="Arial" w:cs="Arial" w:eastAsia="Arial" w:hAnsi="Arial"/>
                <w:sz w:val="20"/>
                <w:szCs w:val="20"/>
              </w:rPr>
              <w:t xml:space="preserve">Pricing pressure from well-funded competitors</w:t>
            </w:r>
          </w:p>
          <w:p>
            <w:pPr>
              <w:pStyle w:val="ListParagraph"/>
              <w:numPr>
                <w:ilvl w:val="0"/>
                <w:numId w:val="2"/>
              </w:numPr>
            </w:pPr>
            <w:r>
              <w:rPr>
                <w:rFonts w:ascii="Arial" w:cs="Arial" w:eastAsia="Arial" w:hAnsi="Arial"/>
                <w:sz w:val="20"/>
                <w:szCs w:val="20"/>
              </w:rPr>
              <w:t xml:space="preserve">Compliance/legal risks in international markets</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3. Target Audience Analysis</w:t>
      </w:r>
    </w:p>
    <w:p>
      <w:pPr>
        <w:pStyle w:val="Heading2"/>
        <w:spacing w:after="120" w:before="280"/>
      </w:pPr>
      <w:r>
        <w:rPr>
          <w:rFonts w:ascii="Arial" w:cs="Arial" w:eastAsia="Arial" w:hAnsi="Arial"/>
          <w:b/>
          <w:bCs/>
          <w:color w:val="0F7B6C"/>
          <w:sz w:val="28"/>
          <w:szCs w:val="28"/>
        </w:rPr>
        <w:t xml:space="preserve">Primary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Company Size</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Geography</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Pain Points</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 Range</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Startups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 employees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 EU, UK, Middle East</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EOR infrastructure, compliance risk</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$500–$2K/mo</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50–250 employees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Manual HR ops, payroll errors, hiring delays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$2K–$10K/mo</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Mid-market</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250–1000 employees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 EU, APAC</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Scaling HR, compliance across borders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$10K–$30K/mo</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Enterprise</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 employees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Fragmented systems, multi-country compliance</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$30K–$100K+/mo</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Staffing Agencies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10–200 staff</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India, US, UK</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Client EOR needs, payroll mgmt for contractors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$1K–$15K/mo</w:t>
            </w:r>
          </w:p>
        </w:tc>
      </w:tr>
    </w:tbl>
    <w:p>
      <w:r>
        <w:t xml:space="preserve"/>
      </w:r>
    </w:p>
    <w:p>
      <w:pPr>
        <w:pStyle w:val="Heading2"/>
        <w:spacing w:after="120" w:before="280"/>
      </w:pPr>
      <w:r>
        <w:rPr>
          <w:rFonts w:ascii="Arial" w:cs="Arial" w:eastAsia="Arial" w:hAnsi="Arial"/>
          <w:b/>
          <w:bCs/>
          <w:color w:val="0F7B6C"/>
          <w:sz w:val="28"/>
          <w:szCs w:val="28"/>
        </w:rPr>
        <w:t xml:space="preserve">Secondary Audience</w:t>
      </w:r>
    </w:p>
    <w:p>
      <w:pPr>
        <w:pStyle w:val="ListParagraph"/>
        <w:numPr>
          <w:ilvl w:val="0"/>
          <w:numId w:val="2"/>
        </w:numPr>
        <w:spacing w:after="60" w:before="60"/>
      </w:pPr>
      <w:r>
        <w:rPr>
          <w:rFonts w:ascii="Arial" w:cs="Arial" w:eastAsia="Arial" w:hAnsi="Arial"/>
          <w:color w:val="1A1A2E"/>
          <w:sz w:val="22"/>
          <w:szCs w:val="22"/>
        </w:rPr>
        <w:t xml:space="preserve">HR Consultants — Recommend EOR/payroll platforms to their clients; valuable as channel partners</w:t>
      </w:r>
    </w:p>
    <w:p>
      <w:pPr>
        <w:pStyle w:val="ListParagraph"/>
        <w:numPr>
          <w:ilvl w:val="0"/>
          <w:numId w:val="2"/>
        </w:numPr>
        <w:spacing w:after="60" w:before="60"/>
      </w:pPr>
      <w:r>
        <w:rPr>
          <w:rFonts w:ascii="Arial" w:cs="Arial" w:eastAsia="Arial" w:hAnsi="Arial"/>
          <w:color w:val="1A1A2E"/>
          <w:sz w:val="22"/>
          <w:szCs w:val="22"/>
        </w:rPr>
        <w:t xml:space="preserve">Recruitment Agencies — Cross-sell EOR services to clients who hire internationally</w:t>
      </w:r>
    </w:p>
    <w:p>
      <w:pPr>
        <w:pStyle w:val="ListParagraph"/>
        <w:numPr>
          <w:ilvl w:val="0"/>
          <w:numId w:val="2"/>
        </w:numPr>
        <w:spacing w:after="60" w:before="60"/>
      </w:pPr>
      <w:r>
        <w:rPr>
          <w:rFonts w:ascii="Arial" w:cs="Arial" w:eastAsia="Arial" w:hAnsi="Arial"/>
          <w:color w:val="1A1A2E"/>
          <w:sz w:val="22"/>
          <w:szCs w:val="22"/>
        </w:rPr>
        <w:t xml:space="preserve">Startup Communities &amp; Accelerators — Y Combinator, Techstars, NASSCOM, iSPIRT — high concentration of ideal customers</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4. Ideal Customer Profiles (ICP)</w:t>
      </w:r>
    </w:p>
    <w:p>
      <w:pPr>
        <w:pStyle w:val="Heading2"/>
        <w:spacing w:after="120" w:before="280"/>
      </w:pPr>
      <w:r>
        <w:rPr>
          <w:rFonts w:ascii="Arial" w:cs="Arial" w:eastAsia="Arial" w:hAnsi="Arial"/>
          <w:b/>
          <w:bCs/>
          <w:color w:val="0F7B6C"/>
          <w:sz w:val="28"/>
          <w:szCs w:val="28"/>
        </w:rPr>
        <w:t xml:space="preserve">ICP 1: Startup Founder (Primary Decision 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Title</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CEO / Co-Founder</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Company</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US/EU tech startup, Series A or earlier, hiring Indian engineers/designers</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Goals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Hire top Indian talent fast, stay compliant, reduce HR ops cost</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Challenges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Confused by PEO vs EOR, scared of compliance fines, no HR team</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Buying Triggers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First international hire, failed DIY compliance attempt, investor pressure</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Objections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'Is Dechub trustworthy?' / 'How does it compare to Deel?'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Channels to Reach</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Y Combinator forums, Hacker News, ProductHunt</w:t>
            </w:r>
          </w:p>
        </w:tc>
      </w:tr>
    </w:tbl>
    <w:p>
      <w:r>
        <w:t xml:space="preserve"/>
      </w:r>
    </w:p>
    <w:p>
      <w:pPr>
        <w:pStyle w:val="Heading2"/>
        <w:spacing w:after="120" w:before="280"/>
      </w:pPr>
      <w:r>
        <w:rPr>
          <w:rFonts w:ascii="Arial" w:cs="Arial" w:eastAsia="Arial" w:hAnsi="Arial"/>
          <w:b/>
          <w:bCs/>
          <w:color w:val="0F7B6C"/>
          <w:sz w:val="28"/>
          <w:szCs w:val="28"/>
        </w:rPr>
        <w:t xml:space="preserve">ICP 2: HR Manager / HR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Title</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Manager, HR Director, People Ops Lead</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Company</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Mid-size company (100–500 employees) expanding globally</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Goals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Streamline global payroll, reduce compliance risk, unify HRMS</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Challenges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Juggling multiple tools, manual processes, cross-border tax complexity</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Buying Triggers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country expansion, payroll errors, leadership pressure to cut costs</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Objections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Integration concerns, data security, change management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Channels to Reach</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SHRM, HR newsletters, industry webinars</w:t>
            </w:r>
          </w:p>
        </w:tc>
      </w:tr>
    </w:tbl>
    <w:p>
      <w:r>
        <w:t xml:space="preserve"/>
      </w:r>
    </w:p>
    <w:p>
      <w:pPr>
        <w:pStyle w:val="Heading2"/>
        <w:spacing w:after="120" w:before="280"/>
      </w:pPr>
      <w:r>
        <w:rPr>
          <w:rFonts w:ascii="Arial" w:cs="Arial" w:eastAsia="Arial" w:hAnsi="Arial"/>
          <w:b/>
          <w:bCs/>
          <w:color w:val="0F7B6C"/>
          <w:sz w:val="28"/>
          <w:szCs w:val="28"/>
        </w:rPr>
        <w:t xml:space="preserve">ICP 3: COO / Operations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Title</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COO, VP Operations, Head of People</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Company</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Scale-up or enterprise with distributed workforce (500–5000 employees)</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Goals</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Operational efficiency, global workforce visibility, cost control</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Buying Triggers</w:t>
            </w:r>
          </w:p>
        </w:tc>
        <w:tc>
          <w:tcPr>
            <w:tcW w:type="dxa" w:w="70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M&amp;A activity, digital transformation initiative, audit exposure</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Channels to Reach</w:t>
            </w:r>
          </w:p>
        </w:tc>
        <w:tc>
          <w:tcPr>
            <w:tcW w:type="dxa" w:w="70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industry reports, ERP/HRMS vendor communities</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5. Brand Positioning Strategy</w:t>
      </w:r>
    </w:p>
    <w:p>
      <w:pPr>
        <w:pStyle w:val="Heading2"/>
        <w:spacing w:after="120" w:before="280"/>
      </w:pPr>
      <w:r>
        <w:rPr>
          <w:rFonts w:ascii="Arial" w:cs="Arial" w:eastAsia="Arial" w:hAnsi="Arial"/>
          <w:b/>
          <w:bCs/>
          <w:color w:val="0F7B6C"/>
          <w:sz w:val="28"/>
          <w:szCs w:val="28"/>
        </w:rPr>
        <w:t xml:space="preserve">Unique Value Proposition (UVP)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8F4F2" w:val="clear"/>
            <w:tcMar>
              <w:top w:type="dxa" w:w="120"/>
              <w:left w:type="dxa" w:w="200"/>
              <w:bottom w:type="dxa" w:w="120"/>
              <w:right w:type="dxa" w:w="120"/>
            </w:tcMar>
          </w:tcPr>
          <w:p>
            <w:r>
              <w:rPr>
                <w:rFonts w:ascii="Arial" w:cs="Arial" w:eastAsia="Arial" w:hAnsi="Arial"/>
                <w:color w:val="1A1A2E"/>
                <w:sz w:val="22"/>
                <w:szCs w:val="22"/>
              </w:rPr>
              <w:t xml:space="preserve">Dechub enables companies worldwide to hire, manage, and pay talent — especially from India — with zero compliance risk, full legal coverage, and enterprise-grade HR infrastructure. Fast to start, easy to scale, built for global-first companies.</w:t>
            </w:r>
          </w:p>
        </w:tc>
      </w:tr>
    </w:tbl>
    <w:p>
      <w:r>
        <w:t xml:space="preserve"/>
      </w:r>
    </w:p>
    <w:p>
      <w:pPr>
        <w:pStyle w:val="Heading2"/>
        <w:spacing w:after="120" w:before="280"/>
      </w:pPr>
      <w:r>
        <w:rPr>
          <w:rFonts w:ascii="Arial" w:cs="Arial" w:eastAsia="Arial" w:hAnsi="Arial"/>
          <w:b/>
          <w:bCs/>
          <w:color w:val="0F7B6C"/>
          <w:sz w:val="28"/>
          <w:szCs w:val="28"/>
        </w:rPr>
        <w:t xml:space="preserve">Brand Positioning Statement</w:t>
      </w:r>
    </w:p>
    <w:p>
      <w:pPr>
        <w:spacing w:after="80" w:before="80"/>
      </w:pPr>
      <w:r>
        <w:rPr>
          <w:rFonts w:ascii="Arial" w:cs="Arial" w:eastAsia="Arial" w:hAnsi="Arial"/>
          <w:b w:val="false"/>
          <w:bCs w:val="false"/>
          <w:color w:val="1A1A2E"/>
          <w:sz w:val="22"/>
          <w:szCs w:val="22"/>
        </w:rPr>
        <w:t xml:space="preserve">For global-first companies that need to hire talent across borders without friction, Dechub is the all-in-one workforce platform that combines Employer of Record services, payroll management, compliance automation, and HRMS in a single product — unlike legacy HR tools that require multiple vendors. Dechub is your global HR department, already built.</w:t>
      </w:r>
    </w:p>
    <w:p>
      <w:pPr>
        <w:pStyle w:val="Heading2"/>
        <w:spacing w:after="120" w:before="280"/>
      </w:pPr>
      <w:r>
        <w:rPr>
          <w:rFonts w:ascii="Arial" w:cs="Arial" w:eastAsia="Arial" w:hAnsi="Arial"/>
          <w:b/>
          <w:bCs/>
          <w:color w:val="0F7B6C"/>
          <w:sz w:val="28"/>
          <w:szCs w:val="28"/>
        </w:rPr>
        <w:t xml:space="preserve">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India-First Focus</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Full HRMS</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SMB Friendly</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Deel</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$599/employee/mo</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Generic</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Moderate</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Remote.com</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$599/employee/mo</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Generic</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Moderate</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Multiplier</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$400/employee/mo</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APAC-focused</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Good</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Rippling</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Complex pricing</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US-centric</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Enterprise</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DECHUB</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Competitive / Flexible</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STRENGTH</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Stack</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EXCELLENT</w:t>
            </w:r>
          </w:p>
        </w:tc>
      </w:tr>
    </w:tbl>
    <w:p>
      <w:r>
        <w:t xml:space="preserve"/>
      </w:r>
    </w:p>
    <w:p>
      <w:pPr>
        <w:pStyle w:val="Heading2"/>
        <w:spacing w:after="120" w:before="280"/>
      </w:pPr>
      <w:r>
        <w:rPr>
          <w:rFonts w:ascii="Arial" w:cs="Arial" w:eastAsia="Arial" w:hAnsi="Arial"/>
          <w:b/>
          <w:bCs/>
          <w:color w:val="0F7B6C"/>
          <w:sz w:val="28"/>
          <w:szCs w:val="28"/>
        </w:rPr>
        <w:t xml:space="preserve">Core Messaging Pillars</w:t>
      </w:r>
    </w:p>
    <w:p>
      <w:pPr>
        <w:pStyle w:val="ListParagraph"/>
        <w:numPr>
          <w:ilvl w:val="0"/>
          <w:numId w:val="2"/>
        </w:numPr>
        <w:spacing w:after="60" w:before="60"/>
      </w:pPr>
      <w:r>
        <w:rPr>
          <w:rFonts w:ascii="Arial" w:cs="Arial" w:eastAsia="Arial" w:hAnsi="Arial"/>
          <w:color w:val="1A1A2E"/>
          <w:sz w:val="22"/>
          <w:szCs w:val="22"/>
        </w:rPr>
        <w:t xml:space="preserve">Hire Globally, Comply Locally — Legal, compliant hiring in any country</w:t>
      </w:r>
    </w:p>
    <w:p>
      <w:pPr>
        <w:pStyle w:val="ListParagraph"/>
        <w:numPr>
          <w:ilvl w:val="0"/>
          <w:numId w:val="2"/>
        </w:numPr>
        <w:spacing w:after="60" w:before="60"/>
      </w:pPr>
      <w:r>
        <w:rPr>
          <w:rFonts w:ascii="Arial" w:cs="Arial" w:eastAsia="Arial" w:hAnsi="Arial"/>
          <w:color w:val="1A1A2E"/>
          <w:sz w:val="22"/>
          <w:szCs w:val="22"/>
        </w:rPr>
        <w:t xml:space="preserve">India's Best Talent, Ready to Work for You — Focused EOR advantage for India-bound hiring</w:t>
      </w:r>
    </w:p>
    <w:p>
      <w:pPr>
        <w:pStyle w:val="ListParagraph"/>
        <w:numPr>
          <w:ilvl w:val="0"/>
          <w:numId w:val="2"/>
        </w:numPr>
        <w:spacing w:after="60" w:before="60"/>
      </w:pPr>
      <w:r>
        <w:rPr>
          <w:rFonts w:ascii="Arial" w:cs="Arial" w:eastAsia="Arial" w:hAnsi="Arial"/>
          <w:color w:val="1A1A2E"/>
          <w:sz w:val="22"/>
          <w:szCs w:val="22"/>
        </w:rPr>
        <w:t xml:space="preserve">One Platform, Everything HR — Payroll + HRMS + Compliance + Onboarding in one place</w:t>
      </w:r>
    </w:p>
    <w:p>
      <w:pPr>
        <w:pStyle w:val="ListParagraph"/>
        <w:numPr>
          <w:ilvl w:val="0"/>
          <w:numId w:val="2"/>
        </w:numPr>
        <w:spacing w:after="60" w:before="60"/>
      </w:pPr>
      <w:r>
        <w:rPr>
          <w:rFonts w:ascii="Arial" w:cs="Arial" w:eastAsia="Arial" w:hAnsi="Arial"/>
          <w:color w:val="1A1A2E"/>
          <w:sz w:val="22"/>
          <w:szCs w:val="22"/>
        </w:rPr>
        <w:t xml:space="preserve">Fast Onboarding, Zero Friction — Employees hired and active in days, not months</w:t>
      </w:r>
    </w:p>
    <w:p>
      <w:pPr>
        <w:pStyle w:val="ListParagraph"/>
        <w:numPr>
          <w:ilvl w:val="0"/>
          <w:numId w:val="2"/>
        </w:numPr>
        <w:spacing w:after="60" w:before="60"/>
      </w:pPr>
      <w:r>
        <w:rPr>
          <w:rFonts w:ascii="Arial" w:cs="Arial" w:eastAsia="Arial" w:hAnsi="Arial"/>
          <w:color w:val="1A1A2E"/>
          <w:sz w:val="22"/>
          <w:szCs w:val="22"/>
        </w:rPr>
        <w:t xml:space="preserve">Built for Scale — Start with 1 hire, scale to 1,000+</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6. Digital Marketing Strategy</w:t>
      </w:r>
    </w:p>
    <w:p>
      <w:pPr>
        <w:pStyle w:val="Heading2"/>
        <w:spacing w:after="120" w:before="280"/>
      </w:pPr>
      <w:r>
        <w:rPr>
          <w:rFonts w:ascii="Arial" w:cs="Arial" w:eastAsia="Arial" w:hAnsi="Arial"/>
          <w:b/>
          <w:bCs/>
          <w:color w:val="0F7B6C"/>
          <w:sz w:val="28"/>
          <w:szCs w:val="28"/>
        </w:rPr>
        <w:t xml:space="preserve">6.1 SEO Strategy</w:t>
      </w:r>
    </w:p>
    <w:p>
      <w:pPr>
        <w:pStyle w:val="Heading3"/>
        <w:spacing w:after="80" w:before="200"/>
      </w:pPr>
      <w:r>
        <w:rPr>
          <w:rFonts w:ascii="Arial" w:cs="Arial" w:eastAsia="Arial" w:hAnsi="Arial"/>
          <w:b/>
          <w:bCs/>
          <w:color w:val="1B3A5C"/>
          <w:sz w:val="24"/>
          <w:szCs w:val="24"/>
        </w:rPr>
        <w:t xml:space="preserve">Priority Keyword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rPr>
          <w:tblHeader/>
        </w:trPr>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Keyword Cluster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Keywords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Volume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Intent</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EOR / Employer of Record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employer of record India, EOR service India</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8,000–15,000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commercial</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Hire Remote India</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hire developers India, hire Indian employees remotely</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5,000–12,000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commercial</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Payroll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payroll software, international payroll management</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6,000–10,000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Commercial</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Compliance</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HR compliance, India employment law foreign companies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3,000–6,000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Informational + commercial</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Contractor Management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manage contractors globally, contractor payroll India</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2,000–5,000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Commercial</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Comparisons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Deel vs Remote, best EOR platform 2025</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2,000–8,000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purchase intent</w:t>
            </w:r>
          </w:p>
        </w:tc>
      </w:tr>
    </w:tbl>
    <w:p>
      <w:r>
        <w:t xml:space="preserve"/>
      </w:r>
    </w:p>
    <w:p>
      <w:pPr>
        <w:pStyle w:val="Heading3"/>
        <w:spacing w:after="80" w:before="200"/>
      </w:pPr>
      <w:r>
        <w:rPr>
          <w:rFonts w:ascii="Arial" w:cs="Arial" w:eastAsia="Arial" w:hAnsi="Arial"/>
          <w:b/>
          <w:bCs/>
          <w:color w:val="1B3A5C"/>
          <w:sz w:val="24"/>
          <w:szCs w:val="24"/>
        </w:rPr>
        <w:t xml:space="preserve">SEO Execution Plan</w:t>
      </w:r>
    </w:p>
    <w:p>
      <w:pPr>
        <w:pStyle w:val="ListParagraph"/>
        <w:numPr>
          <w:ilvl w:val="0"/>
          <w:numId w:val="2"/>
        </w:numPr>
        <w:spacing w:after="60" w:before="60"/>
      </w:pPr>
      <w:r>
        <w:rPr>
          <w:rFonts w:ascii="Arial" w:cs="Arial" w:eastAsia="Arial" w:hAnsi="Arial"/>
          <w:color w:val="1A1A2E"/>
          <w:sz w:val="22"/>
          <w:szCs w:val="22"/>
        </w:rPr>
        <w:t xml:space="preserve">Technical SEO: Core Web Vitals optimization, schema markup (SaaS, FAQ, Organization), hreflang for international targeting, XML sitemaps, canonical tags</w:t>
      </w:r>
    </w:p>
    <w:p>
      <w:pPr>
        <w:pStyle w:val="ListParagraph"/>
        <w:numPr>
          <w:ilvl w:val="0"/>
          <w:numId w:val="2"/>
        </w:numPr>
        <w:spacing w:after="60" w:before="60"/>
      </w:pPr>
      <w:r>
        <w:rPr>
          <w:rFonts w:ascii="Arial" w:cs="Arial" w:eastAsia="Arial" w:hAnsi="Arial"/>
          <w:color w:val="1A1A2E"/>
          <w:sz w:val="22"/>
          <w:szCs w:val="22"/>
        </w:rPr>
        <w:t xml:space="preserve">Content SEO: 4 long-form blog posts per month (2,000+ words), pillar pages for 'EOR Guide', 'Global Payroll Guide', 'Hiring in India Guide'</w:t>
      </w:r>
    </w:p>
    <w:p>
      <w:pPr>
        <w:pStyle w:val="ListParagraph"/>
        <w:numPr>
          <w:ilvl w:val="0"/>
          <w:numId w:val="2"/>
        </w:numPr>
        <w:spacing w:after="60" w:before="60"/>
      </w:pPr>
      <w:r>
        <w:rPr>
          <w:rFonts w:ascii="Arial" w:cs="Arial" w:eastAsia="Arial" w:hAnsi="Arial"/>
          <w:color w:val="1A1A2E"/>
          <w:sz w:val="22"/>
          <w:szCs w:val="22"/>
        </w:rPr>
        <w:t xml:space="preserve">Link Building: Guest posts on Forbes HR, SHRM, Inc., HR Technologist; HARO outreach; directory listings (G2, Capterra, Trustpilot)</w:t>
      </w:r>
    </w:p>
    <w:p>
      <w:pPr>
        <w:pStyle w:val="ListParagraph"/>
        <w:numPr>
          <w:ilvl w:val="0"/>
          <w:numId w:val="2"/>
        </w:numPr>
        <w:spacing w:after="60" w:before="60"/>
      </w:pPr>
      <w:r>
        <w:rPr>
          <w:rFonts w:ascii="Arial" w:cs="Arial" w:eastAsia="Arial" w:hAnsi="Arial"/>
          <w:color w:val="1A1A2E"/>
          <w:sz w:val="22"/>
          <w:szCs w:val="22"/>
        </w:rPr>
        <w:t xml:space="preserve">Local SEO: Google Business profile, citations for India office, geo-targeted landing pages for US, UK, EU, UAE, Singapore</w:t>
      </w:r>
    </w:p>
    <w:p>
      <w:pPr>
        <w:pStyle w:val="Heading3"/>
        <w:spacing w:after="80" w:before="200"/>
      </w:pPr>
      <w:r>
        <w:rPr>
          <w:rFonts w:ascii="Arial" w:cs="Arial" w:eastAsia="Arial" w:hAnsi="Arial"/>
          <w:b/>
          <w:bCs/>
          <w:color w:val="1B3A5C"/>
          <w:sz w:val="24"/>
          <w:szCs w:val="24"/>
        </w:rPr>
        <w:t xml:space="preserve">SEO KPIs</w:t>
      </w:r>
    </w:p>
    <w:p>
      <w:pPr>
        <w:pStyle w:val="ListParagraph"/>
        <w:numPr>
          <w:ilvl w:val="0"/>
          <w:numId w:val="2"/>
        </w:numPr>
        <w:spacing w:after="60" w:before="60"/>
      </w:pPr>
      <w:r>
        <w:rPr>
          <w:rFonts w:ascii="Arial" w:cs="Arial" w:eastAsia="Arial" w:hAnsi="Arial"/>
          <w:color w:val="1A1A2E"/>
          <w:sz w:val="22"/>
          <w:szCs w:val="22"/>
        </w:rPr>
        <w:t xml:space="preserve">Month 3: 50 keywords in top 50, 3,000 monthly organic visits</w:t>
      </w:r>
    </w:p>
    <w:p>
      <w:pPr>
        <w:pStyle w:val="ListParagraph"/>
        <w:numPr>
          <w:ilvl w:val="0"/>
          <w:numId w:val="2"/>
        </w:numPr>
        <w:spacing w:after="60" w:before="60"/>
      </w:pPr>
      <w:r>
        <w:rPr>
          <w:rFonts w:ascii="Arial" w:cs="Arial" w:eastAsia="Arial" w:hAnsi="Arial"/>
          <w:color w:val="1A1A2E"/>
          <w:sz w:val="22"/>
          <w:szCs w:val="22"/>
        </w:rPr>
        <w:t xml:space="preserve">Month 6: 100+ keywords in top 20, 8,000 monthly organic visits</w:t>
      </w:r>
    </w:p>
    <w:p>
      <w:pPr>
        <w:pStyle w:val="ListParagraph"/>
        <w:numPr>
          <w:ilvl w:val="0"/>
          <w:numId w:val="2"/>
        </w:numPr>
        <w:spacing w:after="60" w:before="60"/>
      </w:pPr>
      <w:r>
        <w:rPr>
          <w:rFonts w:ascii="Arial" w:cs="Arial" w:eastAsia="Arial" w:hAnsi="Arial"/>
          <w:color w:val="1A1A2E"/>
          <w:sz w:val="22"/>
          <w:szCs w:val="22"/>
        </w:rPr>
        <w:t xml:space="preserve">Month 12: 30+ keywords on page 1, 20,000+ monthly organic visits</w:t>
      </w:r>
    </w:p>
    <w:p>
      <w:r>
        <w:t xml:space="preserve"/>
      </w:r>
    </w:p>
    <w:p>
      <w:pPr>
        <w:pStyle w:val="Heading2"/>
        <w:spacing w:after="120" w:before="280"/>
      </w:pPr>
      <w:r>
        <w:rPr>
          <w:rFonts w:ascii="Arial" w:cs="Arial" w:eastAsia="Arial" w:hAnsi="Arial"/>
          <w:b/>
          <w:bCs/>
          <w:color w:val="0F7B6C"/>
          <w:sz w:val="28"/>
          <w:szCs w:val="28"/>
        </w:rPr>
        <w:t xml:space="preserve">6.2 Content Marketing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gridCol w:w="156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Type</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 Examples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 Posts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'Complete Guide to EOR in India 2025', 'How to Hire Remote Indian Developers'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per month</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 leads</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Comparison Pages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Dechub vs Deel, Dechub vs Remote, Dechub vs Multiplier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Conversion</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Case Studies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[Company] Hired 10 Indian Engineers in 2 Weeks Using Dechub</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per month</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Trust + demo</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Hiring Guides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Country-specific hiring guides (India, Philippines, Poland)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Bi-monthly</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 gated</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Whitepapers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 of Cross-Border Hiring 2025', 'India EOR Compliance Checklist'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Quarterly</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gen</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Video Content</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Platform walkthroughs, customer testimonials, compliance explainers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per month</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Awareness</w:t>
            </w:r>
          </w:p>
        </w:tc>
      </w:tr>
    </w:tbl>
    <w:p>
      <w:r>
        <w:t xml:space="preserve"/>
      </w:r>
    </w:p>
    <w:p>
      <w:pPr>
        <w:pStyle w:val="Heading2"/>
        <w:spacing w:after="120" w:before="280"/>
      </w:pPr>
      <w:r>
        <w:rPr>
          <w:rFonts w:ascii="Arial" w:cs="Arial" w:eastAsia="Arial" w:hAnsi="Arial"/>
          <w:b/>
          <w:bCs/>
          <w:color w:val="0F7B6C"/>
          <w:sz w:val="28"/>
          <w:szCs w:val="28"/>
        </w:rPr>
        <w:t xml:space="preserve">6.3 Social Media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rPr>
          <w:tblHeader/>
        </w:trPr>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Pillars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Goal</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Daily</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Thought leadership, HR trends, company updates, hiring tips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gen, brand authority</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Followers, leads</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X (Twitter)</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3x/week</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Industry news commentary, quick hiring tips, product updates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 awareness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Impressions</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YouTube</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2x/month</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Platform demos, compliance guides, customer stories, webinar recordings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Education + trust</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Views, subs</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Facebook</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3x/week</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Community building, founder stories, retargeting content</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Retargeting</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Reach, CTR</w:t>
            </w:r>
          </w:p>
        </w:tc>
      </w:tr>
    </w:tbl>
    <w:p>
      <w:r>
        <w:t xml:space="preserve"/>
      </w:r>
    </w:p>
    <w:p>
      <w:pPr>
        <w:pStyle w:val="Heading2"/>
        <w:spacing w:after="120" w:before="280"/>
      </w:pPr>
      <w:r>
        <w:rPr>
          <w:rFonts w:ascii="Arial" w:cs="Arial" w:eastAsia="Arial" w:hAnsi="Arial"/>
          <w:b/>
          <w:bCs/>
          <w:color w:val="0F7B6C"/>
          <w:sz w:val="28"/>
          <w:szCs w:val="28"/>
        </w:rPr>
        <w:t xml:space="preserve">6.4 Email Marketing Strategy</w:t>
      </w:r>
    </w:p>
    <w:p>
      <w:pPr>
        <w:pStyle w:val="Heading3"/>
        <w:spacing w:after="80" w:before="200"/>
      </w:pPr>
      <w:r>
        <w:rPr>
          <w:rFonts w:ascii="Arial" w:cs="Arial" w:eastAsia="Arial" w:hAnsi="Arial"/>
          <w:b/>
          <w:bCs/>
          <w:color w:val="1B3A5C"/>
          <w:sz w:val="24"/>
          <w:szCs w:val="24"/>
        </w:rPr>
        <w:t xml:space="preserve">Automation Workflows</w:t>
      </w:r>
    </w:p>
    <w:p>
      <w:pPr>
        <w:pStyle w:val="ListParagraph"/>
        <w:numPr>
          <w:ilvl w:val="0"/>
          <w:numId w:val="2"/>
        </w:numPr>
        <w:spacing w:after="60" w:before="60"/>
      </w:pPr>
      <w:r>
        <w:rPr>
          <w:rFonts w:ascii="Arial" w:cs="Arial" w:eastAsia="Arial" w:hAnsi="Arial"/>
          <w:color w:val="1A1A2E"/>
          <w:sz w:val="22"/>
          <w:szCs w:val="22"/>
        </w:rPr>
        <w:t xml:space="preserve">Lead Magnet Workflow (7-email sequence): Download → Value email → Case study → Competitor comparison → Objection handler → Demo CTA → Follow-up</w:t>
      </w:r>
    </w:p>
    <w:p>
      <w:pPr>
        <w:pStyle w:val="ListParagraph"/>
        <w:numPr>
          <w:ilvl w:val="0"/>
          <w:numId w:val="2"/>
        </w:numPr>
        <w:spacing w:after="60" w:before="60"/>
      </w:pPr>
      <w:r>
        <w:rPr>
          <w:rFonts w:ascii="Arial" w:cs="Arial" w:eastAsia="Arial" w:hAnsi="Arial"/>
          <w:color w:val="1A1A2E"/>
          <w:sz w:val="22"/>
          <w:szCs w:val="22"/>
        </w:rPr>
        <w:t xml:space="preserve">Demo Nurture (5-email sequence): Demo booked → Reminder → Post-demo follow-up → Proposal → Urgency close</w:t>
      </w:r>
    </w:p>
    <w:p>
      <w:pPr>
        <w:pStyle w:val="ListParagraph"/>
        <w:numPr>
          <w:ilvl w:val="0"/>
          <w:numId w:val="2"/>
        </w:numPr>
        <w:spacing w:after="60" w:before="60"/>
      </w:pPr>
      <w:r>
        <w:rPr>
          <w:rFonts w:ascii="Arial" w:cs="Arial" w:eastAsia="Arial" w:hAnsi="Arial"/>
          <w:color w:val="1A1A2E"/>
          <w:sz w:val="22"/>
          <w:szCs w:val="22"/>
        </w:rPr>
        <w:t xml:space="preserve">Onboarding Campaign (30-day): Welcome → Feature tips → Success milestones → Check-in → Expansion upsell</w:t>
      </w:r>
    </w:p>
    <w:p>
      <w:pPr>
        <w:pStyle w:val="ListParagraph"/>
        <w:numPr>
          <w:ilvl w:val="0"/>
          <w:numId w:val="2"/>
        </w:numPr>
        <w:spacing w:after="60" w:before="60"/>
      </w:pPr>
      <w:r>
        <w:rPr>
          <w:rFonts w:ascii="Arial" w:cs="Arial" w:eastAsia="Arial" w:hAnsi="Arial"/>
          <w:color w:val="1A1A2E"/>
          <w:sz w:val="22"/>
          <w:szCs w:val="22"/>
        </w:rPr>
        <w:t xml:space="preserve">Newsletter (bi-weekly): HR trends, product updates, hiring guides, customer spotlights</w:t>
      </w:r>
    </w:p>
    <w:p>
      <w:pPr>
        <w:pStyle w:val="ListParagraph"/>
        <w:numPr>
          <w:ilvl w:val="0"/>
          <w:numId w:val="2"/>
        </w:numPr>
        <w:spacing w:after="60" w:before="60"/>
      </w:pPr>
      <w:r>
        <w:rPr>
          <w:rFonts w:ascii="Arial" w:cs="Arial" w:eastAsia="Arial" w:hAnsi="Arial"/>
          <w:color w:val="1A1A2E"/>
          <w:sz w:val="22"/>
          <w:szCs w:val="22"/>
        </w:rPr>
        <w:t xml:space="preserve">Re-engagement Campaign: 90-day inactive leads → win-back series with new case studies and exclusive offers</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7. Lead Generation Strategy</w:t>
      </w:r>
    </w:p>
    <w:p>
      <w:pPr>
        <w:pStyle w:val="Heading2"/>
        <w:spacing w:after="120" w:before="280"/>
      </w:pPr>
      <w:r>
        <w:rPr>
          <w:rFonts w:ascii="Arial" w:cs="Arial" w:eastAsia="Arial" w:hAnsi="Arial"/>
          <w:b/>
          <w:bCs/>
          <w:color w:val="0F7B6C"/>
          <w:sz w:val="28"/>
          <w:szCs w:val="28"/>
        </w:rPr>
        <w:t xml:space="preserve">Full-Funnel Lead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Funnel Stage</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Tactics</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CTA</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TOFU (Awareness)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Build brand recognition</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social, PR, podcast</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Blogs, guides, videos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Read more, subscribe</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MOFU (Consideration)</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Generate MQLs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Webinars, whitepapers, lead magnets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Comparison pages, case studies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Download, register</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BOFU (Decision)</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Convert to SQLs + demos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Retargeting, cold outreach, ABM</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ROI calculator, demo offer</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Book a demo, start trial</w:t>
            </w:r>
          </w:p>
        </w:tc>
      </w:tr>
    </w:tbl>
    <w:p>
      <w:r>
        <w:t xml:space="preserve"/>
      </w:r>
    </w:p>
    <w:p>
      <w:pPr>
        <w:pStyle w:val="Heading2"/>
        <w:spacing w:after="120" w:before="280"/>
      </w:pPr>
      <w:r>
        <w:rPr>
          <w:rFonts w:ascii="Arial" w:cs="Arial" w:eastAsia="Arial" w:hAnsi="Arial"/>
          <w:b/>
          <w:bCs/>
          <w:color w:val="0F7B6C"/>
          <w:sz w:val="28"/>
          <w:szCs w:val="28"/>
        </w:rPr>
        <w:t xml:space="preserve">MQL &amp; SQL Definition</w:t>
      </w:r>
    </w:p>
    <w:p>
      <w:pPr>
        <w:pStyle w:val="ListParagraph"/>
        <w:numPr>
          <w:ilvl w:val="0"/>
          <w:numId w:val="2"/>
        </w:numPr>
        <w:spacing w:after="60" w:before="60"/>
      </w:pPr>
      <w:r>
        <w:rPr>
          <w:rFonts w:ascii="Arial" w:cs="Arial" w:eastAsia="Arial" w:hAnsi="Arial"/>
          <w:color w:val="1A1A2E"/>
          <w:sz w:val="22"/>
          <w:szCs w:val="22"/>
        </w:rPr>
        <w:t xml:space="preserve">MQL (Marketing Qualified Lead): Job title = HR Manager/CEO/COO, company size 10+, downloaded a gated asset OR attended a webinar, email verified, not a competitor domain</w:t>
      </w:r>
    </w:p>
    <w:p>
      <w:pPr>
        <w:pStyle w:val="ListParagraph"/>
        <w:numPr>
          <w:ilvl w:val="0"/>
          <w:numId w:val="2"/>
        </w:numPr>
        <w:spacing w:after="60" w:before="60"/>
      </w:pPr>
      <w:r>
        <w:rPr>
          <w:rFonts w:ascii="Arial" w:cs="Arial" w:eastAsia="Arial" w:hAnsi="Arial"/>
          <w:color w:val="1A1A2E"/>
          <w:sz w:val="22"/>
          <w:szCs w:val="22"/>
        </w:rPr>
        <w:t xml:space="preserve">SQL (Sales Qualified Lead): MQL who booked a demo, replied to outbound, or scored 40+ points in lead scoring model</w:t>
      </w:r>
    </w:p>
    <w:p>
      <w:pPr>
        <w:pStyle w:val="Heading2"/>
        <w:spacing w:after="120" w:before="280"/>
      </w:pPr>
      <w:r>
        <w:rPr>
          <w:rFonts w:ascii="Arial" w:cs="Arial" w:eastAsia="Arial" w:hAnsi="Arial"/>
          <w:b/>
          <w:bCs/>
          <w:color w:val="0F7B6C"/>
          <w:sz w:val="28"/>
          <w:szCs w:val="28"/>
        </w:rPr>
        <w:t xml:space="preserve">Lead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Attribute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Job title: CEO/COO/HR Director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Primary ICP</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Company size: 50–500 employees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Sweet spot</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Downloaded whitepaper / hiring guide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intent</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Attended a webinar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Engaged</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Visited Pricing page 2+ times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Purchase signal</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Replied to cold email</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Sales-ready</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Job title: Intern/Junior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Negative score</w:t>
            </w:r>
          </w:p>
        </w:tc>
      </w:tr>
    </w:tbl>
    <w:p>
      <w:r>
        <w:t xml:space="preserve"/>
      </w:r>
    </w:p>
    <w:p>
      <w:pPr>
        <w:pStyle w:val="Heading2"/>
        <w:spacing w:after="120" w:before="280"/>
      </w:pPr>
      <w:r>
        <w:rPr>
          <w:rFonts w:ascii="Arial" w:cs="Arial" w:eastAsia="Arial" w:hAnsi="Arial"/>
          <w:b/>
          <w:bCs/>
          <w:color w:val="0F7B6C"/>
          <w:sz w:val="28"/>
          <w:szCs w:val="28"/>
        </w:rPr>
        <w:t xml:space="preserve">Inbound Lead Generation Channels</w:t>
      </w:r>
    </w:p>
    <w:p>
      <w:pPr>
        <w:pStyle w:val="ListParagraph"/>
        <w:numPr>
          <w:ilvl w:val="0"/>
          <w:numId w:val="2"/>
        </w:numPr>
        <w:spacing w:after="60" w:before="60"/>
      </w:pPr>
      <w:r>
        <w:rPr>
          <w:rFonts w:ascii="Arial" w:cs="Arial" w:eastAsia="Arial" w:hAnsi="Arial"/>
          <w:color w:val="1A1A2E"/>
          <w:sz w:val="22"/>
          <w:szCs w:val="22"/>
        </w:rPr>
        <w:t xml:space="preserve">SEO + Content (40% of leads): Long-form guides, pillar pages, comparison content, hiring country guides</w:t>
      </w:r>
    </w:p>
    <w:p>
      <w:pPr>
        <w:pStyle w:val="ListParagraph"/>
        <w:numPr>
          <w:ilvl w:val="0"/>
          <w:numId w:val="2"/>
        </w:numPr>
        <w:spacing w:after="60" w:before="60"/>
      </w:pPr>
      <w:r>
        <w:rPr>
          <w:rFonts w:ascii="Arial" w:cs="Arial" w:eastAsia="Arial" w:hAnsi="Arial"/>
          <w:color w:val="1A1A2E"/>
          <w:sz w:val="22"/>
          <w:szCs w:val="22"/>
        </w:rPr>
        <w:t xml:space="preserve">Webinars (20% of leads): Monthly live webinars, guest speakers, post-registration email drips</w:t>
      </w:r>
    </w:p>
    <w:p>
      <w:pPr>
        <w:pStyle w:val="ListParagraph"/>
        <w:numPr>
          <w:ilvl w:val="0"/>
          <w:numId w:val="2"/>
        </w:numPr>
        <w:spacing w:after="60" w:before="60"/>
      </w:pPr>
      <w:r>
        <w:rPr>
          <w:rFonts w:ascii="Arial" w:cs="Arial" w:eastAsia="Arial" w:hAnsi="Arial"/>
          <w:color w:val="1A1A2E"/>
          <w:sz w:val="22"/>
          <w:szCs w:val="22"/>
        </w:rPr>
        <w:t xml:space="preserve">Lead Magnets (20% of leads): 'India Hiring Compliance Checklist', 'EOR Cost Calculator', 'Global Payroll Guide'</w:t>
      </w:r>
    </w:p>
    <w:p>
      <w:pPr>
        <w:pStyle w:val="ListParagraph"/>
        <w:numPr>
          <w:ilvl w:val="0"/>
          <w:numId w:val="2"/>
        </w:numPr>
        <w:spacing w:after="60" w:before="60"/>
      </w:pPr>
      <w:r>
        <w:rPr>
          <w:rFonts w:ascii="Arial" w:cs="Arial" w:eastAsia="Arial" w:hAnsi="Arial"/>
          <w:color w:val="1A1A2E"/>
          <w:sz w:val="22"/>
          <w:szCs w:val="22"/>
        </w:rPr>
        <w:t xml:space="preserve">Product Hunt / G2 / Capterra (10% of leads): Review generation campaigns, profile optimization</w:t>
      </w:r>
    </w:p>
    <w:p>
      <w:pPr>
        <w:pStyle w:val="Heading2"/>
        <w:spacing w:after="120" w:before="280"/>
      </w:pPr>
      <w:r>
        <w:rPr>
          <w:rFonts w:ascii="Arial" w:cs="Arial" w:eastAsia="Arial" w:hAnsi="Arial"/>
          <w:b/>
          <w:bCs/>
          <w:color w:val="0F7B6C"/>
          <w:sz w:val="28"/>
          <w:szCs w:val="28"/>
        </w:rPr>
        <w:t xml:space="preserve">Outbound Lead Generation Channels</w:t>
      </w:r>
    </w:p>
    <w:p>
      <w:pPr>
        <w:pStyle w:val="ListParagraph"/>
        <w:numPr>
          <w:ilvl w:val="0"/>
          <w:numId w:val="2"/>
        </w:numPr>
        <w:spacing w:after="60" w:before="60"/>
      </w:pPr>
      <w:r>
        <w:rPr>
          <w:rFonts w:ascii="Arial" w:cs="Arial" w:eastAsia="Arial" w:hAnsi="Arial"/>
          <w:color w:val="1A1A2E"/>
          <w:sz w:val="22"/>
          <w:szCs w:val="22"/>
        </w:rPr>
        <w:t xml:space="preserve">LinkedIn Outreach: Sales Navigator targeting HR Directors, CEOs at 50–500 employee companies in US/EU/UK; personalized connection + message sequences</w:t>
      </w:r>
    </w:p>
    <w:p>
      <w:pPr>
        <w:pStyle w:val="ListParagraph"/>
        <w:numPr>
          <w:ilvl w:val="0"/>
          <w:numId w:val="2"/>
        </w:numPr>
        <w:spacing w:after="60" w:before="60"/>
      </w:pPr>
      <w:r>
        <w:rPr>
          <w:rFonts w:ascii="Arial" w:cs="Arial" w:eastAsia="Arial" w:hAnsi="Arial"/>
          <w:color w:val="1A1A2E"/>
          <w:sz w:val="22"/>
          <w:szCs w:val="22"/>
        </w:rPr>
        <w:t xml:space="preserve">Cold Email Campaigns: Clay.ai for data enrichment, Instantly.ai for sending, 3-email sequences with value-first approach</w:t>
      </w:r>
    </w:p>
    <w:p>
      <w:pPr>
        <w:pStyle w:val="ListParagraph"/>
        <w:numPr>
          <w:ilvl w:val="0"/>
          <w:numId w:val="2"/>
        </w:numPr>
        <w:spacing w:after="60" w:before="60"/>
      </w:pPr>
      <w:r>
        <w:rPr>
          <w:rFonts w:ascii="Arial" w:cs="Arial" w:eastAsia="Arial" w:hAnsi="Arial"/>
          <w:color w:val="1A1A2E"/>
          <w:sz w:val="22"/>
          <w:szCs w:val="22"/>
        </w:rPr>
        <w:t xml:space="preserve">Account-Based Marketing (ABM): Identify 100 target accounts per quarter; multi-touch campaigns via LinkedIn ads + email + direct mail for top accounts</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8. Paid Marketing Strategy</w:t>
      </w:r>
    </w:p>
    <w:p>
      <w:pPr>
        <w:pStyle w:val="Heading2"/>
        <w:spacing w:after="120" w:before="280"/>
      </w:pPr>
      <w:r>
        <w:rPr>
          <w:rFonts w:ascii="Arial" w:cs="Arial" w:eastAsia="Arial" w:hAnsi="Arial"/>
          <w:b/>
          <w:bCs/>
          <w:color w:val="0F7B6C"/>
          <w:sz w:val="28"/>
          <w:szCs w:val="28"/>
        </w:rPr>
        <w:t xml:space="preserve">Google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Campaign Type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Keywords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Budget</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KPIs</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Search — EOR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EOR service India, employer of record India</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$2,000–$3,000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CTR 3%+, CPL &lt; $80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Search — Competitor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Deel alternative, Remote.com competitor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$1,500–$2,000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CTR 5%+, CPL &lt; $60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Search — Payroll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payroll software, international payroll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$1,000–$1,500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CTR 2.5%+, CPL &lt; $100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Dechub, Dechub EOR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$300–$500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Protect brand SERP</w:t>
            </w:r>
          </w:p>
        </w:tc>
      </w:tr>
    </w:tbl>
    <w:p>
      <w:r>
        <w:t xml:space="preserve"/>
      </w:r>
    </w:p>
    <w:p>
      <w:pPr>
        <w:pStyle w:val="Heading2"/>
        <w:spacing w:after="120" w:before="280"/>
      </w:pPr>
      <w:r>
        <w:rPr>
          <w:rFonts w:ascii="Arial" w:cs="Arial" w:eastAsia="Arial" w:hAnsi="Arial"/>
          <w:b/>
          <w:bCs/>
          <w:color w:val="0F7B6C"/>
          <w:sz w:val="28"/>
          <w:szCs w:val="28"/>
        </w:rPr>
        <w:t xml:space="preserve">LinkedIn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Campaign Type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Budget</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CPL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Sponsored Content (Awareness)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Directors, CEOs, 50–500 employees, US/EU/UK</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$1,500–$2,500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$100–$150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Gen Forms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Same ICP targeting + lookalike</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$2,000–$3,500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$80–$120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ABM Campaigns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Named accounts list (100 target companies)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$1,000–$2,000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Retargeting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Website visitors, video viewers, email list</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$800–$1,200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$40–$60</w:t>
            </w:r>
          </w:p>
        </w:tc>
      </w:tr>
    </w:tbl>
    <w:p>
      <w:r>
        <w:t xml:space="preserve"/>
      </w:r>
    </w:p>
    <w:p>
      <w:pPr>
        <w:pStyle w:val="Heading2"/>
        <w:spacing w:after="120" w:before="280"/>
      </w:pPr>
      <w:r>
        <w:rPr>
          <w:rFonts w:ascii="Arial" w:cs="Arial" w:eastAsia="Arial" w:hAnsi="Arial"/>
          <w:b/>
          <w:bCs/>
          <w:color w:val="0F7B6C"/>
          <w:sz w:val="28"/>
          <w:szCs w:val="28"/>
        </w:rPr>
        <w:t xml:space="preserve">Retargeting Strategy</w:t>
      </w:r>
    </w:p>
    <w:p>
      <w:pPr>
        <w:pStyle w:val="ListParagraph"/>
        <w:numPr>
          <w:ilvl w:val="0"/>
          <w:numId w:val="2"/>
        </w:numPr>
        <w:spacing w:after="60" w:before="60"/>
      </w:pPr>
      <w:r>
        <w:rPr>
          <w:rFonts w:ascii="Arial" w:cs="Arial" w:eastAsia="Arial" w:hAnsi="Arial"/>
          <w:color w:val="1A1A2E"/>
          <w:sz w:val="22"/>
          <w:szCs w:val="22"/>
        </w:rPr>
        <w:t xml:space="preserve">Pixel all website visitors; build custom audiences segmented by page visited (pricing, features, blog)</w:t>
      </w:r>
    </w:p>
    <w:p>
      <w:pPr>
        <w:pStyle w:val="ListParagraph"/>
        <w:numPr>
          <w:ilvl w:val="0"/>
          <w:numId w:val="2"/>
        </w:numPr>
        <w:spacing w:after="60" w:before="60"/>
      </w:pPr>
      <w:r>
        <w:rPr>
          <w:rFonts w:ascii="Arial" w:cs="Arial" w:eastAsia="Arial" w:hAnsi="Arial"/>
          <w:color w:val="1A1A2E"/>
          <w:sz w:val="22"/>
          <w:szCs w:val="22"/>
        </w:rPr>
        <w:t xml:space="preserve">Run retargeting on Google Display, LinkedIn, and Facebook with case studies and social proof</w:t>
      </w:r>
    </w:p>
    <w:p>
      <w:pPr>
        <w:pStyle w:val="ListParagraph"/>
        <w:numPr>
          <w:ilvl w:val="0"/>
          <w:numId w:val="2"/>
        </w:numPr>
        <w:spacing w:after="60" w:before="60"/>
      </w:pPr>
      <w:r>
        <w:rPr>
          <w:rFonts w:ascii="Arial" w:cs="Arial" w:eastAsia="Arial" w:hAnsi="Arial"/>
          <w:color w:val="1A1A2E"/>
          <w:sz w:val="22"/>
          <w:szCs w:val="22"/>
        </w:rPr>
        <w:t xml:space="preserve">Dynamic remarketing for visitors who visited specific feature pages</w:t>
      </w:r>
    </w:p>
    <w:p>
      <w:pPr>
        <w:pStyle w:val="ListParagraph"/>
        <w:numPr>
          <w:ilvl w:val="0"/>
          <w:numId w:val="2"/>
        </w:numPr>
        <w:spacing w:after="60" w:before="60"/>
      </w:pPr>
      <w:r>
        <w:rPr>
          <w:rFonts w:ascii="Arial" w:cs="Arial" w:eastAsia="Arial" w:hAnsi="Arial"/>
          <w:color w:val="1A1A2E"/>
          <w:sz w:val="22"/>
          <w:szCs w:val="22"/>
        </w:rPr>
        <w:t xml:space="preserve">Retarget webinar registrants who did not convert to demo</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9. Webinar &amp; Event Marketing Strategy</w:t>
      </w:r>
    </w:p>
    <w:p>
      <w:pPr>
        <w:pStyle w:val="Heading2"/>
        <w:spacing w:after="120" w:before="280"/>
      </w:pPr>
      <w:r>
        <w:rPr>
          <w:rFonts w:ascii="Arial" w:cs="Arial" w:eastAsia="Arial" w:hAnsi="Arial"/>
          <w:b/>
          <w:bCs/>
          <w:color w:val="0F7B6C"/>
          <w:sz w:val="28"/>
          <w:szCs w:val="28"/>
        </w:rPr>
        <w:t xml:space="preserve">Monthly Webinar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510"/>
        <w:gridCol w:w="2340"/>
        <w:gridCol w:w="1950"/>
      </w:tblGrid>
      <w:tr>
        <w:trPr>
          <w:tblHeader/>
        </w:trPr>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351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Audience</w:t>
            </w:r>
          </w:p>
        </w:tc>
        <w:tc>
          <w:tcPr>
            <w:tcW w:type="dxa" w:w="195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Registrants</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1</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to Hire Indian Employees Legally in 2025</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US/EU startup founders</w:t>
            </w:r>
          </w:p>
        </w:tc>
        <w:tc>
          <w:tcPr>
            <w:tcW w:type="dxa" w:w="195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150–250</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2</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EOR vs PEO vs Entity: What Foreign Companies Need to Know</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Directors, COOs</w:t>
            </w:r>
          </w:p>
        </w:tc>
        <w:tc>
          <w:tcPr>
            <w:tcW w:type="dxa" w:w="195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200–300</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3</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Payroll Mistakes and How to Avoid Them</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Managers, Finance</w:t>
            </w:r>
          </w:p>
        </w:tc>
        <w:tc>
          <w:tcPr>
            <w:tcW w:type="dxa" w:w="195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150–200</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4</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Building a Remote Engineering Team in India: A Founder's Playbook</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Tech startup CEOs</w:t>
            </w:r>
          </w:p>
        </w:tc>
        <w:tc>
          <w:tcPr>
            <w:tcW w:type="dxa" w:w="195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200–350</w:t>
            </w:r>
          </w:p>
        </w:tc>
      </w:tr>
      <w:tr>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5</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Cross-Border Compliance: What Every Growing Company Must Know</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 Legal teams</w:t>
            </w:r>
          </w:p>
        </w:tc>
        <w:tc>
          <w:tcPr>
            <w:tcW w:type="dxa" w:w="195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150–250</w:t>
            </w:r>
          </w:p>
        </w:tc>
      </w:tr>
      <w:tr>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6</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 of Global Remote Work 2025 Report Launch + Panel</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ICP personas</w:t>
            </w:r>
          </w:p>
        </w:tc>
        <w:tc>
          <w:tcPr>
            <w:tcW w:type="dxa" w:w="195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300–500</w:t>
            </w:r>
          </w:p>
        </w:tc>
      </w:tr>
    </w:tbl>
    <w:p>
      <w:r>
        <w:t xml:space="preserve"/>
      </w:r>
    </w:p>
    <w:p>
      <w:pPr>
        <w:pStyle w:val="Heading2"/>
        <w:spacing w:after="120" w:before="280"/>
      </w:pPr>
      <w:r>
        <w:rPr>
          <w:rFonts w:ascii="Arial" w:cs="Arial" w:eastAsia="Arial" w:hAnsi="Arial"/>
          <w:b/>
          <w:bCs/>
          <w:color w:val="0F7B6C"/>
          <w:sz w:val="28"/>
          <w:szCs w:val="28"/>
        </w:rPr>
        <w:t xml:space="preserve">Event Strategy</w:t>
      </w:r>
    </w:p>
    <w:p>
      <w:pPr>
        <w:pStyle w:val="ListParagraph"/>
        <w:numPr>
          <w:ilvl w:val="0"/>
          <w:numId w:val="2"/>
        </w:numPr>
        <w:spacing w:after="60" w:before="60"/>
      </w:pPr>
      <w:r>
        <w:rPr>
          <w:rFonts w:ascii="Arial" w:cs="Arial" w:eastAsia="Arial" w:hAnsi="Arial"/>
          <w:color w:val="1A1A2E"/>
          <w:sz w:val="22"/>
          <w:szCs w:val="22"/>
        </w:rPr>
        <w:t xml:space="preserve">HR Tech Summit, SaaStr Annual, Web Summit — sponsored booth + speaking slots</w:t>
      </w:r>
    </w:p>
    <w:p>
      <w:pPr>
        <w:pStyle w:val="ListParagraph"/>
        <w:numPr>
          <w:ilvl w:val="0"/>
          <w:numId w:val="2"/>
        </w:numPr>
        <w:spacing w:after="60" w:before="60"/>
      </w:pPr>
      <w:r>
        <w:rPr>
          <w:rFonts w:ascii="Arial" w:cs="Arial" w:eastAsia="Arial" w:hAnsi="Arial"/>
          <w:color w:val="1A1A2E"/>
          <w:sz w:val="22"/>
          <w:szCs w:val="22"/>
        </w:rPr>
        <w:t xml:space="preserve">NASSCOM events in India — strategic presence as India EOR category creator</w:t>
      </w:r>
    </w:p>
    <w:p>
      <w:pPr>
        <w:pStyle w:val="ListParagraph"/>
        <w:numPr>
          <w:ilvl w:val="0"/>
          <w:numId w:val="2"/>
        </w:numPr>
        <w:spacing w:after="60" w:before="60"/>
      </w:pPr>
      <w:r>
        <w:rPr>
          <w:rFonts w:ascii="Arial" w:cs="Arial" w:eastAsia="Arial" w:hAnsi="Arial"/>
          <w:color w:val="1A1A2E"/>
          <w:sz w:val="22"/>
          <w:szCs w:val="22"/>
        </w:rPr>
        <w:t xml:space="preserve">Virtual Founder Roundtables: Invite 10–15 CEOs of US startups for closed-door remote hiring discussion</w:t>
      </w:r>
    </w:p>
    <w:p>
      <w:pPr>
        <w:pStyle w:val="ListParagraph"/>
        <w:numPr>
          <w:ilvl w:val="0"/>
          <w:numId w:val="2"/>
        </w:numPr>
        <w:spacing w:after="60" w:before="60"/>
      </w:pPr>
      <w:r>
        <w:rPr>
          <w:rFonts w:ascii="Arial" w:cs="Arial" w:eastAsia="Arial" w:hAnsi="Arial"/>
          <w:color w:val="1A1A2E"/>
          <w:sz w:val="22"/>
          <w:szCs w:val="22"/>
        </w:rPr>
        <w:t xml:space="preserve">Partner with regional accelerators (500 Global, YC, Antler) for exclusive webinars with their portfolio companies</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10. Partnership Marketing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gridCol w:w="156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Partner Type</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Co-Marketing Activity</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Model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Recruitment Agencies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TopHire, Naukri, TimesJobs, LinkedIn Talent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Joint webinars, co-branded hiring guides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Referral fee 10%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Startup Accelerators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 Combinator, Antler, 500 Global, NASSCOM</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Portfolio company EOR deals, preferred vendor status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Volume pricing</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Consultants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SHRM members, independent HR consultants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White-label reporting, referral commissions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commission</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Payroll Providers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Razorpay, Greytip, Zoho Payroll</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integrations, cross-referrals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 share</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Tech Communities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GitHub, Stack Overflow, HasGeek, GFG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Sponsored content, hiring events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 exposure</w:t>
            </w:r>
          </w:p>
        </w:tc>
      </w:tr>
    </w:tbl>
    <w:p>
      <w:r>
        <w:t xml:space="preserve"/>
      </w:r>
    </w:p>
    <w:p>
      <w:pPr>
        <w:pStyle w:val="Heading2"/>
        <w:spacing w:after="120" w:before="280"/>
      </w:pPr>
      <w:r>
        <w:rPr>
          <w:rFonts w:ascii="Arial" w:cs="Arial" w:eastAsia="Arial" w:hAnsi="Arial"/>
          <w:b/>
          <w:bCs/>
          <w:color w:val="0F7B6C"/>
          <w:sz w:val="28"/>
          <w:szCs w:val="28"/>
        </w:rPr>
        <w:t xml:space="preserve">Partner Program Structure</w:t>
      </w:r>
    </w:p>
    <w:p>
      <w:pPr>
        <w:pStyle w:val="ListParagraph"/>
        <w:numPr>
          <w:ilvl w:val="0"/>
          <w:numId w:val="2"/>
        </w:numPr>
        <w:spacing w:after="60" w:before="60"/>
      </w:pPr>
      <w:r>
        <w:rPr>
          <w:rFonts w:ascii="Arial" w:cs="Arial" w:eastAsia="Arial" w:hAnsi="Arial"/>
          <w:color w:val="1A1A2E"/>
          <w:sz w:val="22"/>
          <w:szCs w:val="22"/>
        </w:rPr>
        <w:t xml:space="preserve">Referral Partner: Any individual (HR consultant, blogger, agency) who refers a paying customer earns 10–15% MRR for 12 months</w:t>
      </w:r>
    </w:p>
    <w:p>
      <w:pPr>
        <w:pStyle w:val="ListParagraph"/>
        <w:numPr>
          <w:ilvl w:val="0"/>
          <w:numId w:val="2"/>
        </w:numPr>
        <w:spacing w:after="60" w:before="60"/>
      </w:pPr>
      <w:r>
        <w:rPr>
          <w:rFonts w:ascii="Arial" w:cs="Arial" w:eastAsia="Arial" w:hAnsi="Arial"/>
          <w:color w:val="1A1A2E"/>
          <w:sz w:val="22"/>
          <w:szCs w:val="22"/>
        </w:rPr>
        <w:t xml:space="preserve">Reseller Partner: Recruitment agencies and staffing firms who bundle Dechub EOR services earn 20–25% revenue share</w:t>
      </w:r>
    </w:p>
    <w:p>
      <w:pPr>
        <w:pStyle w:val="ListParagraph"/>
        <w:numPr>
          <w:ilvl w:val="0"/>
          <w:numId w:val="2"/>
        </w:numPr>
        <w:spacing w:after="60" w:before="60"/>
      </w:pPr>
      <w:r>
        <w:rPr>
          <w:rFonts w:ascii="Arial" w:cs="Arial" w:eastAsia="Arial" w:hAnsi="Arial"/>
          <w:color w:val="1A1A2E"/>
          <w:sz w:val="22"/>
          <w:szCs w:val="22"/>
        </w:rPr>
        <w:t xml:space="preserve">Technology Partner: HRMS, ATS, and payroll platforms integrated via API for joint product bundling</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11. Customer Retention &amp; Referral Marketing</w:t>
      </w:r>
    </w:p>
    <w:p>
      <w:pPr>
        <w:pStyle w:val="Heading2"/>
        <w:spacing w:after="120" w:before="280"/>
      </w:pPr>
      <w:r>
        <w:rPr>
          <w:rFonts w:ascii="Arial" w:cs="Arial" w:eastAsia="Arial" w:hAnsi="Arial"/>
          <w:b/>
          <w:bCs/>
          <w:color w:val="0F7B6C"/>
          <w:sz w:val="28"/>
          <w:szCs w:val="28"/>
        </w:rPr>
        <w:t xml:space="preserve">Customer Success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51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Activities</w:t>
            </w:r>
          </w:p>
        </w:tc>
        <w:tc>
          <w:tcPr>
            <w:tcW w:type="dxa" w:w="351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KPIs</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Onboarding (Days 1–30)</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Dedicated CSM, onboarding call, platform walkthrough, setup checklist</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Time to first hire &lt; 7 days, onboarding completion 90%+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Adoption (Days 30–90)</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Usage reviews, feature adoption nudges, in-app tooltips, training sessions</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 adoption 70%+, NPS &gt; 40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Expansion (90+ days)</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Quarterly business reviews (QBR), upsell to more countries/features, advocacy ask</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Expansion MRR 20%+, churn &lt; 5%</w:t>
            </w:r>
          </w:p>
        </w:tc>
      </w:tr>
    </w:tbl>
    <w:p>
      <w:r>
        <w:t xml:space="preserve"/>
      </w:r>
    </w:p>
    <w:p>
      <w:pPr>
        <w:pStyle w:val="Heading2"/>
        <w:spacing w:after="120" w:before="280"/>
      </w:pPr>
      <w:r>
        <w:rPr>
          <w:rFonts w:ascii="Arial" w:cs="Arial" w:eastAsia="Arial" w:hAnsi="Arial"/>
          <w:b/>
          <w:bCs/>
          <w:color w:val="0F7B6C"/>
          <w:sz w:val="28"/>
          <w:szCs w:val="28"/>
        </w:rPr>
        <w:t xml:space="preserve">Referral Program</w:t>
      </w:r>
    </w:p>
    <w:p>
      <w:pPr>
        <w:pStyle w:val="ListParagraph"/>
        <w:numPr>
          <w:ilvl w:val="0"/>
          <w:numId w:val="2"/>
        </w:numPr>
        <w:spacing w:after="60" w:before="60"/>
      </w:pPr>
      <w:r>
        <w:rPr>
          <w:rFonts w:ascii="Arial" w:cs="Arial" w:eastAsia="Arial" w:hAnsi="Arial"/>
          <w:color w:val="1A1A2E"/>
          <w:sz w:val="22"/>
          <w:szCs w:val="22"/>
        </w:rPr>
        <w:t xml:space="preserve">Customer Referral: Existing customer refers a new company → both parties receive 1 month free or cash credit equivalent</w:t>
      </w:r>
    </w:p>
    <w:p>
      <w:pPr>
        <w:pStyle w:val="ListParagraph"/>
        <w:numPr>
          <w:ilvl w:val="0"/>
          <w:numId w:val="2"/>
        </w:numPr>
        <w:spacing w:after="60" w:before="60"/>
      </w:pPr>
      <w:r>
        <w:rPr>
          <w:rFonts w:ascii="Arial" w:cs="Arial" w:eastAsia="Arial" w:hAnsi="Arial"/>
          <w:color w:val="1A1A2E"/>
          <w:sz w:val="22"/>
          <w:szCs w:val="22"/>
        </w:rPr>
        <w:t xml:space="preserve">Advocate Program: Top 10% customers invited to join 'Dechub Champions' — get early feature access, co-marketing opportunities, speaking slots at webinars</w:t>
      </w:r>
    </w:p>
    <w:p>
      <w:pPr>
        <w:pStyle w:val="ListParagraph"/>
        <w:numPr>
          <w:ilvl w:val="0"/>
          <w:numId w:val="2"/>
        </w:numPr>
        <w:spacing w:after="60" w:before="60"/>
      </w:pPr>
      <w:r>
        <w:rPr>
          <w:rFonts w:ascii="Arial" w:cs="Arial" w:eastAsia="Arial" w:hAnsi="Arial"/>
          <w:color w:val="1A1A2E"/>
          <w:sz w:val="22"/>
          <w:szCs w:val="22"/>
        </w:rPr>
        <w:t xml:space="preserve">Case Study Program: Customers who participate in a case study receive service credits and featured placement in marketing materials</w:t>
      </w:r>
    </w:p>
    <w:p>
      <w:pPr>
        <w:pStyle w:val="Heading2"/>
        <w:spacing w:after="120" w:before="280"/>
      </w:pPr>
      <w:r>
        <w:rPr>
          <w:rFonts w:ascii="Arial" w:cs="Arial" w:eastAsia="Arial" w:hAnsi="Arial"/>
          <w:b/>
          <w:bCs/>
          <w:color w:val="0F7B6C"/>
          <w:sz w:val="28"/>
          <w:szCs w:val="28"/>
        </w:rPr>
        <w:t xml:space="preserve">Retention KPIs</w:t>
      </w:r>
    </w:p>
    <w:p>
      <w:pPr>
        <w:pStyle w:val="ListParagraph"/>
        <w:numPr>
          <w:ilvl w:val="0"/>
          <w:numId w:val="2"/>
        </w:numPr>
        <w:spacing w:after="60" w:before="60"/>
      </w:pPr>
      <w:r>
        <w:rPr>
          <w:rFonts w:ascii="Arial" w:cs="Arial" w:eastAsia="Arial" w:hAnsi="Arial"/>
          <w:color w:val="1A1A2E"/>
          <w:sz w:val="22"/>
          <w:szCs w:val="22"/>
        </w:rPr>
        <w:t xml:space="preserve">Monthly Churn Rate Target: &lt; 3%</w:t>
      </w:r>
    </w:p>
    <w:p>
      <w:pPr>
        <w:pStyle w:val="ListParagraph"/>
        <w:numPr>
          <w:ilvl w:val="0"/>
          <w:numId w:val="2"/>
        </w:numPr>
        <w:spacing w:after="60" w:before="60"/>
      </w:pPr>
      <w:r>
        <w:rPr>
          <w:rFonts w:ascii="Arial" w:cs="Arial" w:eastAsia="Arial" w:hAnsi="Arial"/>
          <w:color w:val="1A1A2E"/>
          <w:sz w:val="22"/>
          <w:szCs w:val="22"/>
        </w:rPr>
        <w:t xml:space="preserve">Net Revenue Retention (NRR) Target: &gt; 110%</w:t>
      </w:r>
    </w:p>
    <w:p>
      <w:pPr>
        <w:pStyle w:val="ListParagraph"/>
        <w:numPr>
          <w:ilvl w:val="0"/>
          <w:numId w:val="2"/>
        </w:numPr>
        <w:spacing w:after="60" w:before="60"/>
      </w:pPr>
      <w:r>
        <w:rPr>
          <w:rFonts w:ascii="Arial" w:cs="Arial" w:eastAsia="Arial" w:hAnsi="Arial"/>
          <w:color w:val="1A1A2E"/>
          <w:sz w:val="22"/>
          <w:szCs w:val="22"/>
        </w:rPr>
        <w:t xml:space="preserve">Customer NPS Target: &gt; 50</w:t>
      </w:r>
    </w:p>
    <w:p>
      <w:pPr>
        <w:pStyle w:val="ListParagraph"/>
        <w:numPr>
          <w:ilvl w:val="0"/>
          <w:numId w:val="2"/>
        </w:numPr>
        <w:spacing w:after="60" w:before="60"/>
      </w:pPr>
      <w:r>
        <w:rPr>
          <w:rFonts w:ascii="Arial" w:cs="Arial" w:eastAsia="Arial" w:hAnsi="Arial"/>
          <w:color w:val="1A1A2E"/>
          <w:sz w:val="22"/>
          <w:szCs w:val="22"/>
        </w:rPr>
        <w:t xml:space="preserve">Average Contract Value (ACV) Growth: 20% YoY</w:t>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12. Marketing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 (Monthly)</w:t>
            </w:r>
          </w:p>
        </w:tc>
        <w:tc>
          <w:tcPr>
            <w:tcW w:type="dxa" w:w="187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CRM</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HubSpot CRM</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tracking, pipeline, email sequences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$0–$800</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Automation</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HubSpot Marketing Hub</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automation, lead scoring, workflows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$800–$3,200</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Ahrefs / Semrush</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Keyword research, backlink tracking, audits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$99–$249</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Analytics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Analytics 4 + Hotjar</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Traffic, behavior, conversion tracking</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$0–$99</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Outreach</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Sales Navigator + Expandi</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prospecting and automation</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$100–$300</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Cold Email</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Instantly.ai + Clay.ai</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Outbound email at scale with enrichment</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$100–$400</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w:t>
            </w:r>
          </w:p>
        </w:tc>
      </w:tr>
      <w:tr>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Webinar</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Zoom Webinars / Demio</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Hosting and recording webinars</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$99–$199</w:t>
            </w:r>
          </w:p>
        </w:tc>
        <w:tc>
          <w:tcPr>
            <w:tcW w:type="dxa" w:w="187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w:t>
            </w:r>
          </w:p>
        </w:tc>
      </w:tr>
      <w:tr>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Review Mgmt</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G2 + Capterra profiles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Social proof, inbound leads from review sites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 (free profiles)</w:t>
            </w:r>
          </w:p>
        </w:tc>
        <w:tc>
          <w:tcPr>
            <w:tcW w:type="dxa" w:w="187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13. Budget Planning</w:t>
      </w:r>
    </w:p>
    <w:p>
      <w:pPr>
        <w:pStyle w:val="Heading2"/>
        <w:spacing w:after="120" w:before="280"/>
      </w:pPr>
      <w:r>
        <w:rPr>
          <w:rFonts w:ascii="Arial" w:cs="Arial" w:eastAsia="Arial" w:hAnsi="Arial"/>
          <w:b/>
          <w:bCs/>
          <w:color w:val="0F7B6C"/>
          <w:sz w:val="28"/>
          <w:szCs w:val="28"/>
        </w:rPr>
        <w:t xml:space="preserve">Startup Budget Plan — $5,000–$10,000/month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rPr>
          <w:tblHeader/>
        </w:trPr>
        <w:tc>
          <w:tcPr>
            <w:tcW w:type="dxa" w:w="390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Budget</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Outcome</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 Content Writing (2 writers)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Organic traffic foundation, 20 blogs in 6 months</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Ads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50–80 MQLs/month</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Ads (Search)</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30–60 demo requests/month</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Marketing (HubSpot Starter)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nurturing automation</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Tools (SEO + CRM + outreach)</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martech stack</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$6,000/mo</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~80–150 MQLs/month</w:t>
            </w:r>
          </w:p>
        </w:tc>
      </w:tr>
    </w:tbl>
    <w:p>
      <w:r>
        <w:t xml:space="preserve"/>
      </w:r>
    </w:p>
    <w:p>
      <w:pPr>
        <w:pStyle w:val="Heading2"/>
        <w:spacing w:after="120" w:before="280"/>
      </w:pPr>
      <w:r>
        <w:rPr>
          <w:rFonts w:ascii="Arial" w:cs="Arial" w:eastAsia="Arial" w:hAnsi="Arial"/>
          <w:b/>
          <w:bCs/>
          <w:color w:val="0F7B6C"/>
          <w:sz w:val="28"/>
          <w:szCs w:val="28"/>
        </w:rPr>
        <w:t xml:space="preserve">Growth Budget Plan — $20,000–$50,000/month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rPr>
          <w:tblHeader/>
        </w:trPr>
        <w:tc>
          <w:tcPr>
            <w:tcW w:type="dxa" w:w="390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Budget</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Outcome</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 Content (Full team)</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keywords page 1, 10K monthly organic visits</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Ads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200–350 MQLs/month</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Ads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150–250 demo requests/month</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Webinars + Events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webinars, 300+ registrants each</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Outbound (Clay + Instantly)</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 qualified prospects/month</w:t>
            </w:r>
          </w:p>
        </w:tc>
      </w:tr>
      <w:tr>
        <w:tc>
          <w:tcPr>
            <w:tcW w:type="dxa" w:w="390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 + Partnerships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 media mentions/month</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Tools + Headcount (1 marketer)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$6,000</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Execution capacity</w:t>
            </w:r>
          </w:p>
        </w:tc>
      </w:tr>
      <w:tr>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$30,000/mo</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~300–500 MQLs/month</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14. KPI Framework &amp;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rPr>
          <w:tblHeader/>
        </w:trPr>
        <w:tc>
          <w:tcPr>
            <w:tcW w:type="dxa" w:w="2808"/>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2184"/>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3 Target</w:t>
            </w:r>
          </w:p>
        </w:tc>
        <w:tc>
          <w:tcPr>
            <w:tcW w:type="dxa" w:w="2184"/>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6 Target</w:t>
            </w:r>
          </w:p>
        </w:tc>
        <w:tc>
          <w:tcPr>
            <w:tcW w:type="dxa" w:w="2184"/>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12 Target</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 Website Traffic</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 visits</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10,000 visits</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25,000+ visits</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Organic Traffic %</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MQLs / Month</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30–50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100–150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300–500</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SQLs / Month</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10–15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30–50</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100–150</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Demo Requests / Month</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15–25</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40–70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100–200</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MQL → SQL Conversion Rate</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20–25%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25–35%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30–40%</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 → Customer Conversion Rate</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15–20%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20–30%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25–35%</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CAC (Blended)</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$1,200</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$900</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$600–$750</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LTV : CAC Ratio</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2.5:1</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3.5:1</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5:1+</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 Churn Rate</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4%</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3%</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MRR</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$10K–$25K</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$50K–$100K</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$200K–$500K</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ROAS (Paid Channels)</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2.5x</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3.5x</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5x+</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NPS Score</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45+</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55+</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15. 12-Month Marketing Roadmap</w:t>
      </w:r>
    </w:p>
    <w:p>
      <w:pPr>
        <w:pStyle w:val="Heading2"/>
        <w:spacing w:after="120" w:before="280"/>
      </w:pPr>
      <w:r>
        <w:rPr>
          <w:rFonts w:ascii="Arial" w:cs="Arial" w:eastAsia="Arial" w:hAnsi="Arial"/>
          <w:b/>
          <w:bCs/>
          <w:color w:val="0F7B6C"/>
          <w:sz w:val="28"/>
          <w:szCs w:val="28"/>
        </w:rPr>
        <w:t xml:space="preserve">Q1 (Months 1–3): Foundation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 Identity</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Finalize messaging, UVP, website copy, brand guidelines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Website Optimization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audit, landing pages, demo booking flow, tracking setup</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 Dev</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Foundation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pillar blogs, 2 whitepapers, 1 case study template, social profiles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Team</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Paid Ads (Test Phase)</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Ads + LinkedIn Ads — small test campaigns to validate CPL</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Mktg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Outbound Setup</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Clay + Instantly setup, 500 prospect list, 3-email sequences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SDR / Founder</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Q1 Targets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 website visitors/month, 25 MQLs, 3–5 demos booked</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$13,000/mo</w:t>
            </w:r>
          </w:p>
        </w:tc>
      </w:tr>
    </w:tbl>
    <w:p>
      <w:r>
        <w:t xml:space="preserve"/>
      </w:r>
    </w:p>
    <w:p>
      <w:pPr>
        <w:pStyle w:val="Heading2"/>
        <w:spacing w:after="120" w:before="280"/>
      </w:pPr>
      <w:r>
        <w:rPr>
          <w:rFonts w:ascii="Arial" w:cs="Arial" w:eastAsia="Arial" w:hAnsi="Arial"/>
          <w:b/>
          <w:bCs/>
          <w:color w:val="0F7B6C"/>
          <w:sz w:val="28"/>
          <w:szCs w:val="28"/>
        </w:rPr>
        <w:t xml:space="preserve">Q2 (Months 4–6): Demand Generation &amp; Brand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Webinar Series Launch</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live webinars, 300+ registrants, post-webinar email nurture</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SEO Acceleration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 more blogs, 2 comparison pages, link building outreach (10 links/mo)</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 SEO</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Paid Ads Scale</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Scale winning Q1 campaigns 2x, launch retargeting</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Mktg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Partnership Activation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Sign 3 agency partners, launch referral program</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BD Lead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 Campaign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contributed articles in HR/startup press, 1 product launch press release</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Q2 Targets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 website visitors/mo, 100 MQLs/mo, 10–15 new customers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$20,000/mo</w:t>
            </w:r>
          </w:p>
        </w:tc>
      </w:tr>
    </w:tbl>
    <w:p>
      <w:r>
        <w:t xml:space="preserve"/>
      </w:r>
    </w:p>
    <w:p>
      <w:pPr>
        <w:pStyle w:val="Heading2"/>
        <w:spacing w:after="120" w:before="280"/>
      </w:pPr>
      <w:r>
        <w:rPr>
          <w:rFonts w:ascii="Arial" w:cs="Arial" w:eastAsia="Arial" w:hAnsi="Arial"/>
          <w:b/>
          <w:bCs/>
          <w:color w:val="0F7B6C"/>
          <w:sz w:val="28"/>
          <w:szCs w:val="28"/>
        </w:rPr>
        <w:t xml:space="preserve">Q3 (Months 7–9): Scale &amp;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ABM Program Launch</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 named target accounts, multi-channel campaigns, personalized outreach</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Sales + Mktg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Product Hunt Launch</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PH launch with hunter outreach, email blast to list</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Case Studies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full case studies (video + written), ROI data</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CSM + Marketing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Review Generation</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G2/Capterra reviews, badge campaigns</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CSM</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Event Participation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Tech conference sponsorship, 1 speaking slot</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Founder + Mktg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Q3 Targets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12,000 website visitors/mo, 250 MQLs/mo, 30 new customers</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$30,000/mo</w:t>
            </w:r>
          </w:p>
        </w:tc>
      </w:tr>
    </w:tbl>
    <w:p>
      <w:r>
        <w:t xml:space="preserve"/>
      </w:r>
    </w:p>
    <w:p>
      <w:pPr>
        <w:pStyle w:val="Heading2"/>
        <w:spacing w:after="120" w:before="280"/>
      </w:pPr>
      <w:r>
        <w:rPr>
          <w:rFonts w:ascii="Arial" w:cs="Arial" w:eastAsia="Arial" w:hAnsi="Arial"/>
          <w:b/>
          <w:bCs/>
          <w:color w:val="0F7B6C"/>
          <w:sz w:val="28"/>
          <w:szCs w:val="28"/>
        </w:rPr>
        <w:t xml:space="preserve">Q4 (Months 10–12): Optimize &amp;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Annual Report Release</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 of Cross-Border Hiring 2026 Report — PR + gated lead gen</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Team</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Expand Paid Channels</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Launch YouTube ads, Facebook retargeting, programmatic display</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Mktg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$10,000</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Advocacy Program</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Launch Dechub Champions, customer referral blitz</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CSM + Marketing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2026 Planning</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Annual marketing strategy review, budget planning, team hiring</w:t>
            </w:r>
          </w:p>
        </w:tc>
        <w:tc>
          <w:tcPr>
            <w:tcW w:type="dxa" w:w="156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VP Marketing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Internal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Q4 Targets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25,000 website visitors/mo, 500 MQLs/mo, 50+ total customers, $200K MRR</w:t>
            </w:r>
          </w:p>
        </w:tc>
        <w:tc>
          <w:tcPr>
            <w:tcW w:type="dxa" w:w="156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$40,000/mo</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16. 90-Day Execution Plan</w:t>
      </w:r>
    </w:p>
    <w:p>
      <w:pPr>
        <w:pStyle w:val="Heading2"/>
        <w:spacing w:after="120" w:before="280"/>
      </w:pPr>
      <w:r>
        <w:rPr>
          <w:rFonts w:ascii="Arial" w:cs="Arial" w:eastAsia="Arial" w:hAnsi="Arial"/>
          <w:b/>
          <w:bCs/>
          <w:color w:val="0F7B6C"/>
          <w:sz w:val="28"/>
          <w:szCs w:val="28"/>
        </w:rPr>
        <w:t xml:space="preserve">Week-by-Week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2340"/>
        <w:gridCol w:w="2340"/>
      </w:tblGrid>
      <w:tr>
        <w:trPr>
          <w:tblHeader/>
        </w:trPr>
        <w:tc>
          <w:tcPr>
            <w:tcW w:type="dxa" w:w="117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351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 Activities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Metric</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1</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Finalize brand messaging, UVP, and ICP definitions. Set up HubSpot CRM. Install GA4 + Hotjar. Create LinkedIn Company Page.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Founder + Mktg Lead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Tracking live, CRM set up</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2</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current website. Write homepage copy. Set up Google Search Console. Create social media profiles. Write first 2 pillar blog posts.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 + Dev</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Website audit complete, 2 blogs drafted</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3</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Launch Google Ads (test budget $500). Set up LinkedIn Ads with ICP targeting. Build first email lead magnet (India EOR Checklist). Create 500-prospect outbound list.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Mktg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Ads live, lead magnet published</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4</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Publish 2 more blogs. Launch cold email campaign (sequence 1). Create and publish G2/Capterra profiles. First weekly internal KPI review.</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Content + SDR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Campaigns live, 10–20 email outreach replies</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5–6</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Optimize ads based on Week 3–4 data (pause underperforming ad sets). Write 2 case study frameworks. Plan and promote Webinar #1. Reach out to 3 potential agency partners.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CPL trend improving, webinar registration page live</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7–8</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Host Webinar #1. Launch post-webinar email nurture (7-email sequence). Publish comparison page (Dechub vs Deel). Begin link building outreach (HARO + guest posts).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Marketing Lead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 webinar registrants, 5+ MQLs from webinar</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9–10</w:t>
            </w:r>
          </w:p>
        </w:tc>
        <w:tc>
          <w:tcPr>
            <w:tcW w:type="dxa" w:w="351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Scale winning ad campaigns (2x budget on best performers). Publish State of Hiring India blog (data-driven, PR-friendly). Set up referral program on website.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 + Content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CPA &lt; $80, 1 media mention</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Week 11–12</w:t>
            </w:r>
          </w:p>
        </w:tc>
        <w:tc>
          <w:tcPr>
            <w:tcW w:type="dxa" w:w="351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First 90-day performance review. Document learnings. Scale content to 4 posts/month. Set up retargeting campaigns. Plan Webinar #2. Close 3–5 first paying customers.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 paying customers, 50+ MQLs generated, clear CAC data</w:t>
            </w:r>
          </w:p>
        </w:tc>
      </w:tr>
    </w:tbl>
    <w:p>
      <w:r>
        <w:t xml:space="preserve"/>
      </w:r>
    </w:p>
    <w:p>
      <w:pPr>
        <w:pStyle w:val="Heading2"/>
        <w:spacing w:after="120" w:before="280"/>
      </w:pPr>
      <w:r>
        <w:rPr>
          <w:rFonts w:ascii="Arial" w:cs="Arial" w:eastAsia="Arial" w:hAnsi="Arial"/>
          <w:b/>
          <w:bCs/>
          <w:color w:val="0F7B6C"/>
          <w:sz w:val="28"/>
          <w:szCs w:val="28"/>
        </w:rPr>
        <w:t xml:space="preserve">90-Day Success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Minimum Success</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Stretch Goal</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Website Visitors (90 days)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8,000</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MQLs Generated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Demos Booked</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Paying Customers Acquired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MRR at Day 90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$15,000</w:t>
            </w:r>
          </w:p>
        </w:tc>
      </w:tr>
      <w:tr>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Followers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2,000</w:t>
            </w:r>
          </w:p>
        </w:tc>
      </w:tr>
      <w:tr>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Subscribers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200</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8F4F2" w:val="clear"/>
            <w:tcMar>
              <w:top w:type="dxa" w:w="120"/>
              <w:left w:type="dxa" w:w="200"/>
              <w:bottom w:type="dxa" w:w="120"/>
              <w:right w:type="dxa" w:w="120"/>
            </w:tcMar>
          </w:tcPr>
          <w:p>
            <w:r>
              <w:rPr>
                <w:rFonts w:ascii="Arial" w:cs="Arial" w:eastAsia="Arial" w:hAnsi="Arial"/>
                <w:color w:val="1A1A2E"/>
                <w:sz w:val="22"/>
                <w:szCs w:val="22"/>
              </w:rPr>
              <w:t xml:space="preserve">This strategy is designed to be executed in phases aligned with budget and team capacity. Begin with the highest-leverage activities: content SEO, LinkedIn outreach, and Google Ads — then layer on events, partnerships, and ABM as the brand gains traction. Every marketing dollar spent should be tracked, measured, and optimized continuously. Dechub's positioning as the India-focused EOR platform is a genuine differentiator that no global competitor currently owns — this is the beachhead.</w:t>
            </w:r>
          </w:p>
        </w:tc>
      </w:tr>
    </w:tbl>
    <w:p>
      <w:r>
        <w:t xml:space="preserve"/>
      </w:r>
    </w:p>
    <w:p>
      <w:r>
        <w:br w:type="page"/>
      </w:r>
    </w:p>
    <w:p>
      <w:pPr>
        <w:pStyle w:val="Heading1"/>
        <w:pBdr>
          <w:bottom w:val="single" w:color="0F7B6C" w:sz="6" w:space="4"/>
        </w:pBdr>
        <w:spacing w:after="160" w:before="400"/>
      </w:pPr>
      <w:r>
        <w:rPr>
          <w:rFonts w:ascii="Arial" w:cs="Arial" w:eastAsia="Arial" w:hAnsi="Arial"/>
          <w:b/>
          <w:bCs/>
          <w:color w:val="1B3A5C"/>
          <w:sz w:val="36"/>
          <w:szCs w:val="36"/>
        </w:rPr>
        <w:t xml:space="preserve">17. Newsletter Strategy</w:t>
      </w:r>
    </w:p>
    <w:p>
      <w:pPr>
        <w:spacing w:after="80" w:before="80"/>
      </w:pPr>
      <w:r>
        <w:rPr>
          <w:rFonts w:ascii="Arial" w:cs="Arial" w:eastAsia="Arial" w:hAnsi="Arial"/>
          <w:b w:val="false"/>
          <w:bCs w:val="false"/>
          <w:color w:val="1A1A2E"/>
          <w:sz w:val="22"/>
          <w:szCs w:val="22"/>
        </w:rPr>
        <w:t xml:space="preserve">A well-structured newsletter program is one of the highest-ROI, lowest-cost channels available to Dechub. Unlike paid ads, a newsletter builds a captive, permission-based audience that compounds in value over time. The Dechub newsletter strategy is designed to establish thought leadership, nurture leads across the funnel, drive demo bookings, and retain existing customers — all through a consistent, value-first communication cadence.</w:t>
      </w:r>
    </w:p>
    <w:p>
      <w:pPr>
        <w:pStyle w:val="Heading2"/>
        <w:spacing w:after="120" w:before="280"/>
      </w:pPr>
      <w:r>
        <w:rPr>
          <w:rFonts w:ascii="Arial" w:cs="Arial" w:eastAsia="Arial" w:hAnsi="Arial"/>
          <w:b/>
          <w:bCs/>
          <w:color w:val="0F7B6C"/>
          <w:sz w:val="28"/>
          <w:szCs w:val="28"/>
        </w:rPr>
        <w:t xml:space="preserve">17.1 Newsletter Types &amp;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Newsletter Type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Goal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Global Hiring Digest</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Prospects + Leads (TOFU/MOFU)</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Bi-weekly</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 awareness, lead nurturing</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Dechub Product Insider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Paying Customers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Product adoption, retention, upsell</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Compliance &amp; HR Pulse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HR Directors, Compliance Officers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Thought leadership, MQL generation</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Partner &amp; Agency Bulletin</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Referral &amp; Reseller Partners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Monthly</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Partner engagement, co-sell enablement</w:t>
            </w:r>
          </w:p>
        </w:tc>
      </w:tr>
    </w:tbl>
    <w:p>
      <w:r>
        <w:t xml:space="preserve"/>
      </w:r>
    </w:p>
    <w:p>
      <w:pPr>
        <w:pStyle w:val="Heading2"/>
        <w:spacing w:after="120" w:before="280"/>
      </w:pPr>
      <w:r>
        <w:rPr>
          <w:rFonts w:ascii="Arial" w:cs="Arial" w:eastAsia="Arial" w:hAnsi="Arial"/>
          <w:b/>
          <w:bCs/>
          <w:color w:val="0F7B6C"/>
          <w:sz w:val="28"/>
          <w:szCs w:val="28"/>
        </w:rPr>
        <w:t xml:space="preserve">17.2 The Global Hiring Digest (Flagship Newsletter)</w:t>
      </w:r>
    </w:p>
    <w:p>
      <w:pPr>
        <w:spacing w:after="80" w:before="80"/>
      </w:pPr>
      <w:r>
        <w:rPr>
          <w:rFonts w:ascii="Arial" w:cs="Arial" w:eastAsia="Arial" w:hAnsi="Arial"/>
          <w:b w:val="false"/>
          <w:bCs w:val="false"/>
          <w:color w:val="1A1A2E"/>
          <w:sz w:val="22"/>
          <w:szCs w:val="22"/>
        </w:rPr>
        <w:t xml:space="preserve">This is Dechub's primary external newsletter targeting HR professionals, startup founders, and business leaders who are actively exploring global hiring solutions. It serves as the primary top-of-funnel content engine and brand authority builder.</w:t>
      </w:r>
    </w:p>
    <w:p>
      <w:pPr>
        <w:pStyle w:val="Heading3"/>
        <w:spacing w:after="80" w:before="200"/>
      </w:pPr>
      <w:r>
        <w:rPr>
          <w:rFonts w:ascii="Arial" w:cs="Arial" w:eastAsia="Arial" w:hAnsi="Arial"/>
          <w:b/>
          <w:bCs/>
          <w:color w:val="1B3A5C"/>
          <w:sz w:val="24"/>
          <w:szCs w:val="24"/>
        </w:rPr>
        <w:t xml:space="preserve">Content Framework (Each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rPr>
          <w:tblHeader/>
        </w:trPr>
        <w:tc>
          <w:tcPr>
            <w:tcW w:type="dxa" w:w="2808"/>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4212"/>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Description</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Word Count</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Opening: Hiring Insight</w:t>
            </w:r>
          </w:p>
        </w:tc>
        <w:tc>
          <w:tcPr>
            <w:tcW w:type="dxa" w:w="421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sharp, actionable insight about global hiring trends, compliance changes, or remote work data. Data-backed, concise.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100–150 words</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 Article</w:t>
            </w:r>
          </w:p>
        </w:tc>
        <w:tc>
          <w:tcPr>
            <w:tcW w:type="dxa" w:w="421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Deep-dive on one topic: e.g. 'Why US Startups Are Racing to Hire Indian Engineers in 2025' or 'The Real Cost of EOR vs Entity Setup'</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400–600 words</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Compliance Update</w:t>
            </w:r>
          </w:p>
        </w:tc>
        <w:tc>
          <w:tcPr>
            <w:tcW w:type="dxa" w:w="421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country-specific compliance or payroll updates relevant to the audience (e.g. India PF rule change, UK IR35 update)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100–150 words</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Dechub Spotlight</w:t>
            </w:r>
          </w:p>
        </w:tc>
        <w:tc>
          <w:tcPr>
            <w:tcW w:type="dxa" w:w="421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story snippet, product update, or team hiring guide. Soft sell — education-first.</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100–150 words</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Resource of the Week</w:t>
            </w:r>
          </w:p>
        </w:tc>
        <w:tc>
          <w:tcPr>
            <w:tcW w:type="dxa" w:w="4212"/>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 to a Dechub guide, whitepaper, upcoming webinar, or external resource worth reading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50–75 words</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CTA Block</w:t>
            </w:r>
          </w:p>
        </w:tc>
        <w:tc>
          <w:tcPr>
            <w:tcW w:type="dxa" w:w="4212"/>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Single clear CTA — 'Book a free EOR consultation', 'Download the India Hiring Guide', or 'Join our next webinar'</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30–50 words</w:t>
            </w:r>
          </w:p>
        </w:tc>
      </w:tr>
    </w:tbl>
    <w:p>
      <w:r>
        <w:t xml:space="preserve"/>
      </w:r>
    </w:p>
    <w:p>
      <w:pPr>
        <w:pStyle w:val="Heading3"/>
        <w:spacing w:after="80" w:before="200"/>
      </w:pPr>
      <w:r>
        <w:rPr>
          <w:rFonts w:ascii="Arial" w:cs="Arial" w:eastAsia="Arial" w:hAnsi="Arial"/>
          <w:b/>
          <w:bCs/>
          <w:color w:val="1B3A5C"/>
          <w:sz w:val="24"/>
          <w:szCs w:val="24"/>
        </w:rPr>
        <w:t xml:space="preserve">Sample Topic Calendar — The Global Hiring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4680"/>
        <w:gridCol w:w="2340"/>
      </w:tblGrid>
      <w:tr>
        <w:trPr>
          <w:tblHeader/>
        </w:trPr>
        <w:tc>
          <w:tcPr>
            <w:tcW w:type="dxa" w:w="117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117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Edition</w:t>
            </w:r>
          </w:p>
        </w:tc>
        <w:tc>
          <w:tcPr>
            <w:tcW w:type="dxa" w:w="468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Topic</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CTA</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1</w:t>
            </w:r>
          </w:p>
        </w:tc>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Why Cross-Border Hiring Is the Biggest Competitive Advantage in 2025</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Download India Hiring Guide</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1</w:t>
            </w:r>
          </w:p>
        </w:tc>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EOR vs PEO vs Entity: The Definitive Comparison for Growing Companies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Book Free Consultation</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2</w:t>
            </w:r>
          </w:p>
        </w:tc>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How to Hire Your First Indian Engineer Without a Legal Entity</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 Free on Dechub</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2</w:t>
            </w:r>
          </w:p>
        </w:tc>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Global Payroll Red Flags: 7 Mistakes That Cost Companies Thousands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Watch Webinar Recording</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3</w:t>
            </w:r>
          </w:p>
        </w:tc>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 of Remote Hiring in India: Key Data + Trends for 2025</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Read the Full Report</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3</w:t>
            </w:r>
          </w:p>
        </w:tc>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Story: How a UK Fintech Hired 5 Indian Developers in 10 Days</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Book a Demo</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4</w:t>
            </w:r>
          </w:p>
        </w:tc>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Compliance Checklist: What Every Foreign Company Must Do Before Hiring in India</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Download Checklist</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4</w:t>
            </w:r>
          </w:p>
        </w:tc>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Hidden Costs of Managing a Global Workforce Manually</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 ROI Calculation</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5</w:t>
            </w:r>
          </w:p>
        </w:tc>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Building a Remote-First Culture Across Time Zones: A Practical Guide</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Join Next Webinar</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5</w:t>
            </w:r>
          </w:p>
        </w:tc>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Contractor vs Full-Time Employee: Which Is Right for Your Global Team?</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Book Free Consultation</w:t>
            </w:r>
          </w:p>
        </w:tc>
      </w:tr>
      <w:tr>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6</w:t>
            </w:r>
          </w:p>
        </w:tc>
        <w:tc>
          <w:tcPr>
            <w:tcW w:type="dxa" w:w="117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w:t>
            </w:r>
          </w:p>
        </w:tc>
        <w:tc>
          <w:tcPr>
            <w:tcW w:type="dxa" w:w="468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Mid-Year Check: Is Your Global HR Stack Slowing You Down?</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Book a Demo</w:t>
            </w:r>
          </w:p>
        </w:tc>
      </w:tr>
      <w:tr>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Month 6</w:t>
            </w:r>
          </w:p>
        </w:tc>
        <w:tc>
          <w:tcPr>
            <w:tcW w:type="dxa" w:w="117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468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Dechub 6-Month Anniversary: What We've Learned + What's Coming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Explore New Features</w:t>
            </w:r>
          </w:p>
        </w:tc>
      </w:tr>
    </w:tbl>
    <w:p>
      <w:r>
        <w:t xml:space="preserve"/>
      </w:r>
    </w:p>
    <w:p>
      <w:pPr>
        <w:pStyle w:val="Heading2"/>
        <w:spacing w:after="120" w:before="280"/>
      </w:pPr>
      <w:r>
        <w:rPr>
          <w:rFonts w:ascii="Arial" w:cs="Arial" w:eastAsia="Arial" w:hAnsi="Arial"/>
          <w:b/>
          <w:bCs/>
          <w:color w:val="0F7B6C"/>
          <w:sz w:val="28"/>
          <w:szCs w:val="28"/>
        </w:rPr>
        <w:t xml:space="preserve">17.3 Dechub Product Insider (Customer Newsletter)</w:t>
      </w:r>
    </w:p>
    <w:p>
      <w:pPr>
        <w:spacing w:after="80" w:before="80"/>
      </w:pPr>
      <w:r>
        <w:rPr>
          <w:rFonts w:ascii="Arial" w:cs="Arial" w:eastAsia="Arial" w:hAnsi="Arial"/>
          <w:b w:val="false"/>
          <w:bCs w:val="false"/>
          <w:color w:val="1A1A2E"/>
          <w:sz w:val="22"/>
          <w:szCs w:val="22"/>
        </w:rPr>
        <w:t xml:space="preserve">Sent monthly to all active paying customers. Focused exclusively on helping them get more value from the Dechub platform, reducing churn, and identifying expansion opportunities.</w:t>
      </w:r>
    </w:p>
    <w:p>
      <w:pPr>
        <w:pStyle w:val="Heading3"/>
        <w:spacing w:after="80" w:before="200"/>
      </w:pPr>
      <w:r>
        <w:rPr>
          <w:rFonts w:ascii="Arial" w:cs="Arial" w:eastAsia="Arial" w:hAnsi="Arial"/>
          <w:b/>
          <w:bCs/>
          <w:color w:val="1B3A5C"/>
          <w:sz w:val="24"/>
          <w:szCs w:val="24"/>
        </w:rPr>
        <w:t xml:space="preserve">Content Framework</w:t>
      </w:r>
    </w:p>
    <w:p>
      <w:pPr>
        <w:pStyle w:val="ListParagraph"/>
        <w:numPr>
          <w:ilvl w:val="0"/>
          <w:numId w:val="2"/>
        </w:numPr>
        <w:spacing w:after="60" w:before="60"/>
      </w:pPr>
      <w:r>
        <w:rPr>
          <w:rFonts w:ascii="Arial" w:cs="Arial" w:eastAsia="Arial" w:hAnsi="Arial"/>
          <w:color w:val="1A1A2E"/>
          <w:sz w:val="22"/>
          <w:szCs w:val="22"/>
        </w:rPr>
        <w:t xml:space="preserve">Feature Spotlight: One new or underused platform feature explained with a 2-minute walkthrough link</w:t>
      </w:r>
    </w:p>
    <w:p>
      <w:pPr>
        <w:pStyle w:val="ListParagraph"/>
        <w:numPr>
          <w:ilvl w:val="0"/>
          <w:numId w:val="2"/>
        </w:numPr>
        <w:spacing w:after="60" w:before="60"/>
      </w:pPr>
      <w:r>
        <w:rPr>
          <w:rFonts w:ascii="Arial" w:cs="Arial" w:eastAsia="Arial" w:hAnsi="Arial"/>
          <w:color w:val="1A1A2E"/>
          <w:sz w:val="22"/>
          <w:szCs w:val="22"/>
        </w:rPr>
        <w:t xml:space="preserve">Compliance Alert: Any regulatory update (India, or relevant country) affecting their active employees</w:t>
      </w:r>
    </w:p>
    <w:p>
      <w:pPr>
        <w:pStyle w:val="ListParagraph"/>
        <w:numPr>
          <w:ilvl w:val="0"/>
          <w:numId w:val="2"/>
        </w:numPr>
        <w:spacing w:after="60" w:before="60"/>
      </w:pPr>
      <w:r>
        <w:rPr>
          <w:rFonts w:ascii="Arial" w:cs="Arial" w:eastAsia="Arial" w:hAnsi="Arial"/>
          <w:color w:val="1A1A2E"/>
          <w:sz w:val="22"/>
          <w:szCs w:val="22"/>
        </w:rPr>
        <w:t xml:space="preserve">HR Tips: 1 practical tip for managing distributed teams, payroll efficiency, or onboarding best practices</w:t>
      </w:r>
    </w:p>
    <w:p>
      <w:pPr>
        <w:pStyle w:val="ListParagraph"/>
        <w:numPr>
          <w:ilvl w:val="0"/>
          <w:numId w:val="2"/>
        </w:numPr>
        <w:spacing w:after="60" w:before="60"/>
      </w:pPr>
      <w:r>
        <w:rPr>
          <w:rFonts w:ascii="Arial" w:cs="Arial" w:eastAsia="Arial" w:hAnsi="Arial"/>
          <w:color w:val="1A1A2E"/>
          <w:sz w:val="22"/>
          <w:szCs w:val="22"/>
        </w:rPr>
        <w:t xml:space="preserve">Customer Success Story: A brief quote or metric from a similar customer achieving results</w:t>
      </w:r>
    </w:p>
    <w:p>
      <w:pPr>
        <w:pStyle w:val="ListParagraph"/>
        <w:numPr>
          <w:ilvl w:val="0"/>
          <w:numId w:val="2"/>
        </w:numPr>
        <w:spacing w:after="60" w:before="60"/>
      </w:pPr>
      <w:r>
        <w:rPr>
          <w:rFonts w:ascii="Arial" w:cs="Arial" w:eastAsia="Arial" w:hAnsi="Arial"/>
          <w:color w:val="1A1A2E"/>
          <w:sz w:val="22"/>
          <w:szCs w:val="22"/>
        </w:rPr>
        <w:t xml:space="preserve">Coming Soon: Teaser of upcoming features or integrations in the product roadmap</w:t>
      </w:r>
    </w:p>
    <w:p>
      <w:pPr>
        <w:pStyle w:val="ListParagraph"/>
        <w:numPr>
          <w:ilvl w:val="0"/>
          <w:numId w:val="2"/>
        </w:numPr>
        <w:spacing w:after="60" w:before="60"/>
      </w:pPr>
      <w:r>
        <w:rPr>
          <w:rFonts w:ascii="Arial" w:cs="Arial" w:eastAsia="Arial" w:hAnsi="Arial"/>
          <w:color w:val="1A1A2E"/>
          <w:sz w:val="22"/>
          <w:szCs w:val="22"/>
        </w:rPr>
        <w:t xml:space="preserve">Support &amp; Resources: Link to updated Help Centre articles, onboarding guides, or live support session</w:t>
      </w:r>
    </w:p>
    <w:p>
      <w:r>
        <w:t xml:space="preserve"/>
      </w:r>
    </w:p>
    <w:p>
      <w:pPr>
        <w:pStyle w:val="Heading2"/>
        <w:spacing w:after="120" w:before="280"/>
      </w:pPr>
      <w:r>
        <w:rPr>
          <w:rFonts w:ascii="Arial" w:cs="Arial" w:eastAsia="Arial" w:hAnsi="Arial"/>
          <w:b/>
          <w:bCs/>
          <w:color w:val="0F7B6C"/>
          <w:sz w:val="28"/>
          <w:szCs w:val="28"/>
        </w:rPr>
        <w:t xml:space="preserve">17.4 Compliance &amp; HR Pulse (Thought Leadership Newsletter)</w:t>
      </w:r>
    </w:p>
    <w:p>
      <w:pPr>
        <w:spacing w:after="80" w:before="80"/>
      </w:pPr>
      <w:r>
        <w:rPr>
          <w:rFonts w:ascii="Arial" w:cs="Arial" w:eastAsia="Arial" w:hAnsi="Arial"/>
          <w:b w:val="false"/>
          <w:bCs w:val="false"/>
          <w:color w:val="1A1A2E"/>
          <w:sz w:val="22"/>
          <w:szCs w:val="22"/>
        </w:rPr>
        <w:t xml:space="preserve">A monthly professional newsletter targeting HR Directors, Compliance Officers, and Finance Heads. This newsletter positions Dechub as the authoritative voice on global employment law, payroll compliance, and workforce regulations — earning trust from decision-makers before they are in active buying mode.</w:t>
      </w:r>
    </w:p>
    <w:p>
      <w:pPr>
        <w:pStyle w:val="Heading3"/>
        <w:spacing w:after="80" w:before="200"/>
      </w:pPr>
      <w:r>
        <w:rPr>
          <w:rFonts w:ascii="Arial" w:cs="Arial" w:eastAsia="Arial" w:hAnsi="Arial"/>
          <w:b/>
          <w:bCs/>
          <w:color w:val="1B3A5C"/>
          <w:sz w:val="24"/>
          <w:szCs w:val="24"/>
        </w:rPr>
        <w:t xml:space="preserve">Content Framework</w:t>
      </w:r>
    </w:p>
    <w:p>
      <w:pPr>
        <w:pStyle w:val="ListParagraph"/>
        <w:numPr>
          <w:ilvl w:val="0"/>
          <w:numId w:val="2"/>
        </w:numPr>
        <w:spacing w:after="60" w:before="60"/>
      </w:pPr>
      <w:r>
        <w:rPr>
          <w:rFonts w:ascii="Arial" w:cs="Arial" w:eastAsia="Arial" w:hAnsi="Arial"/>
          <w:color w:val="1A1A2E"/>
          <w:sz w:val="22"/>
          <w:szCs w:val="22"/>
        </w:rPr>
        <w:t xml:space="preserve">Top 3 Compliance Updates This Month: Country-specific employment law changes, tax updates, social contribution changes</w:t>
      </w:r>
    </w:p>
    <w:p>
      <w:pPr>
        <w:pStyle w:val="ListParagraph"/>
        <w:numPr>
          <w:ilvl w:val="0"/>
          <w:numId w:val="2"/>
        </w:numPr>
        <w:spacing w:after="60" w:before="60"/>
      </w:pPr>
      <w:r>
        <w:rPr>
          <w:rFonts w:ascii="Arial" w:cs="Arial" w:eastAsia="Arial" w:hAnsi="Arial"/>
          <w:color w:val="1A1A2E"/>
          <w:sz w:val="22"/>
          <w:szCs w:val="22"/>
        </w:rPr>
        <w:t xml:space="preserve">Expert Commentary: A brief analysis from Dechub's in-house compliance team or a guest HR/legal expert</w:t>
      </w:r>
    </w:p>
    <w:p>
      <w:pPr>
        <w:pStyle w:val="ListParagraph"/>
        <w:numPr>
          <w:ilvl w:val="0"/>
          <w:numId w:val="2"/>
        </w:numPr>
        <w:spacing w:after="60" w:before="60"/>
      </w:pPr>
      <w:r>
        <w:rPr>
          <w:rFonts w:ascii="Arial" w:cs="Arial" w:eastAsia="Arial" w:hAnsi="Arial"/>
          <w:color w:val="1A1A2E"/>
          <w:sz w:val="22"/>
          <w:szCs w:val="22"/>
        </w:rPr>
        <w:t xml:space="preserve">Country Spotlight: One country per month — complete hiring guide overview (India, Philippines, Poland, UAE, etc.)</w:t>
      </w:r>
    </w:p>
    <w:p>
      <w:pPr>
        <w:pStyle w:val="ListParagraph"/>
        <w:numPr>
          <w:ilvl w:val="0"/>
          <w:numId w:val="2"/>
        </w:numPr>
        <w:spacing w:after="60" w:before="60"/>
      </w:pPr>
      <w:r>
        <w:rPr>
          <w:rFonts w:ascii="Arial" w:cs="Arial" w:eastAsia="Arial" w:hAnsi="Arial"/>
          <w:color w:val="1A1A2E"/>
          <w:sz w:val="22"/>
          <w:szCs w:val="22"/>
        </w:rPr>
        <w:t xml:space="preserve">Regulatory Calendar: Upcoming filing deadlines, annual compliance dates for key markets</w:t>
      </w:r>
    </w:p>
    <w:p>
      <w:pPr>
        <w:pStyle w:val="ListParagraph"/>
        <w:numPr>
          <w:ilvl w:val="0"/>
          <w:numId w:val="2"/>
        </w:numPr>
        <w:spacing w:after="60" w:before="60"/>
      </w:pPr>
      <w:r>
        <w:rPr>
          <w:rFonts w:ascii="Arial" w:cs="Arial" w:eastAsia="Arial" w:hAnsi="Arial"/>
          <w:color w:val="1A1A2E"/>
          <w:sz w:val="22"/>
          <w:szCs w:val="22"/>
        </w:rPr>
        <w:t xml:space="preserve">Free Resource: A compliance checklist, country guide PDF, or webinar link</w:t>
      </w:r>
    </w:p>
    <w:p>
      <w:r>
        <w:t xml:space="preserve"/>
      </w:r>
    </w:p>
    <w:p>
      <w:pPr>
        <w:pStyle w:val="Heading2"/>
        <w:spacing w:after="120" w:before="280"/>
      </w:pPr>
      <w:r>
        <w:rPr>
          <w:rFonts w:ascii="Arial" w:cs="Arial" w:eastAsia="Arial" w:hAnsi="Arial"/>
          <w:b/>
          <w:bCs/>
          <w:color w:val="0F7B6C"/>
          <w:sz w:val="28"/>
          <w:szCs w:val="28"/>
        </w:rPr>
        <w:t xml:space="preserve">17.5 Newsletter Growth Strategy</w:t>
      </w:r>
    </w:p>
    <w:p>
      <w:pPr>
        <w:pStyle w:val="Heading3"/>
        <w:spacing w:after="80" w:before="200"/>
      </w:pPr>
      <w:r>
        <w:rPr>
          <w:rFonts w:ascii="Arial" w:cs="Arial" w:eastAsia="Arial" w:hAnsi="Arial"/>
          <w:b/>
          <w:bCs/>
          <w:color w:val="1B3A5C"/>
          <w:sz w:val="24"/>
          <w:szCs w:val="24"/>
        </w:rPr>
        <w:t xml:space="preserve">List Building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Tactic</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312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Monthly Subscribers</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 Magnet Gating</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Require email for all whitepapers, checklists, and hiring guides</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50–100 new subs</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Blog Exit Intent Popup</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Newsletter CTA triggered when user scrolls 70% of blog post</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30–60 new subs</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Webinar Registration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Auto-subscribe all webinar registrants to relevant newsletter</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50–150 new subs</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Newsletter Mirror</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Republish editions on LinkedIn Newsletter for organic discovery</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40–80 new subs</w:t>
            </w:r>
          </w:p>
        </w:tc>
      </w:tr>
      <w:tr>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Partner Co-Promotion</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Agency and partner newsletters mention The Global Hiring Digest</w:t>
            </w:r>
          </w:p>
        </w:tc>
        <w:tc>
          <w:tcPr>
            <w:tcW w:type="dxa" w:w="312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20–50 new subs</w:t>
            </w:r>
          </w:p>
        </w:tc>
      </w:tr>
      <w:tr>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Cold Email Opt-in CTA</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Include newsletter link as soft CTA in outbound cold email P.S. line</w:t>
            </w:r>
          </w:p>
        </w:tc>
        <w:tc>
          <w:tcPr>
            <w:tcW w:type="dxa" w:w="312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20–40 new subs</w:t>
            </w:r>
          </w:p>
        </w:tc>
      </w:tr>
    </w:tbl>
    <w:p>
      <w:r>
        <w:t xml:space="preserve"/>
      </w:r>
    </w:p>
    <w:p>
      <w:pPr>
        <w:pStyle w:val="Heading3"/>
        <w:spacing w:after="80" w:before="200"/>
      </w:pPr>
      <w:r>
        <w:rPr>
          <w:rFonts w:ascii="Arial" w:cs="Arial" w:eastAsia="Arial" w:hAnsi="Arial"/>
          <w:b/>
          <w:bCs/>
          <w:color w:val="1B3A5C"/>
          <w:sz w:val="24"/>
          <w:szCs w:val="24"/>
        </w:rPr>
        <w:t xml:space="preserve">List Segmentation Strategy</w:t>
      </w:r>
    </w:p>
    <w:p>
      <w:pPr>
        <w:pStyle w:val="ListParagraph"/>
        <w:numPr>
          <w:ilvl w:val="0"/>
          <w:numId w:val="2"/>
        </w:numPr>
        <w:spacing w:after="60" w:before="60"/>
      </w:pPr>
      <w:r>
        <w:rPr>
          <w:rFonts w:ascii="Arial" w:cs="Arial" w:eastAsia="Arial" w:hAnsi="Arial"/>
          <w:color w:val="1A1A2E"/>
          <w:sz w:val="22"/>
          <w:szCs w:val="22"/>
        </w:rPr>
        <w:t xml:space="preserve">By Role: Founders/CEOs, HR Managers, Compliance Officers, Finance Heads — each receives role-relevant content variations</w:t>
      </w:r>
    </w:p>
    <w:p>
      <w:pPr>
        <w:pStyle w:val="ListParagraph"/>
        <w:numPr>
          <w:ilvl w:val="0"/>
          <w:numId w:val="2"/>
        </w:numPr>
        <w:spacing w:after="60" w:before="60"/>
      </w:pPr>
      <w:r>
        <w:rPr>
          <w:rFonts w:ascii="Arial" w:cs="Arial" w:eastAsia="Arial" w:hAnsi="Arial"/>
          <w:color w:val="1A1A2E"/>
          <w:sz w:val="22"/>
          <w:szCs w:val="22"/>
        </w:rPr>
        <w:t xml:space="preserve">By Funnel Stage: New subscriber (awareness content) → Engaged lead (comparison + case study content) → Demo requested (social proof + ROI content)</w:t>
      </w:r>
    </w:p>
    <w:p>
      <w:pPr>
        <w:pStyle w:val="ListParagraph"/>
        <w:numPr>
          <w:ilvl w:val="0"/>
          <w:numId w:val="2"/>
        </w:numPr>
        <w:spacing w:after="60" w:before="60"/>
      </w:pPr>
      <w:r>
        <w:rPr>
          <w:rFonts w:ascii="Arial" w:cs="Arial" w:eastAsia="Arial" w:hAnsi="Arial"/>
          <w:color w:val="1A1A2E"/>
          <w:sz w:val="22"/>
          <w:szCs w:val="22"/>
        </w:rPr>
        <w:t xml:space="preserve">By Company Size: 1–50 / 51–250 / 250+ employees — tailor examples and pricing context accordingly</w:t>
      </w:r>
    </w:p>
    <w:p>
      <w:pPr>
        <w:pStyle w:val="ListParagraph"/>
        <w:numPr>
          <w:ilvl w:val="0"/>
          <w:numId w:val="2"/>
        </w:numPr>
        <w:spacing w:after="60" w:before="60"/>
      </w:pPr>
      <w:r>
        <w:rPr>
          <w:rFonts w:ascii="Arial" w:cs="Arial" w:eastAsia="Arial" w:hAnsi="Arial"/>
          <w:color w:val="1A1A2E"/>
          <w:sz w:val="22"/>
          <w:szCs w:val="22"/>
        </w:rPr>
        <w:t xml:space="preserve">By Geography: US, UK, EU, Middle East, India — localise compliance updates and examples</w:t>
      </w:r>
    </w:p>
    <w:p>
      <w:pPr>
        <w:pStyle w:val="ListParagraph"/>
        <w:numPr>
          <w:ilvl w:val="0"/>
          <w:numId w:val="2"/>
        </w:numPr>
        <w:spacing w:after="60" w:before="60"/>
      </w:pPr>
      <w:r>
        <w:rPr>
          <w:rFonts w:ascii="Arial" w:cs="Arial" w:eastAsia="Arial" w:hAnsi="Arial"/>
          <w:color w:val="1A1A2E"/>
          <w:sz w:val="22"/>
          <w:szCs w:val="22"/>
        </w:rPr>
        <w:t xml:space="preserve">By Customer Status: Prospect vs Active Customer — ensure customers never receive 'book a demo' CTAs</w:t>
      </w:r>
    </w:p>
    <w:p>
      <w:r>
        <w:t xml:space="preserve"/>
      </w:r>
    </w:p>
    <w:p>
      <w:pPr>
        <w:pStyle w:val="Heading2"/>
        <w:spacing w:after="120" w:before="280"/>
      </w:pPr>
      <w:r>
        <w:rPr>
          <w:rFonts w:ascii="Arial" w:cs="Arial" w:eastAsia="Arial" w:hAnsi="Arial"/>
          <w:b/>
          <w:bCs/>
          <w:color w:val="0F7B6C"/>
          <w:sz w:val="28"/>
          <w:szCs w:val="28"/>
        </w:rPr>
        <w:t xml:space="preserve">17.6 Newsletter KPIs &amp;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rPr>
          <w:tblHeader/>
        </w:trPr>
        <w:tc>
          <w:tcPr>
            <w:tcW w:type="dxa" w:w="2808"/>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184"/>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Industry Benchmark</w:t>
            </w:r>
          </w:p>
        </w:tc>
        <w:tc>
          <w:tcPr>
            <w:tcW w:type="dxa" w:w="2184"/>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Dechub Month 3 Target</w:t>
            </w:r>
          </w:p>
        </w:tc>
        <w:tc>
          <w:tcPr>
            <w:tcW w:type="dxa" w:w="2184"/>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Dechub Month 12 Target</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 Rate</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20–25% (B2B SaaS)</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Click-Through Rate (CTR)</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Unsubscribe Rate</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0.5%</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0.3%</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0.2%</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 Newsletter Subscribers</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5,000+</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MQLs Generated via Newsletter</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15–25/month</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80–150/month</w:t>
            </w:r>
          </w:p>
        </w:tc>
      </w:tr>
      <w:tr>
        <w:tc>
          <w:tcPr>
            <w:tcW w:type="dxa" w:w="2808"/>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Demo Bookings from Newsletter</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3–8/month</w:t>
            </w:r>
          </w:p>
        </w:tc>
        <w:tc>
          <w:tcPr>
            <w:tcW w:type="dxa" w:w="2184"/>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20–40/month</w:t>
            </w:r>
          </w:p>
        </w:tc>
      </w:tr>
      <w:tr>
        <w:tc>
          <w:tcPr>
            <w:tcW w:type="dxa" w:w="2808"/>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Revenue Attributed to Newsletter</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5–10% of MRR</w:t>
            </w:r>
          </w:p>
        </w:tc>
        <w:tc>
          <w:tcPr>
            <w:tcW w:type="dxa" w:w="2184"/>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15–20% of MRR</w:t>
            </w:r>
          </w:p>
        </w:tc>
      </w:tr>
    </w:tbl>
    <w:p>
      <w:r>
        <w:t xml:space="preserve"/>
      </w:r>
    </w:p>
    <w:p>
      <w:pPr>
        <w:pStyle w:val="Heading2"/>
        <w:spacing w:after="120" w:before="280"/>
      </w:pPr>
      <w:r>
        <w:rPr>
          <w:rFonts w:ascii="Arial" w:cs="Arial" w:eastAsia="Arial" w:hAnsi="Arial"/>
          <w:b/>
          <w:bCs/>
          <w:color w:val="0F7B6C"/>
          <w:sz w:val="28"/>
          <w:szCs w:val="28"/>
        </w:rPr>
        <w:t xml:space="preserve">17.7 Newsletter Technology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w:t>
            </w:r>
          </w:p>
        </w:tc>
        <w:tc>
          <w:tcPr>
            <w:tcW w:type="dxa" w:w="2340"/>
            <w:gridSpan w:val="1"/>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HubSpot Email</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Primary send tool — connected to CRM for segmentation and lead scoring</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Included in HubSpot plan</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Best for lead-nurture integration</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Beehiiv / Substack</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Public-facing newsletter with organic discovery and paid subscription option</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$0–$99/month</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Great for The Global Hiring Digest as a standalone brand</w:t>
            </w:r>
          </w:p>
        </w:tc>
      </w:tr>
      <w:tr>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Canva / Figma</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Newsletter template design and visual assets</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$0–$15/month</w:t>
            </w:r>
          </w:p>
        </w:tc>
        <w:tc>
          <w:tcPr>
            <w:tcW w:type="dxa" w:w="2340"/>
            <w:gridSpan w:val="1"/>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Create reusable branded templates</w:t>
            </w:r>
          </w:p>
        </w:tc>
      </w:tr>
      <w:tr>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Litmus / Email on Acid</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 rendering preview and spam testing</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$79–$149/month</w:t>
            </w:r>
          </w:p>
        </w:tc>
        <w:tc>
          <w:tcPr>
            <w:tcW w:type="dxa" w:w="2340"/>
            <w:gridSpan w:val="1"/>
            <w:tcBorders>
              <w:top w:val="single" w:color="CBD5E0" w:sz="1"/>
              <w:left w:val="single" w:color="CBD5E0" w:sz="1"/>
              <w:bottom w:val="single" w:color="CBD5E0" w:sz="1"/>
              <w:right w:val="single" w:color="CBD5E0" w:sz="1"/>
            </w:tcBorders>
            <w:shd w:fill="F0F7F6"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Ensure deliverability before send</w:t>
            </w:r>
          </w:p>
        </w:tc>
      </w:tr>
    </w:tbl>
    <w:p>
      <w:r>
        <w:t xml:space="preserve"/>
      </w:r>
    </w:p>
    <w:p>
      <w:pPr>
        <w:pStyle w:val="Heading3"/>
        <w:spacing w:after="80" w:before="200"/>
      </w:pPr>
      <w:r>
        <w:rPr>
          <w:rFonts w:ascii="Arial" w:cs="Arial" w:eastAsia="Arial" w:hAnsi="Arial"/>
          <w:b/>
          <w:bCs/>
          <w:color w:val="1B3A5C"/>
          <w:sz w:val="24"/>
          <w:szCs w:val="24"/>
        </w:rPr>
        <w:t xml:space="preserve">Operational Checklist (Per Newsletter Send)</w:t>
      </w:r>
    </w:p>
    <w:p>
      <w:pPr>
        <w:pStyle w:val="ListParagraph"/>
        <w:numPr>
          <w:ilvl w:val="0"/>
          <w:numId w:val="3"/>
        </w:numPr>
        <w:spacing w:after="60" w:before="60"/>
      </w:pPr>
      <w:r>
        <w:rPr>
          <w:rFonts w:ascii="Arial" w:cs="Arial" w:eastAsia="Arial" w:hAnsi="Arial"/>
          <w:color w:val="1A1A2E"/>
          <w:sz w:val="22"/>
          <w:szCs w:val="22"/>
        </w:rPr>
        <w:t xml:space="preserve">Write and edit content (3–5 days before send date)</w:t>
      </w:r>
    </w:p>
    <w:p>
      <w:pPr>
        <w:pStyle w:val="ListParagraph"/>
        <w:numPr>
          <w:ilvl w:val="0"/>
          <w:numId w:val="3"/>
        </w:numPr>
        <w:spacing w:after="60" w:before="60"/>
      </w:pPr>
      <w:r>
        <w:rPr>
          <w:rFonts w:ascii="Arial" w:cs="Arial" w:eastAsia="Arial" w:hAnsi="Arial"/>
          <w:color w:val="1A1A2E"/>
          <w:sz w:val="22"/>
          <w:szCs w:val="22"/>
        </w:rPr>
        <w:t xml:space="preserve">Design layout using branded template in Canva/Figma</w:t>
      </w:r>
    </w:p>
    <w:p>
      <w:pPr>
        <w:pStyle w:val="ListParagraph"/>
        <w:numPr>
          <w:ilvl w:val="0"/>
          <w:numId w:val="3"/>
        </w:numPr>
        <w:spacing w:after="60" w:before="60"/>
      </w:pPr>
      <w:r>
        <w:rPr>
          <w:rFonts w:ascii="Arial" w:cs="Arial" w:eastAsia="Arial" w:hAnsi="Arial"/>
          <w:color w:val="1A1A2E"/>
          <w:sz w:val="22"/>
          <w:szCs w:val="22"/>
        </w:rPr>
        <w:t xml:space="preserve">Build in HubSpot or Beehiiv, insert all UTM-tracked links</w:t>
      </w:r>
    </w:p>
    <w:p>
      <w:pPr>
        <w:pStyle w:val="ListParagraph"/>
        <w:numPr>
          <w:ilvl w:val="0"/>
          <w:numId w:val="3"/>
        </w:numPr>
        <w:spacing w:after="60" w:before="60"/>
      </w:pPr>
      <w:r>
        <w:rPr>
          <w:rFonts w:ascii="Arial" w:cs="Arial" w:eastAsia="Arial" w:hAnsi="Arial"/>
          <w:color w:val="1A1A2E"/>
          <w:sz w:val="22"/>
          <w:szCs w:val="22"/>
        </w:rPr>
        <w:t xml:space="preserve">Segment audience — confirm correct list/tags are selected</w:t>
      </w:r>
    </w:p>
    <w:p>
      <w:pPr>
        <w:pStyle w:val="ListParagraph"/>
        <w:numPr>
          <w:ilvl w:val="0"/>
          <w:numId w:val="3"/>
        </w:numPr>
        <w:spacing w:after="60" w:before="60"/>
      </w:pPr>
      <w:r>
        <w:rPr>
          <w:rFonts w:ascii="Arial" w:cs="Arial" w:eastAsia="Arial" w:hAnsi="Arial"/>
          <w:color w:val="1A1A2E"/>
          <w:sz w:val="22"/>
          <w:szCs w:val="22"/>
        </w:rPr>
        <w:t xml:space="preserve">A/B test subject lines (minimum 2 variants, 20% split)</w:t>
      </w:r>
    </w:p>
    <w:p>
      <w:pPr>
        <w:pStyle w:val="ListParagraph"/>
        <w:numPr>
          <w:ilvl w:val="0"/>
          <w:numId w:val="3"/>
        </w:numPr>
        <w:spacing w:after="60" w:before="60"/>
      </w:pPr>
      <w:r>
        <w:rPr>
          <w:rFonts w:ascii="Arial" w:cs="Arial" w:eastAsia="Arial" w:hAnsi="Arial"/>
          <w:color w:val="1A1A2E"/>
          <w:sz w:val="22"/>
          <w:szCs w:val="22"/>
        </w:rPr>
        <w:t xml:space="preserve">Preview on desktop and mobile, run spam check in Litmus</w:t>
      </w:r>
    </w:p>
    <w:p>
      <w:pPr>
        <w:pStyle w:val="ListParagraph"/>
        <w:numPr>
          <w:ilvl w:val="0"/>
          <w:numId w:val="3"/>
        </w:numPr>
        <w:spacing w:after="60" w:before="60"/>
      </w:pPr>
      <w:r>
        <w:rPr>
          <w:rFonts w:ascii="Arial" w:cs="Arial" w:eastAsia="Arial" w:hAnsi="Arial"/>
          <w:color w:val="1A1A2E"/>
          <w:sz w:val="22"/>
          <w:szCs w:val="22"/>
        </w:rPr>
        <w:t xml:space="preserve">Schedule send for Tuesday–Thursday, 9–11 AM recipient local time</w:t>
      </w:r>
    </w:p>
    <w:p>
      <w:pPr>
        <w:pStyle w:val="ListParagraph"/>
        <w:numPr>
          <w:ilvl w:val="0"/>
          <w:numId w:val="3"/>
        </w:numPr>
        <w:spacing w:after="60" w:before="60"/>
      </w:pPr>
      <w:r>
        <w:rPr>
          <w:rFonts w:ascii="Arial" w:cs="Arial" w:eastAsia="Arial" w:hAnsi="Arial"/>
          <w:color w:val="1A1A2E"/>
          <w:sz w:val="22"/>
          <w:szCs w:val="22"/>
        </w:rPr>
        <w:t xml:space="preserve">Monitor open rate and CTR at 2 hours and 24 hours post-send</w:t>
      </w:r>
    </w:p>
    <w:p>
      <w:pPr>
        <w:pStyle w:val="ListParagraph"/>
        <w:numPr>
          <w:ilvl w:val="0"/>
          <w:numId w:val="3"/>
        </w:numPr>
        <w:spacing w:after="60" w:before="60"/>
      </w:pPr>
      <w:r>
        <w:rPr>
          <w:rFonts w:ascii="Arial" w:cs="Arial" w:eastAsia="Arial" w:hAnsi="Arial"/>
          <w:color w:val="1A1A2E"/>
          <w:sz w:val="22"/>
          <w:szCs w:val="22"/>
        </w:rPr>
        <w:t xml:space="preserve">Log performance in monthly newsletter KPI dashboard</w:t>
      </w:r>
    </w:p>
    <w:p>
      <w:pPr>
        <w:pStyle w:val="ListParagraph"/>
        <w:numPr>
          <w:ilvl w:val="0"/>
          <w:numId w:val="3"/>
        </w:numPr>
        <w:spacing w:after="60" w:before="60"/>
      </w:pPr>
      <w:r>
        <w:rPr>
          <w:rFonts w:ascii="Arial" w:cs="Arial" w:eastAsia="Arial" w:hAnsi="Arial"/>
          <w:color w:val="1A1A2E"/>
          <w:sz w:val="22"/>
          <w:szCs w:val="22"/>
        </w:rPr>
        <w:t xml:space="preserve">Repurpose top-performing content into LinkedIn posts and blog updates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8F4F2" w:val="clear"/>
            <w:tcMar>
              <w:top w:type="dxa" w:w="120"/>
              <w:left w:type="dxa" w:w="200"/>
              <w:bottom w:type="dxa" w:w="120"/>
              <w:right w:type="dxa" w:w="120"/>
            </w:tcMar>
          </w:tcPr>
          <w:p>
            <w:r>
              <w:rPr>
                <w:rFonts w:ascii="Arial" w:cs="Arial" w:eastAsia="Arial" w:hAnsi="Arial"/>
                <w:color w:val="1A1A2E"/>
                <w:sz w:val="22"/>
                <w:szCs w:val="22"/>
              </w:rPr>
              <w:t xml:space="preserve">The Dechub newsletter program is a long-term compounding asset. Every subscriber who stays engaged represents a future customer, referral source, or brand advocate. Consistency, value-first content, and smart segmentation are the three non-negotiables for newsletter success in the B2B HRTech space.</w:t>
            </w:r>
          </w:p>
        </w:tc>
      </w:tr>
    </w:tbl>
    <w:p>
      <w:r>
        <w:t xml:space="preserve"/>
      </w:r>
    </w:p>
    <w:p>
      <w:pPr>
        <w:spacing w:after="0" w:before="400"/>
        <w:jc w:val="center"/>
      </w:pPr>
      <w:r>
        <w:rPr>
          <w:rFonts w:ascii="Arial" w:cs="Arial" w:eastAsia="Arial" w:hAnsi="Arial"/>
          <w:color w:val="999999"/>
          <w:sz w:val="22"/>
          <w:szCs w:val="22"/>
        </w:rPr>
        <w:t xml:space="preserve">— End of Document —</w:t>
      </w:r>
    </w:p>
    <w:p>
      <w:pPr>
        <w:jc w:val="center"/>
      </w:pPr>
      <w:r>
        <w:rPr>
          <w:rFonts w:ascii="Arial" w:cs="Arial" w:eastAsia="Arial" w:hAnsi="Arial"/>
          <w:color w:val="BBBBBB"/>
          <w:sz w:val="20"/>
          <w:szCs w:val="20"/>
        </w:rPr>
        <w:t xml:space="preserve">Dechub | Comprehensive Marketing Strategy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B6C" w:sz="4" w:space="4"/>
      </w:pBdr>
      <w:tabs>
        <w:tab w:val="right" w:pos="9026"/>
      </w:tabs>
      <w:spacing w:before="60"/>
    </w:pPr>
    <w:r>
      <w:rPr>
        <w:rFonts w:ascii="Arial" w:cs="Arial" w:eastAsia="Arial" w:hAnsi="Arial"/>
        <w:color w:val="888888"/>
        <w:sz w:val="18"/>
        <w:szCs w:val="18"/>
      </w:rPr>
      <w:t xml:space="preserve">© 2025 Dechub. All Rights Reserved.</w:t>
    </w:r>
    <w:r>
      <w:rPr>
        <w:rFonts w:ascii="Arial" w:cs="Arial" w:eastAsia="Arial" w:hAnsi="Arial"/>
        <w:color w:val="888888"/>
        <w:sz w:val="18"/>
        <w:szCs w:val="18"/>
      </w:rPr>
      <w:t xml:space="preserve">	Page </w:t>
    </w:r>
    <w:r>
      <w:rPr>
        <w:rFonts w:ascii="Arial" w:cs="Arial" w:eastAsia="Arial" w:hAnsi="Arial"/>
        <w:color w:val="1B3A5C"/>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space="4"/>
      </w:pBdr>
      <w:spacing w:after="0"/>
    </w:pPr>
    <w:r>
      <w:rPr>
        <w:rFonts w:ascii="Arial" w:cs="Arial" w:eastAsia="Arial" w:hAnsi="Arial"/>
        <w:color w:val="888888"/>
        <w:sz w:val="18"/>
        <w:szCs w:val="18"/>
      </w:rPr>
      <w:t xml:space="preserve">DECHUB  |  Comprehensive Marketing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7B6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2026-06-01T09:00:18.654Z</dcterms:created>
  <dcterms:modified xsi:type="dcterms:W3CDTF">2026-06-01T09:00:18.675Z</dcterms:modified>
</cp:coreProperties>
</file>

<file path=docProps/custom.xml><?xml version="1.0" encoding="utf-8"?>
<Properties xmlns="http://schemas.openxmlformats.org/officeDocument/2006/custom-properties" xmlns:vt="http://schemas.openxmlformats.org/officeDocument/2006/docPropsVTypes"/>
</file>