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00"/>
        <w:jc w:val="left"/>
      </w:pPr>
      <w:r>
        <w:rPr>
          <w:rFonts w:ascii="Arial" w:cs="Arial" w:eastAsia="Arial" w:hAnsi="Arial"/>
          <w:b/>
          <w:bCs/>
          <w:color w:val="0FB5BA"/>
          <w:sz w:val="28"/>
          <w:szCs w:val="28"/>
        </w:rPr>
        <w:t xml:space="preserve">DECHUB</w:t>
      </w:r>
    </w:p>
    <w:p>
      <w:pPr>
        <w:spacing w:after="200"/>
        <w:jc w:val="left"/>
      </w:pPr>
      <w:r>
        <w:rPr>
          <w:rFonts w:ascii="Arial" w:cs="Arial" w:eastAsia="Arial" w:hAnsi="Arial"/>
          <w:color w:val="475569"/>
          <w:sz w:val="22"/>
          <w:szCs w:val="22"/>
        </w:rPr>
        <w:t xml:space="preserve">Global Workforce Platform</w:t>
      </w:r>
    </w:p>
    <w:p>
      <w:pPr>
        <w:spacing w:after="60"/>
        <w:jc w:val="left"/>
      </w:pPr>
      <w:r>
        <w:rPr>
          <w:rFonts w:ascii="Arial" w:cs="Arial" w:eastAsia="Arial" w:hAnsi="Arial"/>
          <w:b/>
          <w:bCs/>
          <w:color w:val="0B2E4F"/>
          <w:sz w:val="56"/>
          <w:szCs w:val="56"/>
        </w:rPr>
        <w:t xml:space="preserve">COMPREHENSIVE MARKETING STRATEGY</w:t>
      </w:r>
    </w:p>
    <w:p>
      <w:pPr>
        <w:spacing w:after="120"/>
        <w:jc w:val="left"/>
      </w:pPr>
      <w:r>
        <w:rPr>
          <w:rFonts w:ascii="Arial" w:cs="Arial" w:eastAsia="Arial" w:hAnsi="Arial"/>
          <w:b/>
          <w:bCs/>
          <w:color w:val="0FB5BA"/>
          <w:sz w:val="36"/>
          <w:szCs w:val="36"/>
        </w:rPr>
        <w:t xml:space="preserve">Version 2.0  —  Alternative Strategies</w:t>
      </w:r>
    </w:p>
    <w:p>
      <w:pPr>
        <w:spacing w:after="600"/>
        <w:jc w:val="left"/>
      </w:pPr>
      <w:r>
        <w:rPr>
          <w:rFonts w:ascii="Arial" w:cs="Arial" w:eastAsia="Arial" w:hAnsi="Arial"/>
          <w:i/>
          <w:iCs/>
          <w:color w:val="475569"/>
          <w:sz w:val="22"/>
          <w:szCs w:val="22"/>
        </w:rPr>
        <w:t xml:space="preserve">Three distinct strategic paths to consider before committing to v1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18"/>
              <w:left w:val="none" w:color="FFFFFF" w:sz="0"/>
              <w:bottom w:val="none" w:color="FFFFFF" w:sz="0"/>
              <w:right w:val="none" w:color="FFFFFF" w:sz="0"/>
            </w:tcBorders>
            <w:tcMar>
              <w:top w:type="dxa" w:w="0"/>
              <w:left w:type="dxa" w:w="0"/>
              <w:bottom w:type="dxa" w:w="0"/>
              <w:right w:type="dxa" w:w="0"/>
            </w:tcMar>
          </w:tcPr>
          <w:p>
            <w:r>
              <w:t xml:space="preserve"/>
            </w:r>
          </w:p>
        </w:tc>
      </w:tr>
    </w:tbl>
    <w:p>
      <w:pPr>
        <w:spacing w:after="300" w:before="0"/>
      </w:pPr>
      <w:r>
        <w:t xml:space="preserve"/>
      </w:r>
    </w:p>
    <w:p>
      <w:pPr>
        <w:spacing w:after="100" w:before="0"/>
        <w:jc w:val="left"/>
      </w:pPr>
      <w:r>
        <w:rPr>
          <w:rFonts w:ascii="Arial" w:cs="Arial" w:eastAsia="Arial" w:hAnsi="Arial"/>
          <w:b w:val="false"/>
          <w:bCs w:val="false"/>
          <w:i w:val="false"/>
          <w:iCs w:val="false"/>
          <w:color w:val="475569"/>
          <w:sz w:val="20"/>
          <w:szCs w:val="20"/>
        </w:rPr>
        <w:t xml:space="preserve">Companion document to:</w:t>
      </w:r>
    </w:p>
    <w:p>
      <w:pPr>
        <w:spacing w:after="100" w:before="0"/>
        <w:jc w:val="left"/>
      </w:pPr>
      <w:r>
        <w:rPr>
          <w:rFonts w:ascii="Arial" w:cs="Arial" w:eastAsia="Arial" w:hAnsi="Arial"/>
          <w:b/>
          <w:bCs/>
          <w:i w:val="false"/>
          <w:iCs w:val="false"/>
          <w:color w:val="0B2E4F"/>
          <w:sz w:val="22"/>
          <w:szCs w:val="22"/>
        </w:rPr>
        <w:t xml:space="preserve">Dechub Comprehensive Marketing Strategy 2025-2026 (v1)</w:t>
      </w:r>
    </w:p>
    <w:p>
      <w:pPr>
        <w:spacing w:after="400" w:before="0"/>
      </w:pPr>
      <w:r>
        <w:t xml:space="preserve"/>
      </w:r>
    </w:p>
    <w:p>
      <w:pPr>
        <w:spacing w:after="100" w:before="0"/>
        <w:jc w:val="left"/>
      </w:pPr>
      <w:r>
        <w:rPr>
          <w:rFonts w:ascii="Arial" w:cs="Arial" w:eastAsia="Arial" w:hAnsi="Arial"/>
          <w:b w:val="false"/>
          <w:bCs w:val="false"/>
          <w:i w:val="false"/>
          <w:iCs w:val="false"/>
          <w:color w:val="475569"/>
          <w:sz w:val="20"/>
          <w:szCs w:val="20"/>
        </w:rPr>
        <w:t xml:space="preserve">2025–2026  ·  Brand Awareness · Demand Generation · Customer Acquisition</w:t>
      </w:r>
    </w:p>
    <w:p>
      <w:pPr>
        <w:spacing w:after="100" w:before="0"/>
        <w:jc w:val="left"/>
      </w:pPr>
      <w:r>
        <w:rPr>
          <w:rFonts w:ascii="Arial" w:cs="Arial" w:eastAsia="Arial" w:hAnsi="Arial"/>
          <w:b w:val="false"/>
          <w:bCs w:val="false"/>
          <w:i w:val="false"/>
          <w:iCs w:val="false"/>
          <w:color w:val="475569"/>
          <w:sz w:val="20"/>
          <w:szCs w:val="20"/>
        </w:rPr>
        <w:t xml:space="preserve">Prepared for Founders, Leadership &amp; Investors</w:t>
      </w:r>
    </w:p>
    <w:p>
      <w:pPr>
        <w:spacing w:after="100" w:before="0"/>
        <w:jc w:val="left"/>
      </w:pPr>
      <w:r>
        <w:rPr>
          <w:rFonts w:ascii="Arial" w:cs="Arial" w:eastAsia="Arial" w:hAnsi="Arial"/>
          <w:b w:val="false"/>
          <w:bCs w:val="false"/>
          <w:i w:val="false"/>
          <w:iCs w:val="false"/>
          <w:color w:val="475569"/>
          <w:sz w:val="20"/>
          <w:szCs w:val="20"/>
        </w:rPr>
        <w:t xml:space="preserve">Confidential · Strategic Document</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01</w:t>
            </w:r>
          </w:p>
          <w:p>
            <w:pPr>
              <w:spacing w:after="60" w:before="0"/>
            </w:pPr>
            <w:r>
              <w:rPr>
                <w:rFonts w:ascii="Arial" w:cs="Arial" w:eastAsia="Arial" w:hAnsi="Arial"/>
                <w:b/>
                <w:bCs/>
                <w:color w:val="FFFFFF"/>
                <w:sz w:val="32"/>
                <w:szCs w:val="32"/>
              </w:rPr>
              <w:t xml:space="preserve">How to Read This Document</w:t>
            </w:r>
          </w:p>
          <w:p>
            <w:pPr>
              <w:spacing w:after="0" w:before="0"/>
            </w:pPr>
            <w:r>
              <w:rPr>
                <w:rFonts w:ascii="Arial" w:cs="Arial" w:eastAsia="Arial" w:hAnsi="Arial"/>
                <w:i/>
                <w:iCs/>
                <w:color w:val="CBD5E1"/>
                <w:sz w:val="20"/>
                <w:szCs w:val="20"/>
              </w:rPr>
              <w:t xml:space="preserve">What v2 is, what it is not, and how to use it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What v2 is</w:t>
      </w:r>
    </w:p>
    <w:p>
      <w:pPr>
        <w:spacing w:after="150" w:before="0"/>
        <w:jc w:val="left"/>
      </w:pPr>
      <w:r>
        <w:rPr>
          <w:rFonts w:ascii="Arial" w:cs="Arial" w:eastAsia="Arial" w:hAnsi="Arial"/>
          <w:b w:val="false"/>
          <w:bCs w:val="false"/>
          <w:i w:val="false"/>
          <w:iCs w:val="false"/>
          <w:color w:val="000000"/>
          <w:sz w:val="22"/>
          <w:szCs w:val="22"/>
        </w:rPr>
        <w:t xml:space="preserve">Version 1 of Dechub's marketing strategy is a strong, orthodox SaaS go-to-market playbook: inbound-led, with LinkedIn outreach, Google Ads, webinars, and ABM stacked on top. It is well-built and would work. The risk is not that v1 is wrong — it is that v1 is the same strategy every Series A SaaS company runs, and Dechub competes against incumbents (Deel, Remote, Multiplier) who have $500M+ in funding to outspend exactly that playbook.</w:t>
      </w:r>
    </w:p>
    <w:p>
      <w:pPr>
        <w:spacing w:after="200" w:before="0"/>
        <w:jc w:val="left"/>
      </w:pPr>
      <w:r>
        <w:rPr>
          <w:rFonts w:ascii="Arial" w:cs="Arial" w:eastAsia="Arial" w:hAnsi="Arial"/>
          <w:b w:val="false"/>
          <w:bCs w:val="false"/>
          <w:i w:val="false"/>
          <w:iCs w:val="false"/>
          <w:color w:val="000000"/>
          <w:sz w:val="22"/>
          <w:szCs w:val="22"/>
        </w:rPr>
        <w:t xml:space="preserve">Version 2 asks a different question: instead of executing the same playbook with less budget, are there strategic alternatives that play to Dechub's specific advantages — India-first depth, faster time-to-market, leaner cost structure — and that can compound asymmetrically against well-funded competitors?</w:t>
      </w:r>
    </w:p>
    <w:p>
      <w:pPr>
        <w:pStyle w:val="Heading2"/>
        <w:spacing w:after="160" w:before="240"/>
      </w:pPr>
      <w:r>
        <w:rPr>
          <w:rFonts w:ascii="Arial" w:cs="Arial" w:eastAsia="Arial" w:hAnsi="Arial"/>
          <w:b/>
          <w:bCs/>
          <w:color w:val="0B2E4F"/>
          <w:sz w:val="28"/>
          <w:szCs w:val="28"/>
        </w:rPr>
        <w:t xml:space="preserve">What v2 is not</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A replacement for v1. </w:t>
      </w:r>
      <w:r>
        <w:rPr>
          <w:rFonts w:ascii="Arial" w:cs="Arial" w:eastAsia="Arial" w:hAnsi="Arial"/>
          <w:b w:val="false"/>
          <w:bCs w:val="false"/>
          <w:i w:val="false"/>
          <w:iCs w:val="false"/>
          <w:color w:val="000000"/>
          <w:sz w:val="20"/>
          <w:szCs w:val="20"/>
        </w:rPr>
        <w:t xml:space="preserve">v1 stays valid as the default execution plan. v2 is the option set you consider before committing to it.</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A polish of v1. </w:t>
      </w:r>
      <w:r>
        <w:rPr>
          <w:rFonts w:ascii="Arial" w:cs="Arial" w:eastAsia="Arial" w:hAnsi="Arial"/>
          <w:b w:val="false"/>
          <w:bCs w:val="false"/>
          <w:i w:val="false"/>
          <w:iCs w:val="false"/>
          <w:color w:val="000000"/>
          <w:sz w:val="20"/>
          <w:szCs w:val="20"/>
        </w:rPr>
        <w:t xml:space="preserve">These are different strategic bets — different positioning, different ICP focus, different GTM motion. Mix and match cautiously.</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A 'better' strategy. </w:t>
      </w:r>
      <w:r>
        <w:rPr>
          <w:rFonts w:ascii="Arial" w:cs="Arial" w:eastAsia="Arial" w:hAnsi="Arial"/>
          <w:b w:val="false"/>
          <w:bCs w:val="false"/>
          <w:i w:val="false"/>
          <w:iCs w:val="false"/>
          <w:color w:val="000000"/>
          <w:sz w:val="20"/>
          <w:szCs w:val="20"/>
        </w:rPr>
        <w:t xml:space="preserve">Each alternative wins under specific conditions. The decision framework in Section 6 helps you choose.</w:t>
      </w:r>
    </w:p>
    <w:p>
      <w:pPr>
        <w:spacing w:after="150" w:before="0"/>
      </w:pPr>
      <w:r>
        <w:t xml:space="preserve"/>
      </w:r>
    </w:p>
    <w:p>
      <w:pPr>
        <w:pStyle w:val="Heading2"/>
        <w:spacing w:after="160" w:before="240"/>
      </w:pPr>
      <w:r>
        <w:rPr>
          <w:rFonts w:ascii="Arial" w:cs="Arial" w:eastAsia="Arial" w:hAnsi="Arial"/>
          <w:b/>
          <w:bCs/>
          <w:color w:val="0B2E4F"/>
          <w:sz w:val="28"/>
          <w:szCs w:val="28"/>
        </w:rPr>
        <w:t xml:space="preserve">Document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00"/>
      </w:tblGrid>
      <w:tr>
        <w:trPr>
          <w:tblHeader/>
        </w:trPr>
        <w:tc>
          <w:tcPr>
            <w:tcW w:type="dxa" w:w="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Section</w:t>
            </w:r>
          </w:p>
        </w:tc>
        <w:tc>
          <w:tcPr>
            <w:tcW w:type="dxa" w:w="4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Content</w:t>
            </w:r>
          </w:p>
        </w:tc>
        <w:tc>
          <w:tcPr>
            <w:tcW w:type="dxa" w:w="36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Use For</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How to read this document</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Orient before reading further</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2</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Why a v2? The strategic question</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Understand the bet v1 is making</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3</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Alternative A — Product-Led Growth (PLG)</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Bottom-up, self-serve, free-tier-driven motion</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4</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Alternative B — Partner-Led / Channel-Led</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Agencies and accelerators as primary GTM</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5</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Alternative C — Founder-Led / Community-First</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CEO becomes the brand; community is the moat</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6</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Side-by-side comparison + decision framework</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Pick the right alternative for your stage</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7</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Tactical alternatives (swap individual v1 tactics)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Stay with v1 but swap specific tactics</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8</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Risk comparison across all four paths</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Understand failure modes</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9</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Hybrid approach — best of each</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If you want to combine elements</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10</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90-day execution plan per alternative</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Map the first quarter for each path</w:t>
            </w:r>
          </w:p>
        </w:tc>
      </w:tr>
      <w:tr>
        <w:tc>
          <w:tcPr>
            <w:tcW w:type="dxa" w:w="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11</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Updated KPI framework per alternative</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What success looks like for each bet</w:t>
            </w:r>
          </w:p>
        </w:tc>
      </w:tr>
      <w:tr>
        <w:tc>
          <w:tcPr>
            <w:tcW w:type="dxa" w:w="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12</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Final recommendation + decision tree</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What we'd advise given Dechub's current state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02</w:t>
            </w:r>
          </w:p>
          <w:p>
            <w:pPr>
              <w:spacing w:after="60" w:before="0"/>
            </w:pPr>
            <w:r>
              <w:rPr>
                <w:rFonts w:ascii="Arial" w:cs="Arial" w:eastAsia="Arial" w:hAnsi="Arial"/>
                <w:b/>
                <w:bCs/>
                <w:color w:val="FFFFFF"/>
                <w:sz w:val="32"/>
                <w:szCs w:val="32"/>
              </w:rPr>
              <w:t xml:space="preserve">Why a v2? The Strategic Question</w:t>
            </w:r>
          </w:p>
          <w:p>
            <w:pPr>
              <w:spacing w:after="0" w:before="0"/>
            </w:pPr>
            <w:r>
              <w:rPr>
                <w:rFonts w:ascii="Arial" w:cs="Arial" w:eastAsia="Arial" w:hAnsi="Arial"/>
                <w:i/>
                <w:iCs/>
                <w:color w:val="CBD5E1"/>
                <w:sz w:val="20"/>
                <w:szCs w:val="20"/>
              </w:rPr>
              <w:t xml:space="preserve">Understanding the bet v1 is making — and the alternatives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implicit bet inside v1</w:t>
      </w:r>
    </w:p>
    <w:p>
      <w:pPr>
        <w:spacing w:after="200" w:before="0"/>
        <w:jc w:val="left"/>
      </w:pPr>
      <w:r>
        <w:rPr>
          <w:rFonts w:ascii="Arial" w:cs="Arial" w:eastAsia="Arial" w:hAnsi="Arial"/>
          <w:b w:val="false"/>
          <w:bCs w:val="false"/>
          <w:i w:val="false"/>
          <w:iCs w:val="false"/>
          <w:color w:val="000000"/>
          <w:sz w:val="22"/>
          <w:szCs w:val="22"/>
        </w:rPr>
        <w:t xml:space="preserve">v1 is built around five implicit assumptions. None are wrong — but each is a bet. Understanding these bets is the first step to evaluating whether alternatives are worth considering.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Assumption</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v1 Bets On</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Could Go Wrong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Inbound-led growth works at Dechub's stage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SEO + content + paid will produce enough cheap MQLs to feed sales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EOR keywords are dominated by incumbents with deep content moats; CAC may stay stubbornly high</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outbound is the highest-leverage outbound</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HR Directors and CEOs are reachable and responsive on LinkedIn</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Inboxes are saturated; reply rates are declining 30%+ YoY across all of SaaS</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Webinars convert at scale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Monthly webinars will produce 200-500 registrants and 5-15% conversion to demos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Webinar fatigue is real; live attendance rates dropped from 40% to 15% post-2024</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The market wants what v1 is selling</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India-focused EOR positioning is enough differentiation to win</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'India-focused' is a feature, not a category — buyers may default to the brand they know (Deel)</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Dechub can outspend its way to category leadership</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$30K-$50K/mo can build sufficient brand presence to compete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Competitors outspend 50-100x; brand-first strategies usually lose to incumbents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strategic question, sharpened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80" w:before="0"/>
            </w:pPr>
            <w:r>
              <w:rPr>
                <w:rFonts w:ascii="Arial" w:cs="Arial" w:eastAsia="Arial" w:hAnsi="Arial"/>
                <w:b/>
                <w:bCs/>
                <w:color w:val="0B2E4F"/>
                <w:sz w:val="22"/>
                <w:szCs w:val="22"/>
              </w:rPr>
              <w:t xml:space="preserve">The Core Question</w:t>
            </w:r>
          </w:p>
          <w:p>
            <w:pPr>
              <w:spacing w:after="60" w:before="0"/>
            </w:pPr>
            <w:r>
              <w:rPr>
                <w:rFonts w:ascii="Arial" w:cs="Arial" w:eastAsia="Arial" w:hAnsi="Arial"/>
                <w:color w:val="000000"/>
                <w:sz w:val="20"/>
                <w:szCs w:val="20"/>
              </w:rPr>
              <w:t xml:space="preserve">Given that Dechub cannot outspend Deel and Remote, what is the asymmetric strategy that exploits their weaknesses?</w:t>
            </w:r>
          </w:p>
          <w:p>
            <w:pPr>
              <w:spacing w:after="60" w:before="0"/>
            </w:pPr>
            <w:r>
              <w:rPr>
                <w:rFonts w:ascii="Arial" w:cs="Arial" w:eastAsia="Arial" w:hAnsi="Arial"/>
                <w:b/>
                <w:bCs/>
                <w:i w:val="false"/>
                <w:iCs w:val="false"/>
                <w:color w:val="000000"/>
                <w:sz w:val="20"/>
                <w:szCs w:val="20"/>
              </w:rPr>
              <w:t xml:space="preserve">v1's answer: </w:t>
            </w:r>
            <w:r>
              <w:rPr>
                <w:rFonts w:ascii="Arial" w:cs="Arial" w:eastAsia="Arial" w:hAnsi="Arial"/>
                <w:b w:val="false"/>
                <w:bCs w:val="false"/>
                <w:i w:val="false"/>
                <w:iCs w:val="false"/>
                <w:color w:val="000000"/>
                <w:sz w:val="20"/>
                <w:szCs w:val="20"/>
              </w:rPr>
              <w:t xml:space="preserve">outwork them with better targeted inbound on India-focused queries, then layer on outbound and partnerships.</w:t>
            </w:r>
          </w:p>
          <w:p>
            <w:pPr>
              <w:spacing w:after="60" w:before="0"/>
            </w:pPr>
            <w:r>
              <w:rPr>
                <w:rFonts w:ascii="Arial" w:cs="Arial" w:eastAsia="Arial" w:hAnsi="Arial"/>
                <w:b/>
                <w:bCs/>
                <w:i w:val="false"/>
                <w:iCs w:val="false"/>
                <w:color w:val="000000"/>
                <w:sz w:val="20"/>
                <w:szCs w:val="20"/>
              </w:rPr>
              <w:t xml:space="preserve">v2's question: </w:t>
            </w:r>
            <w:r>
              <w:rPr>
                <w:rFonts w:ascii="Arial" w:cs="Arial" w:eastAsia="Arial" w:hAnsi="Arial"/>
                <w:b w:val="false"/>
                <w:bCs w:val="false"/>
                <w:i w:val="false"/>
                <w:iCs w:val="false"/>
                <w:color w:val="000000"/>
                <w:sz w:val="20"/>
                <w:szCs w:val="20"/>
              </w:rPr>
              <w:t xml:space="preserve">what other strategic motions exist, what are their tradeoffs, and which compound advantage faster?</w:t>
            </w:r>
          </w:p>
        </w:tc>
      </w:tr>
    </w:tbl>
    <w:p>
      <w:pPr>
        <w:spacing w:after="200" w:before="0"/>
      </w:pPr>
      <w:r>
        <w:t xml:space="preserve"/>
      </w:r>
    </w:p>
    <w:p>
      <w:pPr>
        <w:pStyle w:val="Heading2"/>
        <w:spacing w:after="160" w:before="240"/>
      </w:pPr>
      <w:r>
        <w:rPr>
          <w:rFonts w:ascii="Arial" w:cs="Arial" w:eastAsia="Arial" w:hAnsi="Arial"/>
          <w:b/>
          <w:bCs/>
          <w:color w:val="0B2E4F"/>
          <w:sz w:val="28"/>
          <w:szCs w:val="28"/>
        </w:rPr>
        <w:t xml:space="preserve">What competitors can't easily copy</w:t>
      </w:r>
    </w:p>
    <w:p>
      <w:pPr>
        <w:spacing w:after="150" w:before="0"/>
        <w:jc w:val="left"/>
      </w:pPr>
      <w:r>
        <w:rPr>
          <w:rFonts w:ascii="Arial" w:cs="Arial" w:eastAsia="Arial" w:hAnsi="Arial"/>
          <w:b w:val="false"/>
          <w:bCs w:val="false"/>
          <w:i w:val="false"/>
          <w:iCs w:val="false"/>
          <w:color w:val="000000"/>
          <w:sz w:val="22"/>
          <w:szCs w:val="22"/>
        </w:rPr>
        <w:t xml:space="preserve">An asymmetric strategy must exploit something competitors cannot replicate at speed. Dechub's structural advantages over Deel/Remote/Multiplier: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00"/>
      </w:tblGrid>
      <w:tr>
        <w:trPr>
          <w:tblHeader/>
        </w:trPr>
        <w:tc>
          <w:tcPr>
            <w:tcW w:type="dxa" w:w="2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Dechub Structural Advantage</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It's Hard to Copy</w:t>
            </w:r>
          </w:p>
        </w:tc>
        <w:tc>
          <w:tcPr>
            <w:tcW w:type="dxa" w:w="2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Strategic Implication</w:t>
            </w:r>
          </w:p>
        </w:tc>
      </w:tr>
      <w:tr>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India operational depth (on-the-ground, not just a node)</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Deel/Remote treat India as one of 150 countries; Dechub treats it as the core</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Position around India expertise, not generic EOR</w:t>
            </w:r>
          </w:p>
        </w:tc>
      </w:tr>
      <w:tr>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Founder is Indian + technically deep</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Western competitor founders lack credibility on India-specific compliance and culture</w:t>
            </w:r>
          </w:p>
        </w:tc>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Founder-led content has a permanent edge</w:t>
            </w:r>
          </w:p>
        </w:tc>
      </w:tr>
      <w:tr>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Lean cost structure (no $100M ARR to defend)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Incumbents have pricing power they can't relinquish without revenue impact</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Aggressive pricing and free tiers are viable for Dechub, not for them</w:t>
            </w:r>
          </w:p>
        </w:tc>
      </w:tr>
      <w:tr>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No legacy product to protect</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Incumbents protect existing flows; Dechub can ship product-led growth motions</w:t>
            </w:r>
          </w:p>
        </w:tc>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free tier is a credible threat to incumbent unit economics</w:t>
            </w:r>
          </w:p>
        </w:tc>
      </w:tr>
      <w:tr>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Direct relationships with Indian accelerators/IT hubs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Western competitors have no India-native channel partnerships</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Channel/partner-led GTM is structurally available</w:t>
            </w:r>
          </w:p>
        </w:tc>
      </w:tr>
      <w:tr>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Cultural fluency in Indian developer community</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Brand-building inside Indian dev communities is opaque to outsiders</w:t>
            </w:r>
          </w:p>
        </w:tc>
        <w:tc>
          <w:tcPr>
            <w:tcW w:type="dxa" w:w="2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Community-led growth in India developer ecosystem is winnable</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Three strategic alternatives derived from these advantages</w:t>
      </w:r>
    </w:p>
    <w:p>
      <w:pPr>
        <w:spacing w:after="200" w:before="0"/>
        <w:jc w:val="left"/>
      </w:pPr>
      <w:r>
        <w:rPr>
          <w:rFonts w:ascii="Arial" w:cs="Arial" w:eastAsia="Arial" w:hAnsi="Arial"/>
          <w:b w:val="false"/>
          <w:bCs w:val="false"/>
          <w:i w:val="false"/>
          <w:iCs w:val="false"/>
          <w:color w:val="000000"/>
          <w:sz w:val="22"/>
          <w:szCs w:val="22"/>
        </w:rPr>
        <w:t xml:space="preserve">Each of the next three sections describes a complete alternative GTM motion. They are not additive to v1 — they are different bets, each internally coherent. The decision framework in Section 6 helps you choose.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00"/>
      </w:tblGrid>
      <w:tr>
        <w:trPr>
          <w:tblHeader/>
        </w:trPr>
        <w:tc>
          <w:tcPr>
            <w:tcW w:type="dxa" w:w="26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Core Bet</w:t>
            </w:r>
          </w:p>
        </w:tc>
        <w:tc>
          <w:tcPr>
            <w:tcW w:type="dxa" w:w="2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Best Suited When</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A — Product-Led Growth</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Win bottom-up via free tier, viral product mechanics, and self-serve</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Product is genuinely self-serviceable; engineers and small teams can try value in &lt;15 min</w:t>
            </w:r>
          </w:p>
        </w:tc>
      </w:tr>
      <w:tr>
        <w:tc>
          <w:tcPr>
            <w:tcW w:type="dxa" w:w="2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B — Partner-Led / Channel-Led</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Recruit 50-100 agencies/accelerators as primary distribution; they sell, you fulfill</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Limited marketing budget; high-trust sales motion; partners control the relationship</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C — Founder-Led / Community-First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builds a 100K+ audience; community becomes the moat</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willing to commit 30%+ time to content; comfortable being the brand face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03</w:t>
            </w:r>
          </w:p>
          <w:p>
            <w:pPr>
              <w:spacing w:after="60" w:before="0"/>
            </w:pPr>
            <w:r>
              <w:rPr>
                <w:rFonts w:ascii="Arial" w:cs="Arial" w:eastAsia="Arial" w:hAnsi="Arial"/>
                <w:b/>
                <w:bCs/>
                <w:color w:val="FFFFFF"/>
                <w:sz w:val="32"/>
                <w:szCs w:val="32"/>
              </w:rPr>
              <w:t xml:space="preserve">Alternative A — Product-Led Growth (PLG)</w:t>
            </w:r>
          </w:p>
          <w:p>
            <w:pPr>
              <w:spacing w:after="0" w:before="0"/>
            </w:pPr>
            <w:r>
              <w:rPr>
                <w:rFonts w:ascii="Arial" w:cs="Arial" w:eastAsia="Arial" w:hAnsi="Arial"/>
                <w:i/>
                <w:iCs/>
                <w:color w:val="CBD5E1"/>
                <w:sz w:val="20"/>
                <w:szCs w:val="20"/>
              </w:rPr>
              <w:t xml:space="preserve">The Insurgent's Play: bottom-up, self-serve, free-tier-driven</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Strategic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60" w:before="0"/>
            </w:pPr>
            <w:r>
              <w:rPr>
                <w:rFonts w:ascii="Arial" w:cs="Arial" w:eastAsia="Arial" w:hAnsi="Arial"/>
                <w:b/>
                <w:bCs/>
                <w:i w:val="false"/>
                <w:iCs w:val="false"/>
                <w:color w:val="000000"/>
                <w:sz w:val="20"/>
                <w:szCs w:val="20"/>
              </w:rPr>
              <w:t xml:space="preserve">Bet: </w:t>
            </w:r>
            <w:r>
              <w:rPr>
                <w:rFonts w:ascii="Arial" w:cs="Arial" w:eastAsia="Arial" w:hAnsi="Arial"/>
                <w:b w:val="false"/>
                <w:bCs w:val="false"/>
                <w:i w:val="false"/>
                <w:iCs w:val="false"/>
                <w:color w:val="000000"/>
                <w:sz w:val="20"/>
                <w:szCs w:val="20"/>
              </w:rPr>
              <w:t xml:space="preserve">The buyer of cross-border hiring infrastructure has shifted from HR Director to engineering/founder. The decision-maker now wants to try the product, not book a demo. By making Dechub free for the first contractor and self-serviceable end-to-end, we win against demo-gated competitors with 100x our budget.</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Positioning Shift from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Dimension</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Positioning</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A Positioning</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Headline angle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'Hire globally, comply locally — your global HR department, already built'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'Hire your first international contractor in 10 minutes. Free.'</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Primary audience</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HR Manager, HR Director, COO</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CTO, engineering lead making their first international hire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Demo gate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Demo-first model — book a call to see the product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Self-serve signup — credit card optional, product visible immediately</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Pricing visible on site</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'Contact for pricing' or tiered enterprise quote</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Transparent pricing on homepage; free tier explicitly stated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Product complexity messaging</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Comprehensive enterprise EOR — payroll, HRMS, compliance, onboarding</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Start simple: pay one contractor, then expand into payroll, HRMS as needed</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Sales motion</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Sales-led with marketing creating leads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Product-led with sales activating high-intent self-serve users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Free Tier Mechanism</w:t>
      </w:r>
    </w:p>
    <w:p>
      <w:pPr>
        <w:spacing w:after="150" w:before="0"/>
        <w:jc w:val="left"/>
      </w:pPr>
      <w:r>
        <w:rPr>
          <w:rFonts w:ascii="Arial" w:cs="Arial" w:eastAsia="Arial" w:hAnsi="Arial"/>
          <w:b w:val="false"/>
          <w:bCs w:val="false"/>
          <w:i w:val="false"/>
          <w:iCs w:val="false"/>
          <w:color w:val="000000"/>
          <w:sz w:val="22"/>
          <w:szCs w:val="22"/>
        </w:rPr>
        <w:t xml:space="preserve">Free tier is the most important strategic decision in PLG. Too generous and you cannibalize revenue; too restrictive and there's no flywheel. The recommended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Free Tier Component</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Included Free</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Paid Trigger</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Contractor payments (USD/INR)</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First 1 contractor, unlimited months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2nd+ contractor on the platform</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Full-time EOR employees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included in free tier (legal liability)</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$199/employee/month flat (lower than Deel's $599)</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Compliance documentation</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Templates and self-serve generation</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Compliance audit / legal review = paid add-on</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HRMS basics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Employee profiles, time-off tracking, basic reporting</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Advanced workflows, custom approvals, analytics = paid</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Integrations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Slack + 1 other (Notion, Gmail)</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QuickBooks, Xero, Workday, etc. = paid</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Support</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Community + docs + AI chat</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Human support response in &lt;2hr = paid</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PLG Acquisition Channels (Replaces v1's Channel Mix)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Channel</w:t>
            </w:r>
          </w:p>
        </w:tc>
        <w:tc>
          <w:tcPr>
            <w:tcW w:type="dxa" w:w="3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Works for PLG</w:t>
            </w:r>
          </w:p>
        </w:tc>
        <w:tc>
          <w:tcPr>
            <w:tcW w:type="dxa" w:w="36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Approach</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SEO around 'how to hire'</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users research before signing up — they read</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 how-to guides per country/role; each ends with 'Try free' CTA</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Hacker News + Indie Hackers + Reddit</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Engineering audience; PLG-native communities</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posts honest case studies; Show HN launch; AMAs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Product Hunt launch</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SaaS launch motion; #1 of the day = 10K-30K signups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Plan as week-long campaign; pre-build email list of 2K+ for launch-day votes</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GitHub README mentions</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Engineers find tools via dependencies and READMEs</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Sponsor open-source projects with 'Powered by Dechub' attribution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Developer-targeted YouTube</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Engineering-led YouTube channels reach decision-makers</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Sponsor channels like Fireship, ThePrimeagen, Theo (~$2-5K/sponsorship)</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Twitter/X engineering circles</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Engineering leaders share tools they actually use</w:t>
            </w:r>
          </w:p>
        </w:tc>
        <w:tc>
          <w:tcPr>
            <w:tcW w:type="dxa" w:w="3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builds in public; ship product visibly weekly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(deprioritized vs v1)</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Less critical — HR Directors are not the primary buyer in PLG</w:t>
            </w:r>
          </w:p>
        </w:tc>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Ambient brand presence only; not the primary outbound channel</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Viral Mechanics Built into the Product</w:t>
      </w:r>
    </w:p>
    <w:p>
      <w:pPr>
        <w:spacing w:after="150" w:before="0"/>
        <w:jc w:val="left"/>
      </w:pPr>
      <w:r>
        <w:rPr>
          <w:rFonts w:ascii="Arial" w:cs="Arial" w:eastAsia="Arial" w:hAnsi="Arial"/>
          <w:b w:val="false"/>
          <w:bCs w:val="false"/>
          <w:i w:val="false"/>
          <w:iCs w:val="false"/>
          <w:color w:val="000000"/>
          <w:sz w:val="22"/>
          <w:szCs w:val="22"/>
        </w:rPr>
        <w:t xml:space="preserve">PLG without virality is just self-serve sales. The product must create natural sharing moments. Specific mechanics to build into Dechub:</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Invite-to-pay flow: </w:t>
      </w:r>
      <w:r>
        <w:rPr>
          <w:rFonts w:ascii="Arial" w:cs="Arial" w:eastAsia="Arial" w:hAnsi="Arial"/>
          <w:b w:val="false"/>
          <w:bCs w:val="false"/>
          <w:i w:val="false"/>
          <w:iCs w:val="false"/>
          <w:color w:val="000000"/>
          <w:sz w:val="20"/>
          <w:szCs w:val="20"/>
        </w:rPr>
        <w:t xml:space="preserve">When a founder hires their first contractor, the contractor receives a co-branded onboarding email from Dechub with a 'Refer your friend's company' link.</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Compliance certificate sharing: </w:t>
      </w:r>
      <w:r>
        <w:rPr>
          <w:rFonts w:ascii="Arial" w:cs="Arial" w:eastAsia="Arial" w:hAnsi="Arial"/>
          <w:b w:val="false"/>
          <w:bCs w:val="false"/>
          <w:i w:val="false"/>
          <w:iCs w:val="false"/>
          <w:color w:val="000000"/>
          <w:sz w:val="20"/>
          <w:szCs w:val="20"/>
        </w:rPr>
        <w:t xml:space="preserve">Every compliance document includes 'Generated by Dechub' attribution, visible when shared internally at the customer's company.</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Public 'who we hired' wall: </w:t>
      </w:r>
      <w:r>
        <w:rPr>
          <w:rFonts w:ascii="Arial" w:cs="Arial" w:eastAsia="Arial" w:hAnsi="Arial"/>
          <w:b w:val="false"/>
          <w:bCs w:val="false"/>
          <w:i w:val="false"/>
          <w:iCs w:val="false"/>
          <w:color w:val="000000"/>
          <w:sz w:val="20"/>
          <w:szCs w:val="20"/>
        </w:rPr>
        <w:t xml:space="preserve">Customers can opt-in to a public showcase of who they hired through Dechub (anonymized; useful for SEO + recruitment marketing for them).</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Referral credits: </w:t>
      </w:r>
      <w:r>
        <w:rPr>
          <w:rFonts w:ascii="Arial" w:cs="Arial" w:eastAsia="Arial" w:hAnsi="Arial"/>
          <w:b w:val="false"/>
          <w:bCs w:val="false"/>
          <w:i w:val="false"/>
          <w:iCs w:val="false"/>
          <w:color w:val="000000"/>
          <w:sz w:val="20"/>
          <w:szCs w:val="20"/>
        </w:rPr>
        <w:t xml:space="preserve">Free month for each company a customer refers, stacking up to 12 months free.</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Affiliate program for advisors: </w:t>
      </w:r>
      <w:r>
        <w:rPr>
          <w:rFonts w:ascii="Arial" w:cs="Arial" w:eastAsia="Arial" w:hAnsi="Arial"/>
          <w:b w:val="false"/>
          <w:bCs w:val="false"/>
          <w:i w:val="false"/>
          <w:iCs w:val="false"/>
          <w:color w:val="000000"/>
          <w:sz w:val="20"/>
          <w:szCs w:val="20"/>
        </w:rPr>
        <w:t xml:space="preserve">Startup advisors, accelerators, and HR consultants get 20% rev share for 12 months on every referred customer.</w:t>
      </w:r>
    </w:p>
    <w:p>
      <w:pPr>
        <w:spacing w:after="180" w:before="0"/>
      </w:pPr>
      <w:r>
        <w:t xml:space="preserve"/>
      </w:r>
    </w:p>
    <w:p>
      <w:pPr>
        <w:pStyle w:val="Heading2"/>
        <w:spacing w:after="160" w:before="240"/>
      </w:pPr>
      <w:r>
        <w:rPr>
          <w:rFonts w:ascii="Arial" w:cs="Arial" w:eastAsia="Arial" w:hAnsi="Arial"/>
          <w:b/>
          <w:bCs/>
          <w:color w:val="0B2E4F"/>
          <w:sz w:val="28"/>
          <w:szCs w:val="28"/>
        </w:rPr>
        <w:t xml:space="preserve">Metrics that Replace v1's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2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Target (Month 12)</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A Target (Month 12)</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Self-serve signups / month</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2,000-5,000</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Free-to-paid conversion rate</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3-7% (PLG industry benchmark)</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Time to first 'aha' moment</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&lt;10 minutes (signup to first hire created)</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MQLs / month</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Deprioritized — PLG measures qualified product leads (PQLs)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PQLs / month (high-intent product users)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200-500</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Demo requests / month</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100-200</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30-80 (only high-intent self-serve users escalate)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Paid customers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50-75</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150-300 (smaller ACV, higher volume)</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ACV (annual contract value)</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~$8K-$15K</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~$2K-$5K (lower, but compounds)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Total ARR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$500K-$1M</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$400K-$1.2M (lower per-customer, more customers)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CAC blended</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$600-$900</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$80-$250 (organic + viral dominates)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Payback period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9-15 months</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3-7 months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LTV:CAC</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8:1 to 15:1</w:t>
            </w:r>
          </w:p>
        </w:tc>
      </w:tr>
    </w:tbl>
    <w:p>
      <w:pPr>
        <w:spacing w:after="200" w:before="0"/>
      </w:pPr>
      <w:r>
        <w:t xml:space="preserve"/>
      </w:r>
    </w:p>
    <w:p>
      <w:pPr>
        <w:pStyle w:val="Heading2"/>
        <w:spacing w:after="160" w:before="240"/>
      </w:pPr>
      <w:r>
        <w:rPr>
          <w:rFonts w:ascii="Arial" w:cs="Arial" w:eastAsia="Arial" w:hAnsi="Arial"/>
          <w:b/>
          <w:bCs/>
          <w:color w:val="0B2E4F"/>
          <w:sz w:val="28"/>
          <w:szCs w:val="28"/>
        </w:rPr>
        <w:t xml:space="preserve">Budget Reallocation under Alternative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W w:type="dxa" w:w="2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Category</w:t>
            </w:r>
          </w:p>
        </w:tc>
        <w:tc>
          <w:tcPr>
            <w:tcW w:type="dxa" w:w="2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Allocation (Month)</w:t>
            </w:r>
          </w:p>
        </w:tc>
        <w:tc>
          <w:tcPr>
            <w:tcW w:type="dxa" w:w="2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A Allocation (Month)</w:t>
            </w:r>
          </w:p>
        </w:tc>
        <w:tc>
          <w:tcPr>
            <w:tcW w:type="dxa" w:w="2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the Shift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Paid ads (Google + LinkedIn)</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$6,000-$11,000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$2,000-$4,000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Less critical when self-serve traffic dominates</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Content + SEO</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$1,500-$5,000</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$5,000-$8,000</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depends on high-volume how-to + bottom-of-funnel content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Engineering for product growth features</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 in marketing budget (separate)</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$5,000-$10,000 (charged to marketing)</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Viral mechanics, onboarding optimization, in-app messaging</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Developer relations / community</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$3,000-$6,000</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Sponsor channels, conference talks, dev community presence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outreach</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$1,500-$3,000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$0-$1,000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Deprioritized — sales activates self-serve users</w:t>
            </w:r>
          </w:p>
        </w:tc>
      </w:tr>
      <w:tr>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Webinars</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$2,000-$3,000</w:t>
            </w:r>
          </w:p>
        </w:tc>
        <w:tc>
          <w:tcPr>
            <w:tcW w:type="dxa" w:w="2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$500-$1,000</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Less central; replaced by async content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Total marketing spend / mo</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$6,000-$30,000</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$15,500-$30,000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Similar total; different allocation</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Risks Specific to Alternative 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Risk</w:t>
            </w:r>
          </w:p>
        </w:tc>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Probability</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Mitigation</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Product isn't ready for self-serve (too many edge cases)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Audit current onboarding flow; identify what breaks without sales involvement</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Free tier cannibalizes paid revenue</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Carefully gate features (2+ contractors triggers paid); monitor cohort behavior</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EOR is too complex for true self-serve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for full-time EOR; low for contractors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Restrict free tier to contractors; EOR stays sales-assisted</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Compliance risk from un-vetted customers</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Identity verification required at signup; KYC before payments</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Lower ACV reduces ability to fund sales team</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companies need fewer sales reps; reallocate budget to product</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Free users never convert</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Aggressive activation onboarding; expansion triggers at usage thresholds</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When Alternative A is the Right Choice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4"/>
              <w:left w:val="single" w:color="15803D" w:sz="18"/>
              <w:bottom w:val="single" w:color="15803D" w:sz="4"/>
              <w:right w:val="single" w:color="15803D" w:sz="4"/>
            </w:tcBorders>
            <w:shd w:fill="ECFDF5" w:color="auto" w:val="clear"/>
            <w:tcMar>
              <w:top w:type="dxa" w:w="200"/>
              <w:left w:type="dxa" w:w="240"/>
              <w:bottom w:type="dxa" w:w="200"/>
              <w:right w:type="dxa" w:w="200"/>
            </w:tcMar>
          </w:tcPr>
          <w:p>
            <w:pPr>
              <w:spacing w:after="80" w:before="0"/>
            </w:pPr>
            <w:r>
              <w:rPr>
                <w:rFonts w:ascii="Arial" w:cs="Arial" w:eastAsia="Arial" w:hAnsi="Arial"/>
                <w:b/>
                <w:bCs/>
                <w:color w:val="14532D"/>
                <w:sz w:val="22"/>
                <w:szCs w:val="22"/>
              </w:rPr>
              <w:t xml:space="preserve">Choose Alternative A when:</w:t>
            </w:r>
          </w:p>
          <w:p>
            <w:pPr>
              <w:spacing w:after="60" w:before="0"/>
            </w:pPr>
            <w:r>
              <w:rPr>
                <w:rFonts w:ascii="Arial" w:cs="Arial" w:eastAsia="Arial" w:hAnsi="Arial"/>
                <w:color w:val="000000"/>
                <w:sz w:val="20"/>
                <w:szCs w:val="20"/>
              </w:rPr>
              <w:t xml:space="preserve">→ Founder is willing to delay 6-9 months while engineering builds self-serve flows</w:t>
            </w:r>
          </w:p>
          <w:p>
            <w:pPr>
              <w:spacing w:after="60" w:before="0"/>
            </w:pPr>
            <w:r>
              <w:rPr>
                <w:rFonts w:ascii="Arial" w:cs="Arial" w:eastAsia="Arial" w:hAnsi="Arial"/>
                <w:color w:val="000000"/>
                <w:sz w:val="20"/>
                <w:szCs w:val="20"/>
              </w:rPr>
              <w:t xml:space="preserve">→ Product can deliver real value within 10 minutes of signup</w:t>
            </w:r>
          </w:p>
          <w:p>
            <w:pPr>
              <w:spacing w:after="60" w:before="0"/>
            </w:pPr>
            <w:r>
              <w:rPr>
                <w:rFonts w:ascii="Arial" w:cs="Arial" w:eastAsia="Arial" w:hAnsi="Arial"/>
                <w:color w:val="000000"/>
                <w:sz w:val="20"/>
                <w:szCs w:val="20"/>
              </w:rPr>
              <w:t xml:space="preserve">→ Long-term bet is to be the 'Stripe of cross-border hiring' — infrastructure-led</w:t>
            </w:r>
          </w:p>
          <w:p>
            <w:pPr>
              <w:spacing w:after="60" w:before="0"/>
            </w:pPr>
            <w:r>
              <w:rPr>
                <w:rFonts w:ascii="Arial" w:cs="Arial" w:eastAsia="Arial" w:hAnsi="Arial"/>
                <w:color w:val="000000"/>
                <w:sz w:val="20"/>
                <w:szCs w:val="20"/>
              </w:rPr>
              <w:t xml:space="preserve">→ Comfortable with lower ACVs in exchange for higher volume and lower CAC</w:t>
            </w:r>
          </w:p>
          <w:p>
            <w:pPr>
              <w:spacing w:after="60" w:before="0"/>
            </w:pPr>
            <w:r>
              <w:rPr>
                <w:rFonts w:ascii="Arial" w:cs="Arial" w:eastAsia="Arial" w:hAnsi="Arial"/>
                <w:color w:val="000000"/>
                <w:sz w:val="20"/>
                <w:szCs w:val="20"/>
              </w:rPr>
              <w:t xml:space="preserve">→ Engineering team has bandwidth to ship product-led features (in-app messaging, onboarding optimization, billing automation)</w:t>
            </w:r>
          </w:p>
          <w:p>
            <w:pPr>
              <w:spacing w:after="60" w:before="0"/>
            </w:pPr>
            <w:r>
              <w:rPr>
                <w:rFonts w:ascii="Arial" w:cs="Arial" w:eastAsia="Arial" w:hAnsi="Arial"/>
                <w:color w:val="000000"/>
                <w:sz w:val="20"/>
                <w:szCs w:val="20"/>
              </w:rPr>
              <w:t xml:space="preserve">→ Willing to deprioritize enterprise sales in Year 1 to win SMB and startups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04</w:t>
            </w:r>
          </w:p>
          <w:p>
            <w:pPr>
              <w:spacing w:after="60" w:before="0"/>
            </w:pPr>
            <w:r>
              <w:rPr>
                <w:rFonts w:ascii="Arial" w:cs="Arial" w:eastAsia="Arial" w:hAnsi="Arial"/>
                <w:b/>
                <w:bCs/>
                <w:color w:val="FFFFFF"/>
                <w:sz w:val="32"/>
                <w:szCs w:val="32"/>
              </w:rPr>
              <w:t xml:space="preserve">Alternative B — Partner-Led / Channel-Led</w:t>
            </w:r>
          </w:p>
          <w:p>
            <w:pPr>
              <w:spacing w:after="0" w:before="0"/>
            </w:pPr>
            <w:r>
              <w:rPr>
                <w:rFonts w:ascii="Arial" w:cs="Arial" w:eastAsia="Arial" w:hAnsi="Arial"/>
                <w:i/>
                <w:iCs/>
                <w:color w:val="CBD5E1"/>
                <w:sz w:val="20"/>
                <w:szCs w:val="20"/>
              </w:rPr>
              <w:t xml:space="preserve">The Multiplier's Play: agencies and accelerators are the GTM</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Strategic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60" w:before="0"/>
            </w:pPr>
            <w:r>
              <w:rPr>
                <w:rFonts w:ascii="Arial" w:cs="Arial" w:eastAsia="Arial" w:hAnsi="Arial"/>
                <w:b/>
                <w:bCs/>
                <w:i w:val="false"/>
                <w:iCs w:val="false"/>
                <w:color w:val="000000"/>
                <w:sz w:val="20"/>
                <w:szCs w:val="20"/>
              </w:rPr>
              <w:t xml:space="preserve">Bet: </w:t>
            </w:r>
            <w:r>
              <w:rPr>
                <w:rFonts w:ascii="Arial" w:cs="Arial" w:eastAsia="Arial" w:hAnsi="Arial"/>
                <w:b w:val="false"/>
                <w:bCs w:val="false"/>
                <w:i w:val="false"/>
                <w:iCs w:val="false"/>
                <w:color w:val="000000"/>
                <w:sz w:val="20"/>
                <w:szCs w:val="20"/>
              </w:rPr>
              <w:t xml:space="preserve">Instead of acquiring 500 individual customers with marketing, recruit 50 partners who each bring 10-20 customers. Partners (recruitment agencies, accelerators, HR consultants, IT staffing firms) already own the trust relationship with our ICP. We sell to partners, partners sell to customers. Trade direct customer relationship for distribution leverage.</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Positioning Shift from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Dimension</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Positioning</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B Positioning</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Headline angle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Direct-to-customer EOR for global hiring</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The EOR infrastructure that powers leading agencies and accelerators</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Primary audience</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End buyers — HR Directors, founders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Channel partners — agency owners, accelerator program directors, recruitment firm CEOs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Demo motion</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Customer books demo → sales sells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co-pitches with sales; or partner sells, sales fulfills</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Brand visibility</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Dechub is the brand the customer sees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Dechub is often white-labeled or co-branded under the partner</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Marketing investment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 demand gen (SEO, ads, content)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enablement (training, co-marketing, sales collateral)</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Sales model</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 outbound by SDRs/AEs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success managers + channel sales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Partner Ecosystem to Build</w:t>
      </w:r>
    </w:p>
    <w:p>
      <w:pPr>
        <w:spacing w:after="150" w:before="0"/>
        <w:jc w:val="left"/>
      </w:pPr>
      <w:r>
        <w:rPr>
          <w:rFonts w:ascii="Arial" w:cs="Arial" w:eastAsia="Arial" w:hAnsi="Arial"/>
          <w:b w:val="false"/>
          <w:bCs w:val="false"/>
          <w:i w:val="false"/>
          <w:iCs w:val="false"/>
          <w:color w:val="000000"/>
          <w:sz w:val="22"/>
          <w:szCs w:val="22"/>
        </w:rPr>
        <w:t xml:space="preserve">Five partner types, ranked by leverage and effort to recruit: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800"/>
        <w:gridCol w:w="2100"/>
      </w:tblGrid>
      <w:tr>
        <w:trPr>
          <w:tblHeader/>
        </w:trPr>
        <w:tc>
          <w:tcPr>
            <w:tcW w:type="dxa" w:w="2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Partner Type</w:t>
            </w:r>
          </w:p>
        </w:tc>
        <w:tc>
          <w:tcPr>
            <w:tcW w:type="dxa" w:w="2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They're Valuable</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Leverage (each partner =)</w:t>
            </w:r>
          </w:p>
        </w:tc>
        <w:tc>
          <w:tcPr>
            <w:tcW w:type="dxa" w:w="21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Effort to Recruit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Recruitment / Staffing Agencies (India-focused)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Already place Indian talent at US/EU companies; EOR is natural attach</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10-30 customers/yr</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needs revenue share + co-branding</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Startup Accelerators (YC, Antler, 500 Global, Techstars)</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Their portfolio companies all hire internationally; preferred-vendor status = huge</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20-100 customers/yr</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needs deep relationship + portfolio-specific pricing</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HR Consultants / Fractional CHROs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Trusted advisors to mid-market companies on HR infrastructure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3-10 customers/yr</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referral program is enough</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IT Outsourcing Firms (India-based, billing US clients)</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Already manage Indian developer teams; want EOR for client embeds</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5-25 customers/yr</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needs technical integration support</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Payroll / Accounting Firms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Adjacent service; cross-sell EOR to their existing client books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2-8 customers/yr</w:t>
            </w:r>
          </w:p>
        </w:tc>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Low-medium — standard reseller agreement</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Tax &amp; Legal Firms (cross-border specialists)</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Already advise on cross-border hiring; refer when client gets serious</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3-12 customers/yr</w:t>
            </w:r>
          </w:p>
        </w:tc>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referral fee only</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Partner Tier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2900"/>
      </w:tblGrid>
      <w:tr>
        <w:trPr>
          <w:tblHeader/>
        </w:trPr>
        <w:tc>
          <w:tcPr>
            <w:tcW w:type="dxa" w:w="21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Tier</w:t>
            </w:r>
          </w:p>
        </w:tc>
        <w:tc>
          <w:tcPr>
            <w:tcW w:type="dxa" w:w="2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Definition</w:t>
            </w:r>
          </w:p>
        </w:tc>
        <w:tc>
          <w:tcPr>
            <w:tcW w:type="dxa" w:w="2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Revenue Model</w:t>
            </w:r>
          </w:p>
        </w:tc>
        <w:tc>
          <w:tcPr>
            <w:tcW w:type="dxa" w:w="2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Dechub Investment</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Referral Partner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Any consultant/agency that occasionally refers a customer</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 of MRR for 12 months on each referred customer</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Self-service portal; sales collateral; minimal hand-holding</w:t>
            </w:r>
          </w:p>
        </w:tc>
      </w:tr>
      <w:t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Reseller Partner</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Agencies that actively pitch Dechub to multiple clients (3+/quarter)</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 rev share; co-branded materials; dedicated PSM</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success manager; quarterly business reviews; joint marketing budget</w:t>
            </w:r>
          </w:p>
        </w:tc>
      </w:tr>
      <w:tr>
        <w:tc>
          <w:tcPr>
            <w:tcW w:type="dxa" w:w="2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Strategic Partner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Top 5-10 partners — exclusive territory or vertical agreements</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25-30% rev share; deep integration; co-marketing investment</w:t>
            </w:r>
          </w:p>
        </w:tc>
        <w:tc>
          <w:tcPr>
            <w:tcW w:type="dxa" w:w="2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Executive sponsor; product roadmap input; joint events; PR co-investment</w:t>
            </w:r>
          </w:p>
        </w:tc>
      </w:tr>
      <w:tr>
        <w:tc>
          <w:tcPr>
            <w:tcW w:type="dxa" w:w="21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i w:val="false"/>
                <w:iCs w:val="false"/>
                <w:color w:val="0B2E4F"/>
                <w:sz w:val="18"/>
                <w:szCs w:val="18"/>
              </w:rPr>
              <w:t xml:space="preserve">White-Label Partner</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sells under their own brand, Dechub fulfills infrastructure</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40-50% of revenue retained by Dechub; partner keeps brand+customer</w:t>
            </w:r>
          </w:p>
        </w:tc>
        <w:tc>
          <w:tcPr>
            <w:tcW w:type="dxa" w:w="2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Full white-label setup; partner-specific compliance; tier-2 support model</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Partner Acquisition Funnel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1800"/>
        <w:gridCol w:w="2000"/>
      </w:tblGrid>
      <w:tr>
        <w:trPr>
          <w:tblHeader/>
        </w:trPr>
        <w:tc>
          <w:tcPr>
            <w:tcW w:type="dxa" w:w="1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Stage</w:t>
            </w:r>
          </w:p>
        </w:tc>
        <w:tc>
          <w:tcPr>
            <w:tcW w:type="dxa" w:w="3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Activity</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Conversion</w:t>
            </w:r>
          </w:p>
        </w:tc>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Volume Target (Year 1)</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Identification</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target list of 500 partners across the 6 categories above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 partners identified</w:t>
            </w:r>
          </w:p>
        </w:tc>
      </w:tr>
      <w:tr>
        <w:tc>
          <w:tcPr>
            <w:tcW w:type="dxa" w:w="1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Outreach</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Founder-led outreach via LinkedIn; warm intros via existing network</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 response rate</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 partner conversations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Qualification</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Discovery call — fit, customer base, willingness to refer</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 qualify</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 qualified partners</w:t>
            </w:r>
          </w:p>
        </w:tc>
      </w:tr>
      <w:tr>
        <w:tc>
          <w:tcPr>
            <w:tcW w:type="dxa" w:w="1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Enablement</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Onboarding session, sales training, materials, portal access</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 activate (close 1+ deal in 90 days)</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 active partners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Scale</w:t>
            </w:r>
          </w:p>
        </w:tc>
        <w:tc>
          <w:tcPr>
            <w:tcW w:type="dxa" w:w="3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Active partners producing 5+ referrals/year; tier upgrades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 reach Reseller tier</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 Reseller partners + 18 Referral partners</w:t>
            </w:r>
          </w:p>
        </w:tc>
      </w:tr>
      <w:tr>
        <w:tc>
          <w:tcPr>
            <w:tcW w:type="dxa" w:w="1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Strategic</w:t>
            </w:r>
          </w:p>
        </w:tc>
        <w:tc>
          <w:tcPr>
            <w:tcW w:type="dxa" w:w="3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Top 5-10 become Strategic or White-Label</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 Strategic partners by end of Year 1</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Marketing Investment Shifts to Partner Enablement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Investment Area</w:t>
            </w:r>
          </w:p>
        </w:tc>
        <w:tc>
          <w:tcPr>
            <w:tcW w:type="dxa" w:w="6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Matters in Partner-Led GTM</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 portal (purpose-built)</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Single source of truth for partner training, deal registration, collateral, commission tracking. Build in-house or use PartnerStack/Allbound.</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Co-branded sales collateral</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Every partner gets a co-branded deck, one-pager, ROI calculator they can hand to prospects. Partner success depends on this.</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Joint webinars</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Replace v1's brand-led webinars with 2-3 joint webinars per month, each co-hosted with a partner. Partner brings audience; Dechub brings expertise.</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Partner-specific content</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Each partner type gets dedicated content (e.g., 'EOR Cheat Sheet for Recruitment Agencies', 'Antler Portfolio Hiring Guide').</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Quarterly partner summits</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Bring top partners together quarterly (virtual or in-person). Becomes a recurring relationship investment.</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 Marketing Development Funds (MDF)</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Top-tier partners get co-marketing budget — $5K-$15K/quarter — for joint campaigns they execute.</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Public partner directory</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a public directory on dechub.com showing all active partners; doubles as social proof + SEO + lead gen for partners.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Metrics that Replace v1's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2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Target (Month 12)</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B Target (Month 12)</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Direct MQLs / month</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Deprioritized — partner-sourced leads are primary</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Partner-sourced leads / month</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100-250</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Active partners producing &gt;1 deal/quarter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30-50</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 revenue from partner channel</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10-20% (v1's referral program)</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60-80%</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Avg deals per active partner / quarter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2-5</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 Net Promoter Score (PNPS)</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&gt;40</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CAC (blended)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$600-$900</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 (partner CAC much lower)</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Sales team size needed</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5-10 SDRs + AEs</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3-5 partner success managers + 2 AEs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Total ARR</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$500K-$1M</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$800K-$1.5M (partner leverage drives more volume)</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Risks Specific to Alternative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Risk</w:t>
            </w:r>
          </w:p>
        </w:tc>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Probability</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Mitigation</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Partners under-perform or never activate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(industry baseline: 80% of recruited partners don't deliver)</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Aggressive enablement; clear activation metrics; deactivate non-performers fast</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 conflicts (multiple partners chasing same customer)</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Deal registration system from day 1; clear territory or vertical rules</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Partners commoditize Dechub (race to the bottom on pricing)</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MAP (minimum advertised price) policy; tier-up requires customer success metrics</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Dependency on a few large partners</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Medium-High</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Diversify — no single partner &gt;25% of partner revenue</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Strategic partners eventually build/buy their own EOR</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Low-Medium (especially for large accelerators)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Deep integration creates switching cost; long-term contracts; relationship investment</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Loss of brand control (partner positions Dechub poorly)</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Brand guidelines mandatory for co-marketing; spot-check partner materials</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When Alternative B is the Right Choice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4"/>
              <w:left w:val="single" w:color="15803D" w:sz="18"/>
              <w:bottom w:val="single" w:color="15803D" w:sz="4"/>
              <w:right w:val="single" w:color="15803D" w:sz="4"/>
            </w:tcBorders>
            <w:shd w:fill="ECFDF5" w:color="auto" w:val="clear"/>
            <w:tcMar>
              <w:top w:type="dxa" w:w="200"/>
              <w:left w:type="dxa" w:w="240"/>
              <w:bottom w:type="dxa" w:w="200"/>
              <w:right w:type="dxa" w:w="200"/>
            </w:tcMar>
          </w:tcPr>
          <w:p>
            <w:pPr>
              <w:spacing w:after="80" w:before="0"/>
            </w:pPr>
            <w:r>
              <w:rPr>
                <w:rFonts w:ascii="Arial" w:cs="Arial" w:eastAsia="Arial" w:hAnsi="Arial"/>
                <w:b/>
                <w:bCs/>
                <w:color w:val="14532D"/>
                <w:sz w:val="22"/>
                <w:szCs w:val="22"/>
              </w:rPr>
              <w:t xml:space="preserve">Choose Alternative B when:</w:t>
            </w:r>
          </w:p>
          <w:p>
            <w:pPr>
              <w:spacing w:after="60" w:before="0"/>
            </w:pPr>
            <w:r>
              <w:rPr>
                <w:rFonts w:ascii="Arial" w:cs="Arial" w:eastAsia="Arial" w:hAnsi="Arial"/>
                <w:color w:val="000000"/>
                <w:sz w:val="20"/>
                <w:szCs w:val="20"/>
              </w:rPr>
              <w:t xml:space="preserve">→ Founder has strong existing network of agency/accelerator relationships to leverage</w:t>
            </w:r>
          </w:p>
          <w:p>
            <w:pPr>
              <w:spacing w:after="60" w:before="0"/>
            </w:pPr>
            <w:r>
              <w:rPr>
                <w:rFonts w:ascii="Arial" w:cs="Arial" w:eastAsia="Arial" w:hAnsi="Arial"/>
                <w:color w:val="000000"/>
                <w:sz w:val="20"/>
                <w:szCs w:val="20"/>
              </w:rPr>
              <w:t xml:space="preserve">→ Marketing budget is constrained ($10K-$15K/mo) and direct ads are economically tough</w:t>
            </w:r>
          </w:p>
          <w:p>
            <w:pPr>
              <w:spacing w:after="60" w:before="0"/>
            </w:pPr>
            <w:r>
              <w:rPr>
                <w:rFonts w:ascii="Arial" w:cs="Arial" w:eastAsia="Arial" w:hAnsi="Arial"/>
                <w:color w:val="000000"/>
                <w:sz w:val="20"/>
                <w:szCs w:val="20"/>
              </w:rPr>
              <w:t xml:space="preserve">→ Sales motion is consultative and high-touch (partners do the discovery work)</w:t>
            </w:r>
          </w:p>
          <w:p>
            <w:pPr>
              <w:spacing w:after="60" w:before="0"/>
            </w:pPr>
            <w:r>
              <w:rPr>
                <w:rFonts w:ascii="Arial" w:cs="Arial" w:eastAsia="Arial" w:hAnsi="Arial"/>
                <w:color w:val="000000"/>
                <w:sz w:val="20"/>
                <w:szCs w:val="20"/>
              </w:rPr>
              <w:t xml:space="preserve">→ Willing to give up 20-30% of revenue in exchange for distribution leverage</w:t>
            </w:r>
          </w:p>
          <w:p>
            <w:pPr>
              <w:spacing w:after="60" w:before="0"/>
            </w:pPr>
            <w:r>
              <w:rPr>
                <w:rFonts w:ascii="Arial" w:cs="Arial" w:eastAsia="Arial" w:hAnsi="Arial"/>
                <w:color w:val="000000"/>
                <w:sz w:val="20"/>
                <w:szCs w:val="20"/>
              </w:rPr>
              <w:t xml:space="preserve">→ Product/service complexity means trust is more valuable than awareness</w:t>
            </w:r>
          </w:p>
          <w:p>
            <w:pPr>
              <w:spacing w:after="60" w:before="0"/>
            </w:pPr>
            <w:r>
              <w:rPr>
                <w:rFonts w:ascii="Arial" w:cs="Arial" w:eastAsia="Arial" w:hAnsi="Arial"/>
                <w:color w:val="000000"/>
                <w:sz w:val="20"/>
                <w:szCs w:val="20"/>
              </w:rPr>
              <w:t xml:space="preserve">→ Long-term moat is the partner ecosystem itself (network effect on the supply side)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05</w:t>
            </w:r>
          </w:p>
          <w:p>
            <w:pPr>
              <w:spacing w:after="60" w:before="0"/>
            </w:pPr>
            <w:r>
              <w:rPr>
                <w:rFonts w:ascii="Arial" w:cs="Arial" w:eastAsia="Arial" w:hAnsi="Arial"/>
                <w:b/>
                <w:bCs/>
                <w:color w:val="FFFFFF"/>
                <w:sz w:val="32"/>
                <w:szCs w:val="32"/>
              </w:rPr>
              <w:t xml:space="preserve">Alternative C — Founder-Led / Community-First</w:t>
            </w:r>
          </w:p>
          <w:p>
            <w:pPr>
              <w:spacing w:after="0" w:before="0"/>
            </w:pPr>
            <w:r>
              <w:rPr>
                <w:rFonts w:ascii="Arial" w:cs="Arial" w:eastAsia="Arial" w:hAnsi="Arial"/>
                <w:i/>
                <w:iCs/>
                <w:color w:val="CBD5E1"/>
                <w:sz w:val="20"/>
                <w:szCs w:val="20"/>
              </w:rPr>
              <w:t xml:space="preserve">The Authority Play: founder is the brand; community is the moat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Strategic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60" w:before="0"/>
            </w:pPr>
            <w:r>
              <w:rPr>
                <w:rFonts w:ascii="Arial" w:cs="Arial" w:eastAsia="Arial" w:hAnsi="Arial"/>
                <w:b/>
                <w:bCs/>
                <w:i w:val="false"/>
                <w:iCs w:val="false"/>
                <w:color w:val="000000"/>
                <w:sz w:val="20"/>
                <w:szCs w:val="20"/>
              </w:rPr>
              <w:t xml:space="preserve">Bet: </w:t>
            </w:r>
            <w:r>
              <w:rPr>
                <w:rFonts w:ascii="Arial" w:cs="Arial" w:eastAsia="Arial" w:hAnsi="Arial"/>
                <w:b w:val="false"/>
                <w:bCs w:val="false"/>
                <w:i w:val="false"/>
                <w:iCs w:val="false"/>
                <w:color w:val="000000"/>
                <w:sz w:val="20"/>
                <w:szCs w:val="20"/>
              </w:rPr>
              <w:t xml:space="preserve">Trust in B2B SaaS is increasingly trust in people, not companies. Founders who build a 50K-100K+ audience around cross-border hiring become the default answer when their audience needs the product. Dechub's founder is structurally well-positioned (Indian + technical + cross-border experience). 18-24 months of disciplined content production becomes a permanent distribution moat.</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Positioning Shift from v1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Dimension</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Positioning</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C Positioning</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Brand surface area</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Dechub the company is the brand</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is 60% of the brand; Dechub is the product they happen to ship</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Content voice</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Corporate marketing voice — third person, polished</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voice — first person, opinionated, sometimes vulnerable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content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Company page posts + occasional founder content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Daily founder posts; company page is a satellite, not the hub</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Thought leadership topics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Generic HR Tech topics (compliance, payroll, EOR basics)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Founder's specific POV on cross-border hiring, India ecosystem, immigration trends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Distribution model</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Owned channels + paid ads + earned media</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Founder's personal channels (newsletter, LinkedIn, X, podcast) are primary</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Sales motion</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SDR-led outbound + inbound demo requests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Founder's audience converts; sales is more order-taking than prospecting</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Founder's Time Commitment</w:t>
      </w:r>
    </w:p>
    <w:p>
      <w:pPr>
        <w:spacing w:after="150" w:before="0"/>
        <w:jc w:val="left"/>
      </w:pPr>
      <w:r>
        <w:rPr>
          <w:rFonts w:ascii="Arial" w:cs="Arial" w:eastAsia="Arial" w:hAnsi="Arial"/>
          <w:b w:val="false"/>
          <w:bCs w:val="false"/>
          <w:i w:val="false"/>
          <w:iCs w:val="false"/>
          <w:color w:val="000000"/>
          <w:sz w:val="22"/>
          <w:szCs w:val="22"/>
        </w:rPr>
        <w:t xml:space="preserve">This alternative only works with deep founder commitment. The realistic time investment, weekly: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Activity</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Time / Week</w:t>
            </w:r>
          </w:p>
        </w:tc>
        <w:tc>
          <w:tcPr>
            <w:tcW w:type="dxa" w:w="4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Output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posts (founder voice)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3-5 hours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5-7 posts/week; mix of POV, case study, frameworks, vulnerability</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Newsletter (weekly long-form essay)</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4-6 hours</w:t>
            </w:r>
          </w:p>
        </w:tc>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 essay/week, 1,500-2,500 words, founder voice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Podcast (founder hosts OR is guested)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3-4 hours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 episode/week as host, OR 2-3 guest appearances/month</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YouTube/short-form video</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3-5 hours</w:t>
            </w:r>
          </w:p>
        </w:tc>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2-3 videos/month (start small; scale as content compounds)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1:1 calls with audience members (Founder Office Hours)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2-3 hours</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5-8 calls/week; converts top 10% of audience into customers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Twitter/X engagement</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Ambient — 30 min/day</w:t>
            </w:r>
          </w:p>
        </w:tc>
        <w:tc>
          <w:tcPr>
            <w:tcW w:type="dxa" w:w="4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Daily presence; not high-effort posts, more thread + engagement</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Total founder marketing time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20-25 hours/week</w:t>
            </w:r>
          </w:p>
        </w:tc>
        <w:tc>
          <w:tcPr>
            <w:tcW w:type="dxa" w:w="4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Approximately 50% of founder time goes to content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Content Pillar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Pillar</w:t>
            </w:r>
          </w:p>
        </w:tc>
        <w:tc>
          <w:tcPr>
            <w:tcW w:type="dxa" w:w="4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It Covers</w:t>
            </w:r>
          </w:p>
        </w:tc>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Works</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The Cross-Border Operator's Playbook</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Tactical content on how to hire, manage, and pay cross-border teams. Frameworks, templates, real examples.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Highest commercial relevance; tactical content is most-saved and most-shared in B2B</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India Ecosystem Deep Dives</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Reports and analysis on India's developer ecosystem, salary benchmarks, talent trends, cultural insights</w:t>
            </w:r>
          </w:p>
        </w:tc>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Original research = backlinks, PR, authority. Dechub becomes the source.</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Compliance &amp; Legal Edge Cases</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Specific situations: 'What if my Indian contractor wants to move to UAE?' — practical legal answers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Long-tail SEO + AI-search citations; high-intent audience</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Founder Story / Operator Life</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Honest founder content — what's hard, what's working, lessons learned</w:t>
            </w:r>
          </w:p>
        </w:tc>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Builds personal trust; converts to 'I want to do business with this person'</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Industry Hot Takes</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Founder's opinion on Deel, Remote, the EOR category, regulation, market shifts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Drives engagement; creates conversations; gets quoted</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Customer Mini-Stories</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Short customer wins shared with permission — not formal case studies</w:t>
            </w:r>
          </w:p>
        </w:tc>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Social proof that feels authentic; competitor-resistant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Distribution Channels (Founder's 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Channel</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Target Audience Size (Year 1 → Year 2)</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Primary Use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(founder profile)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5K → 30K-50K followers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Daily content; primary discovery channel; HR + founder audience</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Newsletter (Substack, Beehiiv, ConvertKit)</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1K → 10K-25K subscribers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Long-form essays; nurture engaged audience; highest LTV channel</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X / Twitter</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3K → 15K-30K followers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 engineering audience; real-time engagement</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YouTube (founder face-to-camera)</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 → 5K-15K subscribers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Long-form education; compound asset; SEO benefits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Podcast (host OR frequent guest)</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Reach: 5K → 50K+ listens/episode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Deep authority building; reaches audiences outside owned channels</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Company blog</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Traffic supplements founder content; SEO-optimized versions</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Backstop discovery channel; capture demand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Dechub Discord/Slack community</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 → 2K-5K members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 audience access; product feedback; advocacy nursery</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Community Layer</w:t>
      </w:r>
    </w:p>
    <w:p>
      <w:pPr>
        <w:spacing w:after="150" w:before="0"/>
        <w:jc w:val="left"/>
      </w:pPr>
      <w:r>
        <w:rPr>
          <w:rFonts w:ascii="Arial" w:cs="Arial" w:eastAsia="Arial" w:hAnsi="Arial"/>
          <w:b w:val="false"/>
          <w:bCs w:val="false"/>
          <w:i w:val="false"/>
          <w:iCs w:val="false"/>
          <w:color w:val="000000"/>
          <w:sz w:val="22"/>
          <w:szCs w:val="22"/>
        </w:rPr>
        <w:t xml:space="preserve">Founder content builds audience; community converts audience into a moat. The community plan:</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Launch 'The Cross-Border Operators' community (Slack or Discord). </w:t>
      </w:r>
      <w:r>
        <w:rPr>
          <w:rFonts w:ascii="Arial" w:cs="Arial" w:eastAsia="Arial" w:hAnsi="Arial"/>
          <w:b w:val="false"/>
          <w:bCs w:val="false"/>
          <w:i w:val="false"/>
          <w:iCs w:val="false"/>
          <w:color w:val="000000"/>
          <w:sz w:val="20"/>
          <w:szCs w:val="20"/>
        </w:rPr>
        <w:t xml:space="preserve">Invite-only initially; targets founders + HR leaders managing distributed teams.</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Monthly virtual meetups by region (US East, US West, EU, India). </w:t>
      </w:r>
      <w:r>
        <w:rPr>
          <w:rFonts w:ascii="Arial" w:cs="Arial" w:eastAsia="Arial" w:hAnsi="Arial"/>
          <w:b w:val="false"/>
          <w:bCs w:val="false"/>
          <w:i w:val="false"/>
          <w:iCs w:val="false"/>
          <w:color w:val="000000"/>
          <w:sz w:val="20"/>
          <w:szCs w:val="20"/>
        </w:rPr>
        <w:t xml:space="preserve">Founder-hosted, 60 minutes, 20-50 participants. Topic + open Q&amp;A.</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Annual in-person summit. </w:t>
      </w:r>
      <w:r>
        <w:rPr>
          <w:rFonts w:ascii="Arial" w:cs="Arial" w:eastAsia="Arial" w:hAnsi="Arial"/>
          <w:b w:val="false"/>
          <w:bCs w:val="false"/>
          <w:i w:val="false"/>
          <w:iCs w:val="false"/>
          <w:color w:val="000000"/>
          <w:sz w:val="20"/>
          <w:szCs w:val="20"/>
        </w:rPr>
        <w:t xml:space="preserve">Year 2 only. 200-400 attendees. Becomes a 'must-attend' for the category. Sponsored by ecosystem partners.</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Founder office hours. </w:t>
      </w:r>
      <w:r>
        <w:rPr>
          <w:rFonts w:ascii="Arial" w:cs="Arial" w:eastAsia="Arial" w:hAnsi="Arial"/>
          <w:b w:val="false"/>
          <w:bCs w:val="false"/>
          <w:i w:val="false"/>
          <w:iCs w:val="false"/>
          <w:color w:val="000000"/>
          <w:sz w:val="20"/>
          <w:szCs w:val="20"/>
        </w:rPr>
        <w:t xml:space="preserve">Public-calendar bookable slots; 30 min calls with any community member; positioned as advice, not sales.</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Community-exclusive content. </w:t>
      </w:r>
      <w:r>
        <w:rPr>
          <w:rFonts w:ascii="Arial" w:cs="Arial" w:eastAsia="Arial" w:hAnsi="Arial"/>
          <w:b w:val="false"/>
          <w:bCs w:val="false"/>
          <w:i w:val="false"/>
          <w:iCs w:val="false"/>
          <w:color w:val="000000"/>
          <w:sz w:val="20"/>
          <w:szCs w:val="20"/>
        </w:rPr>
        <w:t xml:space="preserve">Templates, salary data, hiring playbooks shared in community only. Drives membership value.</w:t>
      </w:r>
    </w:p>
    <w:p>
      <w:pPr>
        <w:pStyle w:val="ListParagraph"/>
        <w:numPr>
          <w:ilvl w:val="0"/>
          <w:numId w:val="2"/>
        </w:numPr>
        <w:spacing w:after="60" w:before="0"/>
      </w:pPr>
      <w:r>
        <w:rPr>
          <w:rFonts w:ascii="Arial" w:cs="Arial" w:eastAsia="Arial" w:hAnsi="Arial"/>
          <w:b/>
          <w:bCs/>
          <w:i w:val="false"/>
          <w:iCs w:val="false"/>
          <w:color w:val="000000"/>
          <w:sz w:val="20"/>
          <w:szCs w:val="20"/>
        </w:rPr>
        <w:t xml:space="preserve">Member advocacy program. </w:t>
      </w:r>
      <w:r>
        <w:rPr>
          <w:rFonts w:ascii="Arial" w:cs="Arial" w:eastAsia="Arial" w:hAnsi="Arial"/>
          <w:b w:val="false"/>
          <w:bCs w:val="false"/>
          <w:i w:val="false"/>
          <w:iCs w:val="false"/>
          <w:color w:val="000000"/>
          <w:sz w:val="20"/>
          <w:szCs w:val="20"/>
        </w:rPr>
        <w:t xml:space="preserve">Top 50 most-engaged members get early product access, advisory roles, speaking slots — turn audience into evangelists.</w:t>
      </w:r>
    </w:p>
    <w:p>
      <w:pPr>
        <w:spacing w:after="180" w:before="0"/>
      </w:pPr>
      <w:r>
        <w:t xml:space="preserve"/>
      </w:r>
    </w:p>
    <w:p>
      <w:pPr>
        <w:pStyle w:val="Heading2"/>
        <w:spacing w:after="160" w:before="240"/>
      </w:pPr>
      <w:r>
        <w:rPr>
          <w:rFonts w:ascii="Arial" w:cs="Arial" w:eastAsia="Arial" w:hAnsi="Arial"/>
          <w:b/>
          <w:bCs/>
          <w:color w:val="0B2E4F"/>
          <w:sz w:val="28"/>
          <w:szCs w:val="28"/>
        </w:rPr>
        <w:t xml:space="preserve">Metrics that Replace v1's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Metric</w:t>
            </w:r>
          </w:p>
        </w:tc>
        <w:tc>
          <w:tcPr>
            <w:tcW w:type="dxa" w:w="2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Target (Month 12)</w:t>
            </w:r>
          </w:p>
        </w:tc>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Alternative C Target (Month 12)</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LinkedIn followers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30K-50K</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Newsletter subscribers</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X/Twitter followers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15K-30K</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Community members (Slack/Discord)</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2K-5K</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MQLs / month</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Deprioritized — 'audience-sourced inquiries' replace MQLs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Audience-sourced inquiries / month</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150-400</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Inbound demo requests (founder content-attributed)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50-150</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Customer count from audience</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measured</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60-80% of total customers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Total customers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50-75</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75-150</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Total ARR</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$500K-$1M</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$700K-$1.5M</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CAC blended</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$600-$900</w:t>
            </w:r>
          </w:p>
        </w:tc>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$150-$400 (audience scales to near-zero marginal CAC)</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Brand search volume</w:t>
            </w:r>
          </w:p>
        </w:tc>
        <w:tc>
          <w:tcPr>
            <w:tcW w:type="dxa" w:w="2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Not in v1</w:t>
            </w:r>
          </w:p>
        </w:tc>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10-20K monthly for founder name + 'Dechub'</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Risks Specific to Alternative 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Risk</w:t>
            </w:r>
          </w:p>
        </w:tc>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Probability</w:t>
            </w:r>
          </w:p>
        </w:tc>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Mitigation</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doesn't commit time consistently (the #1 failure mode)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Hire a content team to amplify and edit; founder produces raw, team polishes</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Founder burnout from constant content production</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content systems; batch production; ghost-write some volume; quarterly recovery</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Audience builds but doesn't convert to customers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explicit conversion paths; soft-CTAs in every piece of content</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Founder departure becomes catastrophic risk</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(long-term)</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Transition to multi-voice brand over time (Years 2-3); diversify spokespeople</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Content compounds slowly (no traction for 6-12 months)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in months 1-9</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Commit to 18 months minimum; track leading indicators (engagement, save rate), not just MQLs</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Competitor founders enter the same content space</w:t>
            </w:r>
          </w:p>
        </w:tc>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Medium-High</w:t>
            </w:r>
          </w:p>
        </w:tc>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Be earliest, most consistent, most opinionated; first-mover compounds</w:t>
            </w:r>
          </w:p>
        </w:tc>
      </w:tr>
    </w:tbl>
    <w:p>
      <w:pPr>
        <w:spacing w:after="180" w:before="0"/>
      </w:pPr>
      <w:r>
        <w:t xml:space="preserve"/>
      </w:r>
    </w:p>
    <w:p>
      <w:pPr>
        <w:pStyle w:val="Heading2"/>
        <w:spacing w:after="160" w:before="240"/>
      </w:pPr>
      <w:r>
        <w:rPr>
          <w:rFonts w:ascii="Arial" w:cs="Arial" w:eastAsia="Arial" w:hAnsi="Arial"/>
          <w:b/>
          <w:bCs/>
          <w:color w:val="0B2E4F"/>
          <w:sz w:val="28"/>
          <w:szCs w:val="28"/>
        </w:rPr>
        <w:t xml:space="preserve">When Alternative C is the Right Choice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4"/>
              <w:left w:val="single" w:color="15803D" w:sz="18"/>
              <w:bottom w:val="single" w:color="15803D" w:sz="4"/>
              <w:right w:val="single" w:color="15803D" w:sz="4"/>
            </w:tcBorders>
            <w:shd w:fill="ECFDF5" w:color="auto" w:val="clear"/>
            <w:tcMar>
              <w:top w:type="dxa" w:w="200"/>
              <w:left w:type="dxa" w:w="240"/>
              <w:bottom w:type="dxa" w:w="200"/>
              <w:right w:type="dxa" w:w="200"/>
            </w:tcMar>
          </w:tcPr>
          <w:p>
            <w:pPr>
              <w:spacing w:after="80" w:before="0"/>
            </w:pPr>
            <w:r>
              <w:rPr>
                <w:rFonts w:ascii="Arial" w:cs="Arial" w:eastAsia="Arial" w:hAnsi="Arial"/>
                <w:b/>
                <w:bCs/>
                <w:color w:val="14532D"/>
                <w:sz w:val="22"/>
                <w:szCs w:val="22"/>
              </w:rPr>
              <w:t xml:space="preserve">Choose Alternative C when:</w:t>
            </w:r>
          </w:p>
          <w:p>
            <w:pPr>
              <w:spacing w:after="60" w:before="0"/>
            </w:pPr>
            <w:r>
              <w:rPr>
                <w:rFonts w:ascii="Arial" w:cs="Arial" w:eastAsia="Arial" w:hAnsi="Arial"/>
                <w:color w:val="000000"/>
                <w:sz w:val="20"/>
                <w:szCs w:val="20"/>
              </w:rPr>
              <w:t xml:space="preserve">→ Founder is genuinely willing to commit 20+ hours/week to content for 18-24 months</w:t>
            </w:r>
          </w:p>
          <w:p>
            <w:pPr>
              <w:spacing w:after="60" w:before="0"/>
            </w:pPr>
            <w:r>
              <w:rPr>
                <w:rFonts w:ascii="Arial" w:cs="Arial" w:eastAsia="Arial" w:hAnsi="Arial"/>
                <w:color w:val="000000"/>
                <w:sz w:val="20"/>
                <w:szCs w:val="20"/>
              </w:rPr>
              <w:t xml:space="preserve">→ Founder is comfortable being publicly opinionated and sometimes vulnerable</w:t>
            </w:r>
          </w:p>
          <w:p>
            <w:pPr>
              <w:spacing w:after="60" w:before="0"/>
            </w:pPr>
            <w:r>
              <w:rPr>
                <w:rFonts w:ascii="Arial" w:cs="Arial" w:eastAsia="Arial" w:hAnsi="Arial"/>
                <w:color w:val="000000"/>
                <w:sz w:val="20"/>
                <w:szCs w:val="20"/>
              </w:rPr>
              <w:t xml:space="preserve">→ Founder has unique POV or expertise that's hard for competitors to replicate (e.g., cross-border experience, India-native perspective)</w:t>
            </w:r>
          </w:p>
          <w:p>
            <w:pPr>
              <w:spacing w:after="60" w:before="0"/>
            </w:pPr>
            <w:r>
              <w:rPr>
                <w:rFonts w:ascii="Arial" w:cs="Arial" w:eastAsia="Arial" w:hAnsi="Arial"/>
                <w:color w:val="000000"/>
                <w:sz w:val="20"/>
                <w:szCs w:val="20"/>
              </w:rPr>
              <w:t xml:space="preserve">→ Sales cycle is consultative and trust-heavy — content investment compounds into shorter cycles</w:t>
            </w:r>
          </w:p>
          <w:p>
            <w:pPr>
              <w:spacing w:after="60" w:before="0"/>
            </w:pPr>
            <w:r>
              <w:rPr>
                <w:rFonts w:ascii="Arial" w:cs="Arial" w:eastAsia="Arial" w:hAnsi="Arial"/>
                <w:color w:val="000000"/>
                <w:sz w:val="20"/>
                <w:szCs w:val="20"/>
              </w:rPr>
              <w:t xml:space="preserve">→ Marketing budget is constrained, but founder time is available</w:t>
            </w:r>
          </w:p>
          <w:p>
            <w:pPr>
              <w:spacing w:after="60" w:before="0"/>
            </w:pPr>
            <w:r>
              <w:rPr>
                <w:rFonts w:ascii="Arial" w:cs="Arial" w:eastAsia="Arial" w:hAnsi="Arial"/>
                <w:color w:val="000000"/>
                <w:sz w:val="20"/>
                <w:szCs w:val="20"/>
              </w:rPr>
              <w:t xml:space="preserve">→ Long-term bet: founder builds personal brand that has value independent of Dechub</w:t>
            </w:r>
          </w:p>
          <w:p>
            <w:pPr>
              <w:spacing w:after="60" w:before="0"/>
            </w:pPr>
            <w:r>
              <w:rPr>
                <w:rFonts w:ascii="Arial" w:cs="Arial" w:eastAsia="Arial" w:hAnsi="Arial"/>
                <w:color w:val="000000"/>
                <w:sz w:val="20"/>
                <w:szCs w:val="20"/>
              </w:rPr>
              <w:t xml:space="preserve">→ Patience for 6-12 month payoff curve</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06</w:t>
            </w:r>
          </w:p>
          <w:p>
            <w:pPr>
              <w:spacing w:after="60" w:before="0"/>
            </w:pPr>
            <w:r>
              <w:rPr>
                <w:rFonts w:ascii="Arial" w:cs="Arial" w:eastAsia="Arial" w:hAnsi="Arial"/>
                <w:b/>
                <w:bCs/>
                <w:color w:val="FFFFFF"/>
                <w:sz w:val="32"/>
                <w:szCs w:val="32"/>
              </w:rPr>
              <w:t xml:space="preserve">Side-by-Side Comparison + Decision Framework</w:t>
            </w:r>
          </w:p>
          <w:p>
            <w:pPr>
              <w:spacing w:after="0" w:before="0"/>
            </w:pPr>
            <w:r>
              <w:rPr>
                <w:rFonts w:ascii="Arial" w:cs="Arial" w:eastAsia="Arial" w:hAnsi="Arial"/>
                <w:i/>
                <w:iCs/>
                <w:color w:val="CBD5E1"/>
                <w:sz w:val="20"/>
                <w:szCs w:val="20"/>
              </w:rPr>
              <w:t xml:space="preserve">How to choose between v1, Alt A, Alt B, and Alt C</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Master Comparison Table</w:t>
      </w:r>
    </w:p>
    <w:p>
      <w:pPr>
        <w:spacing w:after="150" w:before="0"/>
        <w:jc w:val="left"/>
      </w:pPr>
      <w:r>
        <w:rPr>
          <w:rFonts w:ascii="Arial" w:cs="Arial" w:eastAsia="Arial" w:hAnsi="Arial"/>
          <w:b w:val="false"/>
          <w:bCs w:val="false"/>
          <w:i w:val="false"/>
          <w:iCs w:val="false"/>
          <w:color w:val="000000"/>
          <w:sz w:val="22"/>
          <w:szCs w:val="22"/>
        </w:rPr>
        <w:t xml:space="preserve">All four paths compared on the same dimensions: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900"/>
      </w:tblGrid>
      <w:tr>
        <w:trPr>
          <w:tblHeader/>
        </w:trPr>
        <w:tc>
          <w:tcPr>
            <w:tcW w:type="dxa" w:w="2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Dimension</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(Default)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A — PLG</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B — Partner-Led</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C — Founder-Led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Primary buyer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HR Director, COO</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CTO, engineer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Agency owner; via agency to end-buyer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Founder's audience (mix of buyers)</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Buying motion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Demo → Sales-led close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Self-serve signup → activation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intro → joint close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Audience trust → inbound inquiry</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Avg ACV</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$8K-$15K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$2K-$5K (lower, higher volume)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 (partner-mediated)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$8K-$18K (warm leads close better)</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CAC range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$600-$900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$80-$250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$150-$400</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Time to first 100 customers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9-15 months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6-12 months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12-18 months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12-24 months</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Year 1 ARR range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$500K-$1M</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$400K-$1.2M</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$800K-$1.5M</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$700K-$1.5M</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Marketing investment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$30K/mo at scale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$15-30K/mo</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$10-20K/mo</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$10-25K/mo + founder time</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Founder time required</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Standard (10-20%)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in build phase (30%+)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(15-25%)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High (40-50%)</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Long-term moat strength</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Brand + content + sales process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Product + viral + low CAC</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ecosystem network effect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Audience + founder brand</w:t>
            </w:r>
          </w:p>
        </w:tc>
      </w:tr>
      <w:tr>
        <w:tc>
          <w:tcPr>
            <w:tcW w:type="dxa" w:w="2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Competitive resilience vs Deel/Remote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(different motion)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(different distribution)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High (can't be bought)</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Speed to validate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Slow (6-9 months to know)</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Fast (PLG metrics signal early)</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(partner activation = 60-90 days)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Slow (content compounds 12+ months)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Decision Tree</w:t>
      </w:r>
    </w:p>
    <w:p>
      <w:pPr>
        <w:spacing w:after="150" w:before="0"/>
        <w:jc w:val="left"/>
      </w:pPr>
      <w:r>
        <w:rPr>
          <w:rFonts w:ascii="Arial" w:cs="Arial" w:eastAsia="Arial" w:hAnsi="Arial"/>
          <w:b w:val="false"/>
          <w:bCs w:val="false"/>
          <w:i w:val="false"/>
          <w:iCs w:val="false"/>
          <w:color w:val="000000"/>
          <w:sz w:val="22"/>
          <w:szCs w:val="22"/>
        </w:rPr>
        <w:t xml:space="preserve">Answer these 5 questions in order. Each one routes you toward an alternative: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1800"/>
      </w:tblGrid>
      <w:tr>
        <w:trPr>
          <w:tblHeader/>
        </w:trPr>
        <w:tc>
          <w:tcPr>
            <w:tcW w:type="dxa" w:w="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t>
            </w:r>
          </w:p>
        </w:tc>
        <w:tc>
          <w:tcPr>
            <w:tcW w:type="dxa" w:w="4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Question</w:t>
            </w:r>
          </w:p>
        </w:tc>
        <w:tc>
          <w:tcPr>
            <w:tcW w:type="dxa" w:w="2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If YES → Lean Toward</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If NO → Lean Toward</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Is your founder willing to commit 30+ hours/week to public content for 18+ months?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C (Founder-Led)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Continue to Q2</w:t>
            </w:r>
          </w:p>
        </w:tc>
      </w:tr>
      <w:t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2</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Can your current product deliver value in &lt;15 minutes of self-serve onboarding (no human required)?</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A (PLG)</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Continue to Q3</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3</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Do you have a strong existing network of 30+ potential partners (agencies, accelerators, consultants) you could activate?</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(Partner-Led)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Continue to Q4</w:t>
            </w:r>
          </w:p>
        </w:tc>
      </w:tr>
      <w:t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4</w:t>
            </w:r>
          </w:p>
        </w:tc>
        <w:tc>
          <w:tcPr>
            <w:tcW w:type="dxa" w:w="4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Is your marketing budget under $15K/month with no near-term increase planned?</w:t>
            </w:r>
          </w:p>
        </w:tc>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or Alt C (lower direct ad spend)</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Continue to Q5</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5</w:t>
            </w:r>
          </w:p>
        </w:tc>
        <w:tc>
          <w:tcPr>
            <w:tcW w:type="dxa" w:w="4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Do you have a Sales/SDR team in place (or budget to hire one in next 90 days)?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(default)</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A or Alt C (don't need traditional sales team)</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Quick-Reference: Which Alternative Wins in Each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32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Scenario</w:t>
            </w:r>
          </w:p>
        </w:tc>
        <w:tc>
          <w:tcPr>
            <w:tcW w:type="dxa" w:w="2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Best Choice</w:t>
            </w:r>
          </w:p>
        </w:tc>
        <w:tc>
          <w:tcPr>
            <w:tcW w:type="dxa" w:w="32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Bootstrap with &lt;$10K/mo, founder has time, technical product</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C (Founder-Led)</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Lowest cash burn; founder time is the leverage</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Bootstrap with &lt;$10K/mo, founder has network of agencies</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(Partner-Led)</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Distribution leverage offsets low marketing budget</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Bootstrap with &lt;$10K/mo, product self-serviceable</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A (PLG)</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Free tier drives organic acquisition; minimal sales needed</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Just raised seed ($1-3M), 12-18 month runway</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default, supplemented by Alt C</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Standard playbook + start building founder brand simultaneously</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Just raised Series A ($5M+), 24+ month runway</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default with aggressive paid</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Full-funded playbook makes sense; outspending competitors is viable</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Enterprise-focused (deal sizes &gt;$50K ACV)</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 Alt B (Partner-Led)</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 + partner sales motion; PLG less relevant at enterprise</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SMB / Startup-focused (deal sizes &lt;$10K ACV)</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A (PLG) + Alt C</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Self-serve + founder content; CAC must be very low</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Highly regulated, compliance-heavy product</w:t>
            </w:r>
          </w:p>
        </w:tc>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(Partner-Led)</w:t>
            </w:r>
          </w:p>
        </w:tc>
        <w:tc>
          <w:tcPr>
            <w:tcW w:type="dxa" w:w="32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Partners de-risk compliance through their existing trust</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Limited founder bandwidth, strong marketing team</w:t>
            </w:r>
          </w:p>
        </w:tc>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default</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Marketing team executes the orthodox playbook</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07</w:t>
            </w:r>
          </w:p>
          <w:p>
            <w:pPr>
              <w:spacing w:after="60" w:before="0"/>
            </w:pPr>
            <w:r>
              <w:rPr>
                <w:rFonts w:ascii="Arial" w:cs="Arial" w:eastAsia="Arial" w:hAnsi="Arial"/>
                <w:b/>
                <w:bCs/>
                <w:color w:val="FFFFFF"/>
                <w:sz w:val="32"/>
                <w:szCs w:val="32"/>
              </w:rPr>
              <w:t xml:space="preserve">Tactical Alternatives</w:t>
            </w:r>
          </w:p>
          <w:p>
            <w:pPr>
              <w:spacing w:after="0" w:before="0"/>
            </w:pPr>
            <w:r>
              <w:rPr>
                <w:rFonts w:ascii="Arial" w:cs="Arial" w:eastAsia="Arial" w:hAnsi="Arial"/>
                <w:i/>
                <w:iCs/>
                <w:color w:val="CBD5E1"/>
                <w:sz w:val="20"/>
                <w:szCs w:val="20"/>
              </w:rPr>
              <w:t xml:space="preserve">Swap individual v1 tactics without committing to a full alternative strategy</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Overview</w:t>
      </w:r>
    </w:p>
    <w:p>
      <w:pPr>
        <w:spacing w:after="200" w:before="0"/>
        <w:jc w:val="left"/>
      </w:pPr>
      <w:r>
        <w:rPr>
          <w:rFonts w:ascii="Arial" w:cs="Arial" w:eastAsia="Arial" w:hAnsi="Arial"/>
          <w:b w:val="false"/>
          <w:bCs w:val="false"/>
          <w:i w:val="false"/>
          <w:iCs w:val="false"/>
          <w:color w:val="000000"/>
          <w:sz w:val="22"/>
          <w:szCs w:val="22"/>
        </w:rPr>
        <w:t xml:space="preserve">If you choose to execute v1 as the base strategy, this section offers proven tactical alternatives within each major area. Use these to swap specific tactics that you suspect won't work for Dechub's specific situation, without overhauling the entire strategy.</w:t>
      </w:r>
    </w:p>
    <w:p>
      <w:pPr>
        <w:pStyle w:val="Heading2"/>
        <w:spacing w:after="160" w:before="240"/>
      </w:pPr>
      <w:r>
        <w:rPr>
          <w:rFonts w:ascii="Arial" w:cs="Arial" w:eastAsia="Arial" w:hAnsi="Arial"/>
          <w:b/>
          <w:bCs/>
          <w:color w:val="0B2E4F"/>
          <w:sz w:val="28"/>
          <w:szCs w:val="28"/>
        </w:rPr>
        <w:t xml:space="preserve">7.1 — Positioning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Positioning Angle</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Alternatives to Consider</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'India-focused EOR' (geographic positioning)</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1: 'Compliance-first EOR' — lead with regulatory expertise, not geography
Alt 2: 'Engineer's EOR' — lead with technical buyer (CTO, eng leads), not HR
Alt 3: 'Startup's first international hire' — lead with use case, not company type</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'All-in-one platform' (feature positioning)</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1: 'Best at one thing' — focus exclusively on contractor management OR EOR, dominate that
Alt 2: 'Open infrastructure' — position as the API/integration play vs. closed competitor platforms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'Competitive pricing vs Deel/Remote' (price positioning)</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1: 'Outcome pricing' — pay only on successful hires, not subscription
Alt 2: 'Pay what you use' — usage-based pricing tied to contractor payments processed
Alt 3: 'Premium positioning' — go HIGHER than Deel on specific verticals (deep India expertise commands premium)</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7.2 — SEO Strategy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SEO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Compete head-on for 'EOR India', 'employer of record India' keywords</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Skip the high-competition primary keywords. Win the long-tail: 'how to hire a Bengaluru react developer remotely from Germany' and 1,000 similar queries. Lower volume per query but no competition; AI search engines love specific answers.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Pillar pages + supporting content clusters</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Tools/calculators as primary SEO: 'India contractor cost calculator', 'EOR vs PEO decision tool', 'India payroll tax calculator'. Tools generate backlinks at 5-10x the rate of blog posts.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4 long-form blogs per month</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Programmatic SEO: 1 template page × 500 country/role combinations = 500 pages targeting long-tail queries. 'Hire a [role] in [country]' — generated from data, not written one-by-one.</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Guest posts on Forbes/SHRM/Inc.</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Original research reports — 'State of Cross-Border Hiring 2025' with proprietary data. Earns 50+ backlinks per report vs. 1-3 from guest posts.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7.3 — Content Strategy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Content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Generic HR Tech blog content (4/month)</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Vertical-specific deep dives. Pick 3 verticals (e.g., AI startups, fintech, SaaS) and publish dedicated content for each. Better targeting, higher conversion, less competition.</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Comparison pages (Dechub vs Deel, etc.)</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Honest comparison content — admit where competitors are better. Counter-intuitive content earns disproportionate trust and shares. E.g., 'When you should NOT choose Dechub.'</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Case studies (1/month)</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Customer-led content series. Customers write or host content under Dechub branding (with editorial support). 10x the volume; community-building bonus.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Whitepapers + gated content</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Open-source playbooks. Free, ungated, comprehensive 'India Hiring Bible' or similar. Builds authority faster than gated content; lead gen via embedded CTAs.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Video content (2/month)</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Short-form (Reels/Shorts) as primary, long-form as secondary. 30-60 second tactical clips outperform 10-min walkthroughs by 5-10x on engagement.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7.4 — Paid Advertising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Paid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Google Search Ads on high-intent keywords ($5-6K/mo)</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Bid on competitor brand terms ('Deel alternative', 'Remote.com vs') exclusively. CPC is higher, but conversion rate is 3-5x. Better ROI.</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Sponsored Content + Lead Gen Forms</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LinkedIn Conversation Ads (1:1 message format) — pay per click but get direct inbox placement. CPL typically 30-50% lower than Sponsored Content for warm audiences.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Facebook retargeting ($800-1.2K/mo)</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YouTube pre-roll + retargeting. Engineers/founders watch tutorial content on YouTube; capture them there cheaper than on Facebook.</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Google Display retargeting</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Podcast advertising on niche shows (e.g., 'Indie Hackers Podcast', 'My First Million', 'Latent Space'). CPMs higher but audience trust is much higher; converts at 5-10x display.</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Standard Google + LinkedIn full-funnel</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Audio platforms (Spotify ads + podcast ads) - underutilized by B2B competitors. Less crowded auction; competitive CPMs.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7.5 — Outbound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Outbound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Sales Navigator + InMail campaigns</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Intent-data led outbound — use Clearbit Reveal / 6sense / Common Room to identify companies actively researching EOR. Outreach to ONLY them. Volumes lower; reply rates 3-5x higher.</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Cold email 3-sequence campaigns</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Founder-led video DMs on LinkedIn (Loom or Vidyard). 90-second personalized videos. Reply rates 5-10x cold text outreach. Doesn't scale; works at 50-100 prospects/month.</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Clay.ai + Instantly.ai for scale</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Hand-curated lists of 200 'dream customer' companies; deep research per company; 1:1 outreach over 4 weeks. Anti-scale approach. Wins high-ACV deals.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3-email sequences with value-first approach</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'Trojan horse' outbound — lead with a FREE PRODUCT (a personalized hiring playbook for their company). They have to engage to get it; engagement = qualified lead.</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7.6 — Webinar / Event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Webinar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Monthly live webinars; 200-500 registrants each</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On-demand library. Record once, gate behind email, replay forever. Cumulative views in Year 1 = 10K+ at near-zero marginal cost vs. live = 2K-6K and you have to keep producing.</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Broad audience webinar topics</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Closed-door, invite-only roundtables. 8-12 people, founder-hosted, deep discussion. Doesn't scale lead gen but produces 30-50% conversion (vs 2-5% for open webinars).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Sponsor 1-2 large industry conferences</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Sponsor 10-20 small intimate community events. Better cost/lead ratio; deeper relationships; less competition for attention.</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Annual State-of-Industry report launch</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Quarterly mini-reports. Each one earns backlinks, PR, and lead gen. 4x the content surface for similar work.</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7.7 — Pricing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Pricing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Per-employee monthly pricing</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Annual prepay with 25-30% discount built in. Locks in revenue; reduces churn; better cash flow for early-stage.</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Standard tiered pricing (small / mid / enterprise)</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Country-tiered pricing. Hiring in India (where Dechub has depth) priced 30% below Deel; hiring outside India priced at parity. Wins on India volume; healthy margins elsewhere.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Subscription model</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Hybrid model: free for contractor management; usage-based for payments processed; subscription for HRMS/compliance. Different tiers, different value props.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Hidden/contact-for-pricing for enterprise</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Fully transparent pricing on website, including enterprise. Removes friction; builds trust; bigger deals come through faster.</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7.8 — Retention &amp; Expansion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Retention Approach</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Tactical Alternative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Standard onboarding + CSM-driven expansion</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Customer-led expansion. Build self-serve workflows for adding countries, employees, integrations. Customers expand themselves; CSMs only intervene on high-value triggers.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Quarterly Business Reviews (QBRs)</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Async QBRs. Deliver QBR insights via personalized Loom + dashboard, not 1-hour Zoom. Customers absorb at their pace; CSMs serve 5x more accounts.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Standard NPS tracking</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PMF-style monthly survey: 'How would you feel if Dechub disappeared tomorrow?' Sean Ellis test. Predicts churn 6-12 months early.</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Loyalty / advocacy program in Year 1</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Customer Council. Top 12 customers form a council; meet quarterly with founder; get product roadmap input; become natural advocates. Higher signal than NPS.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How to Use Tactical Alternatives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80" w:before="0"/>
            </w:pPr>
            <w:r>
              <w:rPr>
                <w:rFonts w:ascii="Arial" w:cs="Arial" w:eastAsia="Arial" w:hAnsi="Arial"/>
                <w:b/>
                <w:bCs/>
                <w:color w:val="0B2E4F"/>
                <w:sz w:val="22"/>
                <w:szCs w:val="22"/>
              </w:rPr>
              <w:t xml:space="preserve">Recommended Application</w:t>
            </w:r>
          </w:p>
          <w:p>
            <w:pPr>
              <w:spacing w:after="60" w:before="0"/>
            </w:pPr>
            <w:r>
              <w:rPr>
                <w:rFonts w:ascii="Arial" w:cs="Arial" w:eastAsia="Arial" w:hAnsi="Arial"/>
                <w:color w:val="000000"/>
                <w:sz w:val="20"/>
                <w:szCs w:val="20"/>
              </w:rPr>
              <w:t xml:space="preserve">Don't swap all v1 tactics at once. Pick the 2-3 areas where v1 feels weakest given Dechub's specific constraints.</w:t>
            </w:r>
          </w:p>
          <w:p>
            <w:pPr>
              <w:spacing w:after="60" w:before="0"/>
            </w:pPr>
            <w:r>
              <w:rPr>
                <w:rFonts w:ascii="Arial" w:cs="Arial" w:eastAsia="Arial" w:hAnsi="Arial"/>
                <w:b/>
                <w:bCs/>
                <w:i w:val="false"/>
                <w:iCs w:val="false"/>
                <w:color w:val="000000"/>
                <w:sz w:val="20"/>
                <w:szCs w:val="20"/>
              </w:rPr>
              <w:t xml:space="preserve">Common combinations: </w:t>
            </w:r>
            <w:r>
              <w:rPr>
                <w:rFonts w:ascii="Arial" w:cs="Arial" w:eastAsia="Arial" w:hAnsi="Arial"/>
                <w:b w:val="false"/>
                <w:bCs w:val="false"/>
                <w:i w:val="false"/>
                <w:iCs w:val="false"/>
                <w:color w:val="000000"/>
                <w:sz w:val="20"/>
                <w:szCs w:val="20"/>
              </w:rPr>
              <w:t xml:space="preserve">If marketing budget is tight, prioritize 7.4 (paid alternatives) + 7.2 (programmatic SEO). If founder is committed to content, layer 7.3 (open-source playbook) + 7.5 (founder-led video DMs). If product is complex, prioritize 7.6 (closed-door roundtables) + 7.8 (customer council).</w:t>
            </w:r>
          </w:p>
          <w:p>
            <w:pPr>
              <w:spacing w:after="60" w:before="0"/>
            </w:pPr>
            <w:r>
              <w:rPr>
                <w:rFonts w:ascii="Arial" w:cs="Arial" w:eastAsia="Arial" w:hAnsi="Arial"/>
                <w:b/>
                <w:bCs/>
                <w:i w:val="false"/>
                <w:iCs w:val="false"/>
                <w:color w:val="000000"/>
                <w:sz w:val="20"/>
                <w:szCs w:val="20"/>
              </w:rPr>
              <w:t xml:space="preserve">Test before committing: </w:t>
            </w:r>
            <w:r>
              <w:rPr>
                <w:rFonts w:ascii="Arial" w:cs="Arial" w:eastAsia="Arial" w:hAnsi="Arial"/>
                <w:b w:val="false"/>
                <w:bCs w:val="false"/>
                <w:i w:val="false"/>
                <w:iCs w:val="false"/>
                <w:color w:val="000000"/>
                <w:sz w:val="20"/>
                <w:szCs w:val="20"/>
              </w:rPr>
              <w:t xml:space="preserve">Run any tactical alternative for 60-90 days against a control. If it underperforms v1's tactic, revert. Don't over-commit.</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08</w:t>
            </w:r>
          </w:p>
          <w:p>
            <w:pPr>
              <w:spacing w:after="60" w:before="0"/>
            </w:pPr>
            <w:r>
              <w:rPr>
                <w:rFonts w:ascii="Arial" w:cs="Arial" w:eastAsia="Arial" w:hAnsi="Arial"/>
                <w:b/>
                <w:bCs/>
                <w:color w:val="FFFFFF"/>
                <w:sz w:val="32"/>
                <w:szCs w:val="32"/>
              </w:rPr>
              <w:t xml:space="preserve">Risk Comparison Across All Four Paths</w:t>
            </w:r>
          </w:p>
          <w:p>
            <w:pPr>
              <w:spacing w:after="0" w:before="0"/>
            </w:pPr>
            <w:r>
              <w:rPr>
                <w:rFonts w:ascii="Arial" w:cs="Arial" w:eastAsia="Arial" w:hAnsi="Arial"/>
                <w:i/>
                <w:iCs/>
                <w:color w:val="CBD5E1"/>
                <w:sz w:val="20"/>
                <w:szCs w:val="20"/>
              </w:rPr>
              <w:t xml:space="preserve">Failure modes, leading indicators, recovery options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Risk Profile Per Path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1900"/>
        <w:gridCol w:w="1800"/>
      </w:tblGrid>
      <w:tr>
        <w:trPr>
          <w:tblHeader/>
        </w:trPr>
        <w:tc>
          <w:tcPr>
            <w:tcW w:type="dxa" w:w="2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Risk Type</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A — PLG</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B — Partner</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C — Founder</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Cash burn risk (12 months)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orthodox playbook is expensive at low scale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depends on engineering investment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partner CAC is low</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content is cheap; founder time is the cost</w:t>
            </w:r>
          </w:p>
        </w:tc>
      </w:tr>
      <w:t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Speed-to-revenue risk</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6-9 months to first $20K MRR</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Variable — could be 3 months or 12</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Medium-Slow — partners take 60-90 days to activate</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Slow — 9-15 months to meaningful inbound</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dependency risk</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process-led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founder must drive product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founder must close key partnerships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High — founder IS the brand</w:t>
            </w:r>
          </w:p>
        </w:tc>
      </w:tr>
      <w:t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Competitive risk (vs Deel/Remote)</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same playbook as competitors</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different motion entirely</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different distribution entirely</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Low — competitor founder can't catch up to 18-month content lead</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Capital intensity</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needs sustained marketing spend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engineering investment is the cost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partner enablement is cheap</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founder time + small content team</w:t>
            </w:r>
          </w:p>
        </w:tc>
      </w:tr>
      <w:tr>
        <w:tc>
          <w:tcPr>
            <w:tcW w:type="dxa" w:w="2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Audience permanence risk</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audience tied to ads/SEO continuity</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audience is product users; churn risk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partner relationships persist</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Low — founder's audience is portable, persistent</w:t>
            </w:r>
          </w:p>
        </w:tc>
      </w:tr>
      <w:tr>
        <w:tc>
          <w:tcPr>
            <w:tcW w:type="dxa" w:w="2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Strategic option value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Low — orthodox path; limited future optionality</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High — PLG creates many future option paths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Medium — partner network has secondary value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Very High — founder brand has external value (advisor, investor, next company)</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Top 3 Failure Modes Per Path (Leading Indicators)</w:t>
      </w:r>
    </w:p>
    <w:p>
      <w:pPr>
        <w:pStyle w:val="Heading3"/>
        <w:spacing w:after="160" w:before="240"/>
      </w:pPr>
      <w:r>
        <w:rPr>
          <w:rFonts w:ascii="Arial" w:cs="Arial" w:eastAsia="Arial" w:hAnsi="Arial"/>
          <w:b/>
          <w:bCs/>
          <w:color w:val="1B4F7A"/>
          <w:sz w:val="22"/>
          <w:szCs w:val="22"/>
        </w:rPr>
        <w:t xml:space="preserve">v1 — Failure modes to watch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Failure Mode</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Leading Indicator (Month 3)</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Recovery Path</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CAC too high (&gt;$1,500); economics break</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CPM on LinkedIn / CPC on Google trending up; CTR &lt; 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Pause paid, double down on SEO + outbound for 3 months</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Inbound MQLs convert poorly (&lt;10% to demo)</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MQL volume on target but demo bookings flat</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Audit lead quality; tighten MQL definition; add SDR follow-up layer</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Sales team can't close (long cycles, low rates)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Demo-to-close &gt;120 days; &lt;15% close rate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Sales enablement investment; consider tactical alternatives in 7.5 (outbound) + 7.7 (pricing)</w:t>
            </w:r>
          </w:p>
        </w:tc>
      </w:tr>
    </w:tbl>
    <w:p>
      <w:pPr>
        <w:spacing w:after="200" w:before="0"/>
      </w:pPr>
      <w:r>
        <w:t xml:space="preserve"/>
      </w:r>
    </w:p>
    <w:p>
      <w:pPr>
        <w:pStyle w:val="Heading3"/>
        <w:spacing w:after="160" w:before="240"/>
      </w:pPr>
      <w:r>
        <w:rPr>
          <w:rFonts w:ascii="Arial" w:cs="Arial" w:eastAsia="Arial" w:hAnsi="Arial"/>
          <w:b/>
          <w:bCs/>
          <w:color w:val="1B4F7A"/>
          <w:sz w:val="22"/>
          <w:szCs w:val="22"/>
        </w:rPr>
        <w:t xml:space="preserve">Alt A (PLG) — Failure modes to watch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Failure Mode</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Leading Indicator (Month 3)</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Recovery Path</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Free-to-paid conversion &lt;2%</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Cohort analysis shows users active but not upgrading</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Audit paywall placement; identify why activated users don't convert; tighten free tier</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Activation rate low (&lt;40% of signups create first hire)</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Signup volume high but creating-first-hire metric flat</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Redesign onboarding; add in-app guidance; identify drop-off step</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Product complexity blocks self-serve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CS tickets/signup ratio &gt;0.5; chat volume high</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Either reduce product complexity OR pivot to v1 default (sales-assisted)</w:t>
            </w:r>
          </w:p>
        </w:tc>
      </w:tr>
    </w:tbl>
    <w:p>
      <w:pPr>
        <w:spacing w:after="200" w:before="0"/>
      </w:pPr>
      <w:r>
        <w:t xml:space="preserve"/>
      </w:r>
    </w:p>
    <w:p>
      <w:pPr>
        <w:pStyle w:val="Heading3"/>
        <w:spacing w:after="160" w:before="240"/>
      </w:pPr>
      <w:r>
        <w:rPr>
          <w:rFonts w:ascii="Arial" w:cs="Arial" w:eastAsia="Arial" w:hAnsi="Arial"/>
          <w:b/>
          <w:bCs/>
          <w:color w:val="1B4F7A"/>
          <w:sz w:val="22"/>
          <w:szCs w:val="22"/>
        </w:rPr>
        <w:t xml:space="preserve">Alt B (Partner-Led) — Failure modes to watch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Failure Mode</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Leading Indicator (Month 3)</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Recovery Path</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Recruited partners don't activate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&lt;20% of recruited partners close 1+ deal in first 90 days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Aggressive partner enablement; identify bottleneck (training? collateral? pricing?); deactivate non-performers</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Partner-sourced deals have lower ACV</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Avg deal size from partners 30%+ below direct sales</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MAP policy; tier partners by deal-size performance; incentivize larger deals</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Brand cannibalization (Dechub invisible behind partners)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Direct brand searches flat or declining</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Brand-visibility requirements in partner contracts; co-marketing minimums</w:t>
            </w:r>
          </w:p>
        </w:tc>
      </w:tr>
    </w:tbl>
    <w:p>
      <w:pPr>
        <w:spacing w:after="200" w:before="0"/>
      </w:pPr>
      <w:r>
        <w:t xml:space="preserve"/>
      </w:r>
    </w:p>
    <w:p>
      <w:pPr>
        <w:pStyle w:val="Heading3"/>
        <w:spacing w:after="160" w:before="240"/>
      </w:pPr>
      <w:r>
        <w:rPr>
          <w:rFonts w:ascii="Arial" w:cs="Arial" w:eastAsia="Arial" w:hAnsi="Arial"/>
          <w:b/>
          <w:bCs/>
          <w:color w:val="1B4F7A"/>
          <w:sz w:val="22"/>
          <w:szCs w:val="22"/>
        </w:rPr>
        <w:t xml:space="preserve">Alt C (Founder-Led) — Failure modes to watch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Failure Mode</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Leading Indicator (Month 3)</w:t>
            </w:r>
          </w:p>
        </w:tc>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Recovery Path</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content cadence drops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Posts/week declining; engagement flat</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Hire content team to scale founder voice; batch production; ghost-write some volume</w:t>
            </w:r>
          </w:p>
        </w:tc>
      </w:tr>
      <w:tr>
        <w:tc>
          <w:tcPr>
            <w:tcW w:type="dxa" w:w="3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Audience grows but doesn't convert</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Follower count up but inbound inquiries flat</w:t>
            </w:r>
          </w:p>
        </w:tc>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Add explicit CTAs; product-mention frequency; offer audience-only pricing or perks</w:t>
            </w:r>
          </w:p>
        </w:tc>
      </w:tr>
      <w:tr>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burnout signals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Quality of content declining; founder reports stress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Mandatory recovery period; restructure content commitments; supplement with team-produced content</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09</w:t>
            </w:r>
          </w:p>
          <w:p>
            <w:pPr>
              <w:spacing w:after="60" w:before="0"/>
            </w:pPr>
            <w:r>
              <w:rPr>
                <w:rFonts w:ascii="Arial" w:cs="Arial" w:eastAsia="Arial" w:hAnsi="Arial"/>
                <w:b/>
                <w:bCs/>
                <w:color w:val="FFFFFF"/>
                <w:sz w:val="32"/>
                <w:szCs w:val="32"/>
              </w:rPr>
              <w:t xml:space="preserve">Hybrid Approach — Best of Each</w:t>
            </w:r>
          </w:p>
          <w:p>
            <w:pPr>
              <w:spacing w:after="0" w:before="0"/>
            </w:pPr>
            <w:r>
              <w:rPr>
                <w:rFonts w:ascii="Arial" w:cs="Arial" w:eastAsia="Arial" w:hAnsi="Arial"/>
                <w:i/>
                <w:iCs/>
                <w:color w:val="CBD5E1"/>
                <w:sz w:val="20"/>
                <w:szCs w:val="20"/>
              </w:rPr>
              <w:t xml:space="preserve">How to combine alternatives without splitting focus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Danger of 'Doing Everything'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45309" w:sz="4"/>
              <w:left w:val="single" w:color="B45309" w:sz="18"/>
              <w:bottom w:val="single" w:color="B45309" w:sz="4"/>
              <w:right w:val="single" w:color="B45309" w:sz="4"/>
            </w:tcBorders>
            <w:shd w:fill="FEF3C7" w:color="auto" w:val="clear"/>
            <w:tcMar>
              <w:top w:type="dxa" w:w="200"/>
              <w:left w:type="dxa" w:w="240"/>
              <w:bottom w:type="dxa" w:w="200"/>
              <w:right w:type="dxa" w:w="200"/>
            </w:tcMar>
          </w:tcPr>
          <w:p>
            <w:pPr>
              <w:spacing w:after="80" w:before="0"/>
            </w:pPr>
            <w:r>
              <w:rPr>
                <w:rFonts w:ascii="Arial" w:cs="Arial" w:eastAsia="Arial" w:hAnsi="Arial"/>
                <w:b/>
                <w:bCs/>
                <w:color w:val="78350F"/>
                <w:sz w:val="22"/>
                <w:szCs w:val="22"/>
              </w:rPr>
              <w:t xml:space="preserve">Warning</w:t>
            </w:r>
          </w:p>
          <w:p>
            <w:pPr>
              <w:spacing w:after="60" w:before="0"/>
            </w:pPr>
            <w:r>
              <w:rPr>
                <w:rFonts w:ascii="Arial" w:cs="Arial" w:eastAsia="Arial" w:hAnsi="Arial"/>
                <w:color w:val="000000"/>
                <w:sz w:val="20"/>
                <w:szCs w:val="20"/>
              </w:rPr>
              <w:t xml:space="preserve">The biggest mistake early-stage founders make is trying to execute all three alternatives simultaneously. Each one demands focus and is expensive in time/attention. Three half-executed strategies produce worse results than one well-executed strategy.</w:t>
            </w:r>
          </w:p>
          <w:p>
            <w:pPr>
              <w:spacing w:after="60" w:before="0"/>
            </w:pPr>
            <w:r>
              <w:rPr>
                <w:rFonts w:ascii="Arial" w:cs="Arial" w:eastAsia="Arial" w:hAnsi="Arial"/>
                <w:b/>
                <w:bCs/>
                <w:i w:val="false"/>
                <w:iCs w:val="false"/>
                <w:color w:val="000000"/>
                <w:sz w:val="20"/>
                <w:szCs w:val="20"/>
              </w:rPr>
              <w:t xml:space="preserve">However, </w:t>
            </w:r>
            <w:r>
              <w:rPr>
                <w:rFonts w:ascii="Arial" w:cs="Arial" w:eastAsia="Arial" w:hAnsi="Arial"/>
                <w:b w:val="false"/>
                <w:bCs w:val="false"/>
                <w:i w:val="false"/>
                <w:iCs w:val="false"/>
                <w:color w:val="000000"/>
                <w:sz w:val="20"/>
                <w:szCs w:val="20"/>
              </w:rPr>
              <w:t xml:space="preserve">two of the alternatives — Alt B and Alt C — combine well if sequenced correctly. PLG (Alt A) requires deep product commitment that's hard to do alongside others.</w:t>
            </w:r>
          </w:p>
        </w:tc>
      </w:tr>
    </w:tbl>
    <w:p>
      <w:pPr>
        <w:spacing w:after="200" w:before="0"/>
      </w:pPr>
      <w:r>
        <w:t xml:space="preserve"/>
      </w:r>
    </w:p>
    <w:p>
      <w:pPr>
        <w:pStyle w:val="Heading2"/>
        <w:spacing w:after="160" w:before="240"/>
      </w:pPr>
      <w:r>
        <w:rPr>
          <w:rFonts w:ascii="Arial" w:cs="Arial" w:eastAsia="Arial" w:hAnsi="Arial"/>
          <w:b/>
          <w:bCs/>
          <w:color w:val="0B2E4F"/>
          <w:sz w:val="28"/>
          <w:szCs w:val="28"/>
        </w:rPr>
        <w:t xml:space="preserve">Three Realistic Hybrid Models</w:t>
      </w:r>
    </w:p>
    <w:p>
      <w:pPr>
        <w:pStyle w:val="Heading3"/>
        <w:spacing w:after="160" w:before="240"/>
      </w:pPr>
      <w:r>
        <w:rPr>
          <w:rFonts w:ascii="Arial" w:cs="Arial" w:eastAsia="Arial" w:hAnsi="Arial"/>
          <w:b/>
          <w:bCs/>
          <w:color w:val="1B4F7A"/>
          <w:sz w:val="22"/>
          <w:szCs w:val="22"/>
        </w:rPr>
        <w:t xml:space="preserve">Hybrid 1 — 'v1 Core + Founder Layer'</w:t>
      </w:r>
    </w:p>
    <w:p>
      <w:pPr>
        <w:spacing w:after="120" w:before="0"/>
        <w:jc w:val="left"/>
      </w:pPr>
      <w:r>
        <w:rPr>
          <w:rFonts w:ascii="Arial" w:cs="Arial" w:eastAsia="Arial" w:hAnsi="Arial"/>
          <w:b w:val="false"/>
          <w:bCs w:val="false"/>
          <w:i w:val="false"/>
          <w:iCs w:val="false"/>
          <w:color w:val="000000"/>
          <w:sz w:val="22"/>
          <w:szCs w:val="22"/>
        </w:rPr>
        <w:t xml:space="preserve">Execute v1 as the primary strategy. Add Alt C (founder-led content) as a parallel investment.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Element</w:t>
            </w:r>
          </w:p>
        </w:tc>
        <w:tc>
          <w:tcPr>
            <w:tcW w:type="dxa" w:w="6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Detail</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When this works</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is committed to content for 18+ months; marketing team executes orthodox v1 in parallel</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Resource split</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70% team time on v1 tactics; 30% founder time on content + community</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Risk</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fatigue; v1 and Alt C don't reinforce each other unless content drives v1 inbound</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Best for</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Companies that have raised seed funding and want to hedge between orthodox + asymmetric</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12-month outcome</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metrics largely on target + founder audience of 15K-30K with growing inbound contribution (15-25% of total leads)</w:t>
            </w:r>
          </w:p>
        </w:tc>
      </w:tr>
    </w:tbl>
    <w:p>
      <w:pPr>
        <w:spacing w:after="200" w:before="0"/>
      </w:pPr>
      <w:r>
        <w:t xml:space="preserve"/>
      </w:r>
    </w:p>
    <w:p>
      <w:pPr>
        <w:pStyle w:val="Heading3"/>
        <w:spacing w:after="160" w:before="240"/>
      </w:pPr>
      <w:r>
        <w:rPr>
          <w:rFonts w:ascii="Arial" w:cs="Arial" w:eastAsia="Arial" w:hAnsi="Arial"/>
          <w:b/>
          <w:bCs/>
          <w:color w:val="1B4F7A"/>
          <w:sz w:val="22"/>
          <w:szCs w:val="22"/>
        </w:rPr>
        <w:t xml:space="preserve">Hybrid 2 — 'Partner-Led Core + Tactical Alternatives'</w:t>
      </w:r>
    </w:p>
    <w:p>
      <w:pPr>
        <w:spacing w:after="120" w:before="0"/>
        <w:jc w:val="left"/>
      </w:pPr>
      <w:r>
        <w:rPr>
          <w:rFonts w:ascii="Arial" w:cs="Arial" w:eastAsia="Arial" w:hAnsi="Arial"/>
          <w:b w:val="false"/>
          <w:bCs w:val="false"/>
          <w:i w:val="false"/>
          <w:iCs w:val="false"/>
          <w:color w:val="000000"/>
          <w:sz w:val="22"/>
          <w:szCs w:val="22"/>
        </w:rPr>
        <w:t xml:space="preserve">Alt B (Partner-Led) is primary. Add specific tactical alternatives from Section 7 that reinforce the partner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Element</w:t>
            </w:r>
          </w:p>
        </w:tc>
        <w:tc>
          <w:tcPr>
            <w:tcW w:type="dxa" w:w="6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Detail</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When this works</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has existing partner network; bootstrap/lean budget; trust-based sales motion</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Combine with</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Tactical 7.3 (open-source playbooks shared with partners), 7.6 (closed-door roundtables co-hosted with partners), 7.8 (customer council that includes partner customers)</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Resource split</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 team time on partner enablement; 40% on supporting content + product</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Risk</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Slow ramp; quarterly review needed to see if partner channel is producing</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Best for</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Bootstrapped companies with strong founder networks in target verticals</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12-month outcome</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30-50 active partners; 60-70% of revenue partner-sourced; ARR $800K-$1.5M</w:t>
            </w:r>
          </w:p>
        </w:tc>
      </w:tr>
    </w:tbl>
    <w:p>
      <w:pPr>
        <w:spacing w:after="200" w:before="0"/>
      </w:pPr>
      <w:r>
        <w:t xml:space="preserve"/>
      </w:r>
    </w:p>
    <w:p>
      <w:pPr>
        <w:pStyle w:val="Heading3"/>
        <w:spacing w:after="160" w:before="240"/>
      </w:pPr>
      <w:r>
        <w:rPr>
          <w:rFonts w:ascii="Arial" w:cs="Arial" w:eastAsia="Arial" w:hAnsi="Arial"/>
          <w:b/>
          <w:bCs/>
          <w:color w:val="1B4F7A"/>
          <w:sz w:val="22"/>
          <w:szCs w:val="22"/>
        </w:rPr>
        <w:t xml:space="preserve">Hybrid 3 — 'Year 1 PLG + Year 2 Sales-Assisted'</w:t>
      </w:r>
    </w:p>
    <w:p>
      <w:pPr>
        <w:spacing w:after="120" w:before="0"/>
        <w:jc w:val="left"/>
      </w:pPr>
      <w:r>
        <w:rPr>
          <w:rFonts w:ascii="Arial" w:cs="Arial" w:eastAsia="Arial" w:hAnsi="Arial"/>
          <w:b w:val="false"/>
          <w:bCs w:val="false"/>
          <w:i w:val="false"/>
          <w:iCs w:val="false"/>
          <w:color w:val="000000"/>
          <w:sz w:val="22"/>
          <w:szCs w:val="22"/>
        </w:rPr>
        <w:t xml:space="preserve">Alt A (PLG) drives Year 1 — establish product-led motion, win bottom-up. Year 2 layers in sales-assisted motion for enterprise (the v1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Element</w:t>
            </w:r>
          </w:p>
        </w:tc>
        <w:tc>
          <w:tcPr>
            <w:tcW w:type="dxa" w:w="6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Detail</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When this works</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Product is genuinely ready for self-serve; engineering team can ship growth features; willing to defer enterprise revenue 12 months</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Sequencing</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Year 1: build PLG flywheel, reach 1K-3K paying customers at &lt;$5K ACV. Year 2: layer in sales-assisted motion for high-intent self-serve users; introduce enterprise tier.</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Resource split</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Year 1: 70% engineering for product growth, 30% marketing for PLG channels. Year 2: shift toward 50/50 with sales investment.</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Risk</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Year 1 ARR is small; capital intensity in engineering; pivoting to sales-assisted in Year 2 has cultural friction</w:t>
            </w:r>
          </w:p>
        </w:tc>
      </w:tr>
      <w:tr>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Best for</w:t>
            </w:r>
          </w:p>
        </w:tc>
        <w:tc>
          <w:tcPr>
            <w:tcW w:type="dxa" w:w="6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Companies confident in product readiness; willing to play long game; have 18-24 month runway</w:t>
            </w:r>
          </w:p>
        </w:tc>
      </w:tr>
      <w:tr>
        <w:tc>
          <w:tcPr>
            <w:tcW w:type="dxa" w:w="2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12-month outcome</w:t>
            </w:r>
          </w:p>
        </w:tc>
        <w:tc>
          <w:tcPr>
            <w:tcW w:type="dxa" w:w="6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Year 1: $400K-$800K ARR, large user base (5K-15K free users); Year 2: $2M-$4M ARR with enterprise expansion</w:t>
            </w:r>
          </w:p>
        </w:tc>
      </w:tr>
    </w:tbl>
    <w:p>
      <w:pPr>
        <w:spacing w:after="200" w:before="0"/>
      </w:pPr>
      <w:r>
        <w:t xml:space="preserve"/>
      </w:r>
    </w:p>
    <w:p>
      <w:pPr>
        <w:pStyle w:val="Heading2"/>
        <w:spacing w:after="160" w:before="240"/>
      </w:pPr>
      <w:r>
        <w:rPr>
          <w:rFonts w:ascii="Arial" w:cs="Arial" w:eastAsia="Arial" w:hAnsi="Arial"/>
          <w:b/>
          <w:bCs/>
          <w:color w:val="0B2E4F"/>
          <w:sz w:val="28"/>
          <w:szCs w:val="28"/>
        </w:rPr>
        <w:t xml:space="preserve">What NOT to Combine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Combination</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Doesn't Work</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Alt A + Alt B simultaneously</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requires removing humans from the buying flow; partner sales is humans-first. Conflicting signals to product team and customers.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Alt B + Alt C in the same brand voice</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benefits from brand-first positioning (Dechub the company); Alt C benefits from person-first positioning (founder as brand). Can be reconciled but requires careful brand architecture.</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All three together</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Splits attention; budgets compete; no single motion gets enough investment to compound. Default failure mode for ambitious founders.</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Aggressive v1 + Alt A simultaneously</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Demo-led sales motion (v1) and self-serve PLG motion (Alt A) require different product flows, different pricing pages, different sales playbooks. Customer confusion.</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10</w:t>
            </w:r>
          </w:p>
          <w:p>
            <w:pPr>
              <w:spacing w:after="60" w:before="0"/>
            </w:pPr>
            <w:r>
              <w:rPr>
                <w:rFonts w:ascii="Arial" w:cs="Arial" w:eastAsia="Arial" w:hAnsi="Arial"/>
                <w:b/>
                <w:bCs/>
                <w:color w:val="FFFFFF"/>
                <w:sz w:val="32"/>
                <w:szCs w:val="32"/>
              </w:rPr>
              <w:t xml:space="preserve">90-Day Execution Plan Per Alternative</w:t>
            </w:r>
          </w:p>
          <w:p>
            <w:pPr>
              <w:spacing w:after="0" w:before="0"/>
            </w:pPr>
            <w:r>
              <w:rPr>
                <w:rFonts w:ascii="Arial" w:cs="Arial" w:eastAsia="Arial" w:hAnsi="Arial"/>
                <w:i/>
                <w:iCs/>
                <w:color w:val="CBD5E1"/>
                <w:sz w:val="20"/>
                <w:szCs w:val="20"/>
              </w:rPr>
              <w:t xml:space="preserve">What to do in Week 1, Month 1, Month 2, Month 3</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Alternative A (PLG) — First 90 Days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00"/>
        <w:gridCol w:w="1900"/>
      </w:tblGrid>
      <w:tr>
        <w:trPr>
          <w:tblHeader/>
        </w:trPr>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Phase</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Focus</w:t>
            </w:r>
          </w:p>
        </w:tc>
        <w:tc>
          <w:tcPr>
            <w:tcW w:type="dxa" w:w="4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Specific Actions</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Success Metric</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1-4: Foundation</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self-serve foundation</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Audit current onboarding; remove demo gate; build credit-card-optional signup; add in-app product tour; deploy product analytics (Amplitude/Mixpanel)</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First user can sign up and add first hire in &lt;15 minutes without human</w:t>
            </w:r>
          </w:p>
        </w:tc>
      </w:tr>
      <w:tr>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Weeks 5-8: Acquisition</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Test 3 PLG channels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Launch on Product Hunt; publish 10 'how to hire X in country Y' SEO pages; ship 3 founder posts/week on engineering Twitter/X</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 signups by end of Week 8; identify top-converting channel</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9-12: Activation</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Optimize free-to-first-value</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Email + in-app drip for activated users; identify 'aha moment' metric; A/B test onboarding to lift activation rate; offer 1:1 founder calls for top 10% of users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 of signups complete first hire; 50+ paying customers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Alternative B (Partner-Led) — First 90 Days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00"/>
        <w:gridCol w:w="1900"/>
      </w:tblGrid>
      <w:tr>
        <w:trPr>
          <w:tblHeader/>
        </w:trPr>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Phase</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Focus</w:t>
            </w:r>
          </w:p>
        </w:tc>
        <w:tc>
          <w:tcPr>
            <w:tcW w:type="dxa" w:w="4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Specific Actions</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Success Metric</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1-4: Target &amp; Outreach</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partner pipeline</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list of 200 target partners across 6 categories; design partner program tiers + commission structure; create partner sales deck + ROI calculator; reach out to 50 warm intros via founder network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Partner program live; 30+ exploratory conversations</w:t>
            </w:r>
          </w:p>
        </w:tc>
      </w:tr>
      <w:tr>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Weeks 5-8: Enablement</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Onboard first 10-15 partners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Build partner portal (PartnerStack or in-house); create training program (60-min onboarding + quarterly refreshers); produce co-branded collateral kit; co-host first joint webinar</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10-15 partners onboarded; 1-2 joint webinars; first 5 partner-sourced demos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9-12: Activate &amp; Scale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Drive partner deal flow</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Bi-weekly partner office hours; rapid deal-registration response (&lt;24hr); identify top performers; tier upgrades; first quarterly partner business review</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 partner-sourced demos; 5-10 closed deals from partners; 3-5 partners moving to Reseller tier</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Alternative C (Founder-Led) — First 90 Days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400"/>
        <w:gridCol w:w="1900"/>
      </w:tblGrid>
      <w:tr>
        <w:trPr>
          <w:tblHeader/>
        </w:trPr>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Phase</w:t>
            </w:r>
          </w:p>
        </w:tc>
        <w:tc>
          <w:tcPr>
            <w:tcW w:type="dxa" w:w="1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Focus</w:t>
            </w:r>
          </w:p>
        </w:tc>
        <w:tc>
          <w:tcPr>
            <w:tcW w:type="dxa" w:w="4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Specific Actions</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Success Metric</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1-4: Voice &amp; Cadence</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Establish founder content rhythm</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 voice: opinionated POVs on 3-5 topics; commit to 5 LinkedIn posts/week + 1 weekly newsletter; ghost editor hired; content calendar 90 days out; optimize LinkedIn profile + newsletter landing page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 LinkedIn impressions/week by Week 4; 200+ newsletter subscribers</w:t>
            </w:r>
          </w:p>
        </w:tc>
      </w:tr>
      <w:tr>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Weeks 5-8: Distribution Expansion</w:t>
            </w:r>
          </w:p>
        </w:tc>
        <w:tc>
          <w:tcPr>
            <w:tcW w:type="dxa" w:w="1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Add second + third channels</w:t>
            </w:r>
          </w:p>
        </w:tc>
        <w:tc>
          <w:tcPr>
            <w:tcW w:type="dxa" w:w="4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Launch podcast (founder hosts; 1 episode/week with guest); start posting on X/Twitter daily; sign up for 5-10 podcast guesting opportunities; first community Slack/Discord launch</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Podcast launched, 4 episodes live; 500+ community Discord members; first 10 podcast guest spots</w:t>
            </w:r>
          </w:p>
        </w:tc>
      </w:tr>
      <w:tr>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Weeks 9-12: Conversion Layer</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Connect audience to revenue</w:t>
            </w:r>
          </w:p>
        </w:tc>
        <w:tc>
          <w:tcPr>
            <w:tcW w:type="dxa" w:w="4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Add 'Founder Office Hours' booking link in every piece of content; first product mention every 3-5 pieces of content; community members get early access offers; inbound demos tagged by source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1K newsletter subscribers; 30-50 audience-sourced demo requests; first 5-10 customers attributable to founder content</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90-Day Plan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600"/>
        <w:gridCol w:w="1600"/>
      </w:tblGrid>
      <w:tr>
        <w:trPr>
          <w:tblHeader/>
        </w:trPr>
        <w:tc>
          <w:tcPr>
            <w:tcW w:type="dxa" w:w="24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Day 90 Milestone</w:t>
            </w:r>
          </w:p>
        </w:tc>
        <w:tc>
          <w:tcPr>
            <w:tcW w:type="dxa" w:w="1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v1 Default</w:t>
            </w:r>
          </w:p>
        </w:tc>
        <w:tc>
          <w:tcPr>
            <w:tcW w:type="dxa" w:w="17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A — PLG</w:t>
            </w:r>
          </w:p>
        </w:tc>
        <w:tc>
          <w:tcPr>
            <w:tcW w:type="dxa" w:w="16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B — Partner</w:t>
            </w:r>
          </w:p>
        </w:tc>
        <w:tc>
          <w:tcPr>
            <w:tcW w:type="dxa" w:w="16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Alt C — Founder</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Paying customers acquired</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3-8</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 (smaller ACV)</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5-10</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5-15</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MRR at Day 90</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$5K-$15K</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 (volume)</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$10K-$30K</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$8K-$25K</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Pipeline (qualified opportunities)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30-60 MQLs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 PQLs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 partner-sourced deals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30-50 inbound inquiries</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Key strategic asset built</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Marketing engine</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Self-serve product flow</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10-15 active partners</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audience (5K+)</w:t>
            </w:r>
          </w:p>
        </w:tc>
      </w:tr>
      <w:tr>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Capital spent (Q1)</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$30K-$45K</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$25K-$40K (eng + mktg)</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$15K-$25K</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w:t>
            </w:r>
          </w:p>
        </w:tc>
      </w:tr>
      <w:tr>
        <w:tc>
          <w:tcPr>
            <w:tcW w:type="dxa" w:w="24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Time-to-clear-signal</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60-90 days</w:t>
            </w:r>
          </w:p>
        </w:tc>
        <w:tc>
          <w:tcPr>
            <w:tcW w:type="dxa" w:w="17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60-90 days (PLG metrics)</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60-90 days (partner activation)</w:t>
            </w:r>
          </w:p>
        </w:tc>
        <w:tc>
          <w:tcPr>
            <w:tcW w:type="dxa" w:w="16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120-180 days (content compounds)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11</w:t>
            </w:r>
          </w:p>
          <w:p>
            <w:pPr>
              <w:spacing w:after="60" w:before="0"/>
            </w:pPr>
            <w:r>
              <w:rPr>
                <w:rFonts w:ascii="Arial" w:cs="Arial" w:eastAsia="Arial" w:hAnsi="Arial"/>
                <w:b/>
                <w:bCs/>
                <w:color w:val="FFFFFF"/>
                <w:sz w:val="32"/>
                <w:szCs w:val="32"/>
              </w:rPr>
              <w:t xml:space="preserve">Updated KPI Framework Per Alternative</w:t>
            </w:r>
          </w:p>
          <w:p>
            <w:pPr>
              <w:spacing w:after="0" w:before="0"/>
            </w:pPr>
            <w:r>
              <w:rPr>
                <w:rFonts w:ascii="Arial" w:cs="Arial" w:eastAsia="Arial" w:hAnsi="Arial"/>
                <w:i/>
                <w:iCs/>
                <w:color w:val="CBD5E1"/>
                <w:sz w:val="20"/>
                <w:szCs w:val="20"/>
              </w:rPr>
              <w:t xml:space="preserve">Different bets, different success metrics</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The Principle</w:t>
      </w:r>
    </w:p>
    <w:p>
      <w:pPr>
        <w:spacing w:after="200" w:before="0"/>
        <w:jc w:val="left"/>
      </w:pPr>
      <w:r>
        <w:rPr>
          <w:rFonts w:ascii="Arial" w:cs="Arial" w:eastAsia="Arial" w:hAnsi="Arial"/>
          <w:b w:val="false"/>
          <w:bCs w:val="false"/>
          <w:i w:val="false"/>
          <w:iCs w:val="false"/>
          <w:color w:val="000000"/>
          <w:sz w:val="22"/>
          <w:szCs w:val="22"/>
        </w:rPr>
        <w:t xml:space="preserve">Each alternative produces success differently. Measuring all four with v1's KPI framework would systematically under-rate them. This section provides the right metrics for each path.</w:t>
      </w:r>
    </w:p>
    <w:p>
      <w:pPr>
        <w:pStyle w:val="Heading2"/>
        <w:spacing w:after="160" w:before="240"/>
      </w:pPr>
      <w:r>
        <w:rPr>
          <w:rFonts w:ascii="Arial" w:cs="Arial" w:eastAsia="Arial" w:hAnsi="Arial"/>
          <w:b/>
          <w:bCs/>
          <w:color w:val="0B2E4F"/>
          <w:sz w:val="28"/>
          <w:szCs w:val="28"/>
        </w:rPr>
        <w:t xml:space="preserve">Alternative A (PLG) —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KPI</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3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6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12 Target</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Monthly self-serve signups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300-600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1,000-2,000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2,000-5,000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Activation rate (signup → first hire)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30-40%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45-55%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55-65%</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Free-to-paid conversion (180-day)</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1-3%</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5-8%</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Time-to-value (signup to first 'aha')</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&lt;15 min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&lt;10 min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&lt;5 min</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Product Qualified Leads (PQLs)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30-80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100-250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200-500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Paying customers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30-60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100-200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ACV (annual contract value)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$1.5K-$3K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$2K-$4K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$3K-$5K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MRR</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$30K-$60K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$80K-$150K</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CAC (blended)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$200-$400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$150-$300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$80-$250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Payback period</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6-9 months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4-6 months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3-5 months</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LTV:CAC</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3:1</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8:1+</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Net Revenue Retention</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110%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Viral coefficient (k)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0.2</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0.4</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0.6+</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Alternative B (Partner-Led) —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KPI</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3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6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12 Target</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Partners recruited (total)</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15-25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30-50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60-100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Active partners (1+ deal/quarter)</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15-25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30-50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Reseller-tier partners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0-2</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3-8</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8-15</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Strategic-tier partners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1-3</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Partner-sourced opportunities / mo</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40-80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100-250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 revenue from partner channel</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20-40%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50-65%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60-80%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Avg deal size — partner-sourced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$8K-$15K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$10K-$20K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$15K-$25K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Paid customers (cumulative)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10-20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30-60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75-150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MRR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$15K-$30K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$50K-$100K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$120K-$250K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Partner NPS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&gt;30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&gt;40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&gt;50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Time from partner-onboard to first deal</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&lt;60 days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&lt;45 days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&lt;30 days</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Customer churn (partner-sourced)</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&lt;4%</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&lt;3%</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Partner-sourced CAC</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$400-$700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$300-$500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$200-$400</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Alternative C (Founder-Led) — KPI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KPI</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3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6 Target</w:t>
            </w:r>
          </w:p>
        </w:tc>
        <w:tc>
          <w:tcPr>
            <w:tcW w:type="dxa" w:w="19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Month 12 Target</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LinkedIn followers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3K-5K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10K-15K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30K-50K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LinkedIn weekly impressions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30K-50K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150K-300K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500K-1M+</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Newsletter subscribers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500-1K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3K-6K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10K-25K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X/Twitter followers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1K-3K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5K-10K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15K-30K</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Community members (Slack/Discord)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200-400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800-1.5K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2K-5K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YouTube subscribers</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0-200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500-1.5K</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3K-10K</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Podcast (host) listeners/episode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100-500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1K-3K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5K-15K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Inbound inquiries / mo (audience-attributed)</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20-50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80-150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150-400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Demos from founder content</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5-15</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30-60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100-250</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Paid customers (cumulative)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5-15</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20-40</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75-150</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MRR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$8K-$25K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$40K-$80K</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$120K-$300K</w:t>
            </w:r>
          </w:p>
        </w:tc>
      </w:tr>
      <w:tr>
        <w:tc>
          <w:tcPr>
            <w:tcW w:type="dxa" w:w="33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Brand search volume (founder name)</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100-500/mo</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1K-3K/mo</w:t>
            </w:r>
          </w:p>
        </w:tc>
        <w:tc>
          <w:tcPr>
            <w:tcW w:type="dxa" w:w="19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5K-15K/mo</w:t>
            </w:r>
          </w:p>
        </w:tc>
      </w:tr>
      <w:tr>
        <w:tc>
          <w:tcPr>
            <w:tcW w:type="dxa" w:w="33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CAC blended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$300-$600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$200-$400</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$150-$350</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0FB5BA" w:sz="36"/>
              <w:bottom w:val="none" w:color="FFFFFF" w:sz="0"/>
              <w:right w:val="none" w:color="FFFFFF" w:sz="0"/>
            </w:tcBorders>
            <w:shd w:fill="0B2E4F" w:color="auto" w:val="clear"/>
            <w:tcMar>
              <w:top w:type="dxa" w:w="280"/>
              <w:left w:type="dxa" w:w="280"/>
              <w:bottom w:type="dxa" w:w="280"/>
              <w:right w:type="dxa" w:w="280"/>
            </w:tcMar>
          </w:tcPr>
          <w:p>
            <w:pPr>
              <w:spacing w:after="40" w:before="0"/>
            </w:pPr>
            <w:r>
              <w:rPr>
                <w:rFonts w:ascii="Arial" w:cs="Arial" w:eastAsia="Arial" w:hAnsi="Arial"/>
                <w:b/>
                <w:bCs/>
                <w:color w:val="0FB5BA"/>
                <w:sz w:val="18"/>
                <w:szCs w:val="18"/>
              </w:rPr>
              <w:t xml:space="preserve">SECTION 12</w:t>
            </w:r>
          </w:p>
          <w:p>
            <w:pPr>
              <w:spacing w:after="60" w:before="0"/>
            </w:pPr>
            <w:r>
              <w:rPr>
                <w:rFonts w:ascii="Arial" w:cs="Arial" w:eastAsia="Arial" w:hAnsi="Arial"/>
                <w:b/>
                <w:bCs/>
                <w:color w:val="FFFFFF"/>
                <w:sz w:val="32"/>
                <w:szCs w:val="32"/>
              </w:rPr>
              <w:t xml:space="preserve">Final Recommendation + Decision Tree</w:t>
            </w:r>
          </w:p>
          <w:p>
            <w:pPr>
              <w:spacing w:after="0" w:before="0"/>
            </w:pPr>
            <w:r>
              <w:rPr>
                <w:rFonts w:ascii="Arial" w:cs="Arial" w:eastAsia="Arial" w:hAnsi="Arial"/>
                <w:i/>
                <w:iCs/>
                <w:color w:val="CBD5E1"/>
                <w:sz w:val="20"/>
                <w:szCs w:val="20"/>
              </w:rPr>
              <w:t xml:space="preserve">Given Dechub's current state, what we'd advise</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Our Synthesized View</w:t>
      </w:r>
    </w:p>
    <w:p>
      <w:pPr>
        <w:spacing w:after="180" w:before="0"/>
        <w:jc w:val="left"/>
      </w:pPr>
      <w:r>
        <w:rPr>
          <w:rFonts w:ascii="Arial" w:cs="Arial" w:eastAsia="Arial" w:hAnsi="Arial"/>
          <w:b w:val="false"/>
          <w:bCs w:val="false"/>
          <w:i w:val="false"/>
          <w:iCs w:val="false"/>
          <w:color w:val="000000"/>
          <w:sz w:val="22"/>
          <w:szCs w:val="22"/>
        </w:rPr>
        <w:t xml:space="preserve">Based on what's public about Dechub (Indian founder, lean stage, India-EOR positioning, no significant prior brand presence), and the structural analysis in Section 2, our recommendation is a sequenced hybrid model, not a single alternative.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4"/>
              <w:left w:val="single" w:color="15803D" w:sz="18"/>
              <w:bottom w:val="single" w:color="15803D" w:sz="4"/>
              <w:right w:val="single" w:color="15803D" w:sz="4"/>
            </w:tcBorders>
            <w:shd w:fill="ECFDF5" w:color="auto" w:val="clear"/>
            <w:tcMar>
              <w:top w:type="dxa" w:w="200"/>
              <w:left w:type="dxa" w:w="240"/>
              <w:bottom w:type="dxa" w:w="200"/>
              <w:right w:type="dxa" w:w="200"/>
            </w:tcMar>
          </w:tcPr>
          <w:p>
            <w:pPr>
              <w:spacing w:after="80" w:before="0"/>
            </w:pPr>
            <w:r>
              <w:rPr>
                <w:rFonts w:ascii="Arial" w:cs="Arial" w:eastAsia="Arial" w:hAnsi="Arial"/>
                <w:b/>
                <w:bCs/>
                <w:color w:val="14532D"/>
                <w:sz w:val="22"/>
                <w:szCs w:val="22"/>
              </w:rPr>
              <w:t xml:space="preserve">Recommended Path</w:t>
            </w:r>
          </w:p>
          <w:p>
            <w:pPr>
              <w:spacing w:after="60" w:before="0"/>
            </w:pPr>
            <w:r>
              <w:rPr>
                <w:rFonts w:ascii="Arial" w:cs="Arial" w:eastAsia="Arial" w:hAnsi="Arial"/>
                <w:b/>
                <w:bCs/>
                <w:i w:val="false"/>
                <w:iCs w:val="false"/>
                <w:color w:val="000000"/>
                <w:sz w:val="20"/>
                <w:szCs w:val="20"/>
              </w:rPr>
              <w:t xml:space="preserve">Months 0-9: Hybrid 1 (v1 Core + Founder Layer). </w:t>
            </w:r>
            <w:r>
              <w:rPr>
                <w:rFonts w:ascii="Arial" w:cs="Arial" w:eastAsia="Arial" w:hAnsi="Arial"/>
                <w:b w:val="false"/>
                <w:bCs w:val="false"/>
                <w:i w:val="false"/>
                <w:iCs w:val="false"/>
                <w:color w:val="000000"/>
                <w:sz w:val="20"/>
                <w:szCs w:val="20"/>
              </w:rPr>
              <w:t xml:space="preserve">Execute v1's foundational tactics — SEO, content, paid ads — but make Alternative C (founder-led content) the parallel investment. Founder commits 25-30% of time to content from day 1.</w:t>
            </w:r>
          </w:p>
          <w:p>
            <w:pPr>
              <w:spacing w:after="60" w:before="0"/>
            </w:pPr>
            <w:r>
              <w:rPr>
                <w:rFonts w:ascii="Arial" w:cs="Arial" w:eastAsia="Arial" w:hAnsi="Arial"/>
                <w:b/>
                <w:bCs/>
                <w:i w:val="false"/>
                <w:iCs w:val="false"/>
                <w:color w:val="000000"/>
                <w:sz w:val="20"/>
                <w:szCs w:val="20"/>
              </w:rPr>
              <w:t xml:space="preserve">Months 9-18: Layer Alternative B (Partner-Led). </w:t>
            </w:r>
            <w:r>
              <w:rPr>
                <w:rFonts w:ascii="Arial" w:cs="Arial" w:eastAsia="Arial" w:hAnsi="Arial"/>
                <w:b w:val="false"/>
                <w:bCs w:val="false"/>
                <w:i w:val="false"/>
                <w:iCs w:val="false"/>
                <w:color w:val="000000"/>
                <w:sz w:val="20"/>
                <w:szCs w:val="20"/>
              </w:rPr>
              <w:t xml:space="preserve">Once founder content has built initial audience and momentum, use that authority to recruit partners. Founder credibility makes partner recruitment 3x easier.</w:t>
            </w:r>
          </w:p>
          <w:p>
            <w:pPr>
              <w:spacing w:after="60" w:before="0"/>
            </w:pPr>
            <w:r>
              <w:rPr>
                <w:rFonts w:ascii="Arial" w:cs="Arial" w:eastAsia="Arial" w:hAnsi="Arial"/>
                <w:b/>
                <w:bCs/>
                <w:i w:val="false"/>
                <w:iCs w:val="false"/>
                <w:color w:val="000000"/>
                <w:sz w:val="20"/>
                <w:szCs w:val="20"/>
              </w:rPr>
              <w:t xml:space="preserve">Months 18+: Evaluate Alternative A (PLG). </w:t>
            </w:r>
            <w:r>
              <w:rPr>
                <w:rFonts w:ascii="Arial" w:cs="Arial" w:eastAsia="Arial" w:hAnsi="Arial"/>
                <w:b w:val="false"/>
                <w:bCs w:val="false"/>
                <w:i w:val="false"/>
                <w:iCs w:val="false"/>
                <w:color w:val="000000"/>
                <w:sz w:val="20"/>
                <w:szCs w:val="20"/>
              </w:rPr>
              <w:t xml:space="preserve">If product has matured enough to support self-serve, layer PLG on top of the partner + founder-led engine. By this point, brand awareness from Alt C + distribution from Alt B make PLG viral mechanics meaningful.</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Why This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Sequencing Logic</w:t>
            </w:r>
          </w:p>
        </w:tc>
        <w:tc>
          <w:tcPr>
            <w:tcW w:type="dxa" w:w="60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Detail</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Start with v1 + Alt C (not Alt A or B alone)</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v1 produces revenue while founder content compounds. Alt C alone is too slow; Alt A alone has too much product risk; Alt B alone is too partner-dependent.</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Why Alt C before Alt B</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audience makes partner recruitment easier. Without founder authority, partner outreach feels like cold outreach. With it, partners come inbound.</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Why Alt A last</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PLG requires deep product investment that early-stage Dechub may not have bandwidth for. Layering PLG onto an established brand (months 18+) compounds better than leading with it.</w:t>
            </w:r>
          </w:p>
        </w:tc>
      </w:tr>
      <w:tr>
        <w:tc>
          <w:tcPr>
            <w:tcW w:type="dxa" w:w="3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Why not 'do everything from day 1'</w:t>
            </w:r>
          </w:p>
        </w:tc>
        <w:tc>
          <w:tcPr>
            <w:tcW w:type="dxa" w:w="60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Each alternative requires concentrated focus to work. Splitting attention across 4 paths produces 4 half-built engines. The sequencing keeps focus per phase.</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Conditional Recommendations</w:t>
      </w:r>
    </w:p>
    <w:p>
      <w:pPr>
        <w:spacing w:after="150" w:before="0"/>
        <w:jc w:val="left"/>
      </w:pPr>
      <w:r>
        <w:rPr>
          <w:rFonts w:ascii="Arial" w:cs="Arial" w:eastAsia="Arial" w:hAnsi="Arial"/>
          <w:b w:val="false"/>
          <w:bCs w:val="false"/>
          <w:i w:val="false"/>
          <w:iCs w:val="false"/>
          <w:color w:val="000000"/>
          <w:sz w:val="22"/>
          <w:szCs w:val="22"/>
        </w:rPr>
        <w:t xml:space="preserve">If specific conditions hold for Dechub, the recommendation shifts: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If This Is True for Dechub...</w:t>
            </w:r>
          </w:p>
        </w:tc>
        <w:tc>
          <w:tcPr>
            <w:tcW w:type="dxa" w:w="4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Then Recommended Path Shifts To...</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is NOT willing to commit to public content for 18+ months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Pure v1 default + Alt B (Partner-Led) layered in from Month 3</w:t>
            </w:r>
          </w:p>
        </w:tc>
      </w:tr>
      <w:tr>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Marketing budget is &lt;$8K/month</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B + Alt C only (skip v1 paid ads); founder time + partner network become the primary investment</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Founder has 30+ existing relationships with agencies/accelerators</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Lead with Alt B (Partner-Led); add Alt C as parallel from Month 3</w:t>
            </w:r>
          </w:p>
        </w:tc>
      </w:tr>
      <w:tr>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Product is already self-serviceable (founders/CTOs can sign up and use without human help)</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Lead with Alt A (PLG); deprioritize traditional sales motion in Year 1</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Just raised Series A+ ($5M+) with 24+ months of runway</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Pure v1 + Alt C parallel; can afford to be patient with content compounding</w:t>
            </w:r>
          </w:p>
        </w:tc>
      </w:tr>
      <w:tr>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Strong technical team but limited marketing experience</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Alt A (PLG) + Alt C — both rely on engineering and founder, not marketing function</w:t>
            </w:r>
          </w:p>
        </w:tc>
      </w:tr>
      <w:tr>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Existing customer base of 10-20 ready to evangelize</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Accelerate Alt B (Partner-Led) — customers' networks become first partner pool</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Final Decision Tree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850"/>
        <w:gridCol w:w="1850"/>
      </w:tblGrid>
      <w:tr>
        <w:trPr>
          <w:tblHeader/>
        </w:trPr>
        <w:tc>
          <w:tcPr>
            <w:tcW w:type="dxa" w:w="8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t>
            </w:r>
          </w:p>
        </w:tc>
        <w:tc>
          <w:tcPr>
            <w:tcW w:type="dxa" w:w="450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Question</w:t>
            </w:r>
          </w:p>
        </w:tc>
        <w:tc>
          <w:tcPr>
            <w:tcW w:type="dxa" w:w="185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If YES</w:t>
            </w:r>
          </w:p>
        </w:tc>
        <w:tc>
          <w:tcPr>
            <w:tcW w:type="dxa" w:w="1850"/>
            <w:tcBorders>
              <w:top w:val="single" w:color="CBD5E1" w:sz="4"/>
              <w:left w:val="single" w:color="CBD5E1" w:sz="4"/>
              <w:bottom w:val="single" w:color="CBD5E1" w:sz="4"/>
              <w:right w:val="single" w:color="CBD5E1" w:sz="4"/>
            </w:tcBorders>
            <w:shd w:fill="0B2E4F" w:color="auto"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If NO</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1</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commits 25%+ time to content for 18+ months?</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Go to Q2</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Skip Alt C → consider Hybrid 2 (Alt B-led)</w:t>
            </w:r>
          </w:p>
        </w:tc>
      </w:tr>
      <w:t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2</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Marketing budget &gt;$10K/mo?</w:t>
            </w:r>
          </w:p>
        </w:tc>
        <w:tc>
          <w:tcPr>
            <w:tcW w:type="dxa" w:w="185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Hybrid 1 (v1 + Alt C) is feasible</w:t>
            </w:r>
          </w:p>
        </w:tc>
        <w:tc>
          <w:tcPr>
            <w:tcW w:type="dxa" w:w="185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Pure Alt C + Alt B (lean approach)</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3</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Product fully self-serviceable in &lt;15 min for first hire?</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Add Alt A elements from Month 9</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Defer PLG; stick with v1 + Alt C + Alt B</w:t>
            </w:r>
          </w:p>
        </w:tc>
      </w:tr>
      <w:tr>
        <w:tc>
          <w:tcPr>
            <w:tcW w:type="dxa" w:w="8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4</w:t>
            </w:r>
          </w:p>
        </w:tc>
        <w:tc>
          <w:tcPr>
            <w:tcW w:type="dxa" w:w="450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Founder has 20+ warm partner relationships?</w:t>
            </w:r>
          </w:p>
        </w:tc>
        <w:tc>
          <w:tcPr>
            <w:tcW w:type="dxa" w:w="185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Accelerate Alt B from Month 3</w:t>
            </w:r>
          </w:p>
        </w:tc>
        <w:tc>
          <w:tcPr>
            <w:tcW w:type="dxa" w:w="1850"/>
            <w:tcBorders>
              <w:top w:val="single" w:color="CBD5E1" w:sz="4"/>
              <w:left w:val="single" w:color="CBD5E1" w:sz="4"/>
              <w:bottom w:val="single" w:color="CBD5E1" w:sz="4"/>
              <w:right w:val="single" w:color="CBD5E1" w:sz="4"/>
            </w:tcBorders>
            <w:shd w:fill="F8FAFC" w:color="auto"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Defer Alt B until founder authority is established (Month 9-12)</w:t>
            </w:r>
          </w:p>
        </w:tc>
      </w:tr>
      <w:tr>
        <w:tc>
          <w:tcPr>
            <w:tcW w:type="dxa" w:w="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bCs/>
                <w:color w:val="000000"/>
                <w:sz w:val="18"/>
                <w:szCs w:val="18"/>
              </w:rPr>
              <w:t xml:space="preserve">5</w:t>
            </w:r>
          </w:p>
        </w:tc>
        <w:tc>
          <w:tcPr>
            <w:tcW w:type="dxa" w:w="4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Raised $1M+ in funding?</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Execute the full sequenced recommendation</w:t>
            </w:r>
          </w:p>
        </w:tc>
        <w:tc>
          <w:tcPr>
            <w:tcW w:type="dxa" w:w="185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Lean version: Alt C + selective tactical alternatives from Section 7</w:t>
            </w:r>
          </w:p>
        </w:tc>
      </w:tr>
    </w:tbl>
    <w:p>
      <w:pPr>
        <w:spacing w:after="220" w:before="0"/>
      </w:pPr>
      <w:r>
        <w:t xml:space="preserve"/>
      </w:r>
    </w:p>
    <w:p>
      <w:pPr>
        <w:pStyle w:val="Heading2"/>
        <w:spacing w:after="160" w:before="240"/>
      </w:pPr>
      <w:r>
        <w:rPr>
          <w:rFonts w:ascii="Arial" w:cs="Arial" w:eastAsia="Arial" w:hAnsi="Arial"/>
          <w:b/>
          <w:bCs/>
          <w:color w:val="0B2E4F"/>
          <w:sz w:val="28"/>
          <w:szCs w:val="28"/>
        </w:rPr>
        <w:t xml:space="preserve">Closing Thesis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B5BA" w:sz="4"/>
              <w:left w:val="single" w:color="0FB5BA" w:sz="18"/>
              <w:bottom w:val="single" w:color="0FB5BA" w:sz="4"/>
              <w:right w:val="single" w:color="0FB5BA" w:sz="4"/>
            </w:tcBorders>
            <w:shd w:fill="EFF6FF" w:color="auto" w:val="clear"/>
            <w:tcMar>
              <w:top w:type="dxa" w:w="200"/>
              <w:left w:type="dxa" w:w="240"/>
              <w:bottom w:type="dxa" w:w="200"/>
              <w:right w:type="dxa" w:w="200"/>
            </w:tcMar>
          </w:tcPr>
          <w:p>
            <w:pPr>
              <w:spacing w:after="80" w:before="0"/>
            </w:pPr>
            <w:r>
              <w:rPr>
                <w:rFonts w:ascii="Arial" w:cs="Arial" w:eastAsia="Arial" w:hAnsi="Arial"/>
                <w:b/>
                <w:bCs/>
                <w:color w:val="0B2E4F"/>
                <w:sz w:val="22"/>
                <w:szCs w:val="22"/>
              </w:rPr>
              <w:t xml:space="preserve">The One-Paragraph Version</w:t>
            </w:r>
          </w:p>
          <w:p>
            <w:pPr>
              <w:spacing w:after="60" w:before="0"/>
            </w:pPr>
            <w:r>
              <w:rPr>
                <w:rFonts w:ascii="Arial" w:cs="Arial" w:eastAsia="Arial" w:hAnsi="Arial"/>
                <w:b w:val="false"/>
                <w:bCs w:val="false"/>
                <w:i w:val="false"/>
                <w:iCs w:val="false"/>
                <w:color w:val="000000"/>
                <w:sz w:val="20"/>
                <w:szCs w:val="20"/>
              </w:rPr>
              <w:t xml:space="preserve">v1 is a perfectly good playbook for a well-funded Series A+ SaaS in a non-competitive category. It is a risky playbook for a lean Indian-founded EOR competing with Deel and Remote. The asymmetric path is to combine v1's revenue-producing tactics with founder-led content (Alt C) from day one, layer in partner-led distribution (Alt B) starting month 9, and consider product-led growth (Alt A) once the brand is established. This sequence trades immediate revenue velocity (v1's strength) for compounding brand and distribution moats (Alt B + C's strengths). 18 months from execution, the difference between v1 alone and the sequenced hybrid is the difference between a $1M ARR business dependent on outspending competitors, and a $2-4M ARR business with a permanent strategic moat that funded competitors cannot easily replicate.</w:t>
            </w:r>
          </w:p>
        </w:tc>
      </w:tr>
    </w:tbl>
    <w:p>
      <w:pPr>
        <w:spacing w:after="280" w:before="0"/>
      </w:pPr>
      <w:r>
        <w:t xml:space="preserve"/>
      </w:r>
    </w:p>
    <w:p>
      <w:pPr>
        <w:spacing w:after="100" w:before="0"/>
        <w:jc w:val="center"/>
      </w:pPr>
      <w:r>
        <w:rPr>
          <w:rFonts w:ascii="Arial" w:cs="Arial" w:eastAsia="Arial" w:hAnsi="Arial"/>
          <w:b w:val="false"/>
          <w:bCs w:val="false"/>
          <w:i/>
          <w:iCs/>
          <w:color w:val="475569"/>
          <w:sz w:val="20"/>
          <w:szCs w:val="20"/>
        </w:rPr>
        <w:t xml:space="preserve">— End of Document —</w:t>
      </w:r>
    </w:p>
    <w:p>
      <w:pPr>
        <w:spacing w:after="100" w:before="0"/>
      </w:pPr>
      <w:r>
        <w:t xml:space="preserve"/>
      </w:r>
    </w:p>
    <w:p>
      <w:pPr>
        <w:spacing w:after="100" w:before="0"/>
        <w:jc w:val="center"/>
      </w:pPr>
      <w:r>
        <w:rPr>
          <w:rFonts w:ascii="Arial" w:cs="Arial" w:eastAsia="Arial" w:hAnsi="Arial"/>
          <w:b w:val="false"/>
          <w:bCs w:val="false"/>
          <w:i w:val="false"/>
          <w:iCs w:val="false"/>
          <w:color w:val="475569"/>
          <w:sz w:val="18"/>
          <w:szCs w:val="18"/>
        </w:rPr>
        <w:t xml:space="preserve">Dechub  |  Marketing Strategy v2  |  Confidential  |  Companion to v1.0</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B5BA" w:sz="6" w:space="4"/>
      </w:pBdr>
      <w:spacing w:before="0"/>
      <w:jc w:val="left"/>
    </w:pPr>
    <w:r>
      <w:rPr>
        <w:rFonts w:ascii="Arial" w:cs="Arial" w:eastAsia="Arial" w:hAnsi="Arial"/>
        <w:color w:val="475569"/>
        <w:sz w:val="16"/>
        <w:szCs w:val="16"/>
      </w:rPr>
      <w:t xml:space="preserve">Dechub Strategy  ·  v2.0  ·  </w:t>
    </w:r>
    <w:r>
      <w:rPr>
        <w:rFonts w:ascii="Arial" w:cs="Arial" w:eastAsia="Arial" w:hAnsi="Arial"/>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B5BA" w:sz="6" w:space="4"/>
      </w:pBdr>
      <w:spacing w:after="0"/>
      <w:jc w:val="left"/>
    </w:pPr>
    <w:r>
      <w:rPr>
        <w:rFonts w:ascii="Arial" w:cs="Arial" w:eastAsia="Arial" w:hAnsi="Arial"/>
        <w:b/>
        <w:bCs/>
        <w:color w:val="0B2E4F"/>
        <w:sz w:val="18"/>
        <w:szCs w:val="18"/>
      </w:rPr>
      <w:t xml:space="preserve">DECHUB</w:t>
    </w:r>
    <w:r>
      <w:rPr>
        <w:rFonts w:ascii="Arial" w:cs="Arial" w:eastAsia="Arial" w:hAnsi="Arial"/>
        <w:color w:val="475569"/>
        <w:sz w:val="18"/>
        <w:szCs w:val="18"/>
      </w:rPr>
      <w:t xml:space="preserve">  |  Marketing Strategy v2.0  ·  Alternative Strategies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E4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B2E4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Dechub Marketing Strategy 2025-2026 — Version 2 (Alternative Strategies)</dc:title>
  <dc:creator>Dechub Strategy</dc:creator>
  <dc:description>Three alternative strategic paths plus tactical alternatives and decision framework</dc:description>
  <cp:lastModifiedBy>Un-named</cp:lastModifiedBy>
  <cp:revision>1</cp:revision>
  <dcterms:created xsi:type="dcterms:W3CDTF">2026-06-21T19:05:38.223Z</dcterms:created>
  <dcterms:modified xsi:type="dcterms:W3CDTF">2026-06-21T19:05:38.224Z</dcterms:modified>
</cp:coreProperties>
</file>

<file path=docProps/custom.xml><?xml version="1.0" encoding="utf-8"?>
<Properties xmlns="http://schemas.openxmlformats.org/officeDocument/2006/custom-properties" xmlns:vt="http://schemas.openxmlformats.org/officeDocument/2006/docPropsVTypes"/>
</file>