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Uncovering the Gaming Industry's Hidden Gems: A Comprehensive Analysis of Video Game Sales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Video games are popular all over the world. They are enjoyed by all ages. Video game industry is huge and the spending on video games per year is huge too. Sales of different types of games vary widely between countries due to local preferences. According to the market research firm SuperData, as of May 2015, the global games market was worth USD 74.2 billion. By region, North America accounted for 23.6 billion dollars, Asia for 23.1 billion dollars, Europe for 22.1 billion dollars and South America for 4.5 billion dollars. There are different genres, publisher and platforms for video games.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Empathy Map: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