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"/>
          <w:b/>
          <w:bCs/>
          <w:sz w:val="48"/>
          <w:szCs w:val="48"/>
        </w:rPr>
        <w:t>Maya Revenue Model</w:t>
      </w:r>
    </w:p>
    <w:p>
      <w:pPr>
        <w:pStyle w:val="Heading3"/>
        <w:bidi w:val="0"/>
        <w:spacing w:before="140" w:after="120"/>
        <w:jc w:val="star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Primary Revenue Streams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Transaction Fees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 small percentage (e.g., 0.1%–1%) is charged on every cryptocurrency trade or fiat-to-crypto/crypto-to-fiat conversion.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High trading volume on the platform ensures consistent revenue generation.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Spread on Conversion Rates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For fiat-to-crypto or crypto-to-fiat conversions, a spread is applied (difference between the buy and sell price).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Users are willing to pay for convenience and secure transactions.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Deposit and Withdrawal Fees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Charging fees for deposits (e.g., fiat deposits via UPI) and withdrawals (e.g., transferring cryptocurrency to an external wallet &amp; fiat transfer to other users in network by using UPI Infrastructure).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Users accept nominal fees for seamless integration with fiat systems.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Premium Membership Plans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Offer tiered memberships for advanced trading tools, lower fees, or priority customer support.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Power users and institutional traders value enhanced features.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Staking and Lending Services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Earn interest by facilitating staking of cryptocurrencies or lending/borrowing features for users.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Users who hold cryptocurrencies long-term are attracted to earning passive income.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Secondary Revenue Streams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Institutional Trading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Provide APIs for high-frequency trading and large-scale institutional investors.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Charge subscription fees or fees based on volume.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Institutions are attracted to robust APIs and lower fees for bulk trades.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Advertisement and Listing Fees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Charge projects and token issuers fees to list their cryptocurrency or advertise on the platform.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Growing platforms are attractive marketing channels for emerging tokens.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Educational Content and Training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Offer paid courses, webinars, and guides about cryptocurrency trading and blockchain technology.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Many users are beginners who value expert guidance.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NFT Marketplace Integration</w:t>
      </w:r>
      <w:r>
        <w:rPr/>
        <w:t xml:space="preserve"> (Future Expansion):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Monetize by charging fees for NFT transactions or minting.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Why It Works</w:t>
      </w:r>
      <w:r>
        <w:rPr/>
        <w:t>: NFT markets are rapidly expanding and complement cryptocurrency platforms.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Scaling and Long-term Profitability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Economies of Scale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As user volume grows, operational costs like server hosting and security measures scale more efficiently, increasing profit margins.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Diversified Services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Expanding into DeFi, cross-border remittances, and tokenized assets to attract more user demographics.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Strategic Partnerships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Collaborate with payment gateways, banks, or other crypto platforms to expand reach and functionality.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Global Expansion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Enter new markets with high demand for cryptocurrency trading, such as emerging economies with limited banking infrastructure.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Monetization Roadmap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Year 1</w:t>
      </w:r>
      <w:r>
        <w:rPr/>
        <w:t>: Focus on user acquisition and platform stability.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Low fees to attract users.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Launch referral programs to boost sign-ups.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Year 2–3</w:t>
      </w:r>
      <w:r>
        <w:rPr/>
        <w:t>: Scale operations and introduce premium features.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Introduce premium memberships and advanced trading tools.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Expand the team for marketing and support.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Year 4+</w:t>
      </w:r>
      <w:r>
        <w:rPr/>
        <w:t>: Diversify revenue streams.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Add staking, lending, and NFT marketplace features.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Expand to institutional investors and global markets.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5. How Maya Exchange Will Make Money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Immediate Revenue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Start with transaction fees and fiat integration fees.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Adds &amp; Coupons, Intermediary fee, charges, etc,..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Customer Stickiness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Provide superior user experience with competitive fees and fast transaction times to retain users.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Introduce loyalty programs to encourage repeat usage.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Scalable Growth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Expand user base rapidly while controlling operational costs.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Rely on early adopters to promote the platform organically.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98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18994" w:leader="none"/>
        <w:tab w:val="right" w:pos="2381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rPr>
        <w:sz w:val="72"/>
        <w:szCs w:val="72"/>
      </w:rPr>
    </w:pPr>
    <w:r>
      <w:rPr>
        <w:sz w:val="72"/>
        <w:szCs w:val="72"/>
      </w:rPr>
      <w:t xml:space="preserve">Maya </w:t>
    </w: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822960" cy="822960"/>
          <wp:effectExtent l="0" t="0" r="0" b="0"/>
          <wp:wrapSquare wrapText="bothSides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72"/>
        <w:szCs w:val="72"/>
      </w:rPr>
      <w:t xml:space="preserve">Exchange </w:t>
    </w:r>
  </w:p>
  <w:p>
    <w:pPr>
      <w:pStyle w:val="normal1"/>
      <w:widowControl/>
      <w:tabs>
        <w:tab w:val="clear" w:pos="709"/>
        <w:tab w:val="center" w:pos="18994" w:leader="none"/>
        <w:tab w:val="right" w:pos="23813" w:leader="none"/>
      </w:tabs>
      <w:spacing w:lineRule="auto" w:line="240" w:before="0" w:after="240"/>
      <w:ind w:hanging="0" w:start="2835" w:end="3005"/>
      <w:rPr>
        <w:sz w:val="22"/>
        <w:szCs w:val="22"/>
      </w:rPr>
    </w:pPr>
    <w:r>
      <w:rPr>
        <w:rFonts w:eastAsia="Arial" w:cs="Arial" w:ascii="Arial" w:hAnsi="Arial"/>
        <w:b w:val="false"/>
        <w:i w:val="false"/>
        <w:caps w:val="false"/>
        <w:smallCaps w:val="false"/>
        <w:color w:val="000000"/>
        <w:spacing w:val="0"/>
        <w:sz w:val="22"/>
        <w:szCs w:val="22"/>
      </w:rPr>
      <w:t>Let’s Make Difference In Crypto World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IN" w:eastAsia="zh-CN" w:bidi="hi-IN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LibreOffice/24.8.4.2$Linux_X86_64 LibreOffice_project/bb3cfa12c7b1bf994ecc5649a80400d06cd71002</Application>
  <AppVersion>15.0000</AppVersion>
  <Pages>3</Pages>
  <Words>573</Words>
  <Characters>3295</Characters>
  <CharactersWithSpaces>3751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2025-01-21T20:31:57Z</dcterms:created>
  <dc:creator/>
  <dc:description/>
  <dc:language>en-IN</dc:language>
  <cp:lastModifiedBy/>
  <dcterms:modified xsi:type="dcterms:W3CDTF">2025-02-11T21:10:48Z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