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558" w:rsidRDefault="009903EF">
      <w:pPr>
        <w:pStyle w:val="Title"/>
        <w:jc w:val="center"/>
      </w:pPr>
      <w:r>
        <w:t>Project Compass</w:t>
      </w:r>
    </w:p>
    <w:p w:rsidR="00E16558" w:rsidRDefault="009903EF">
      <w:pPr>
        <w:jc w:val="center"/>
      </w:pPr>
      <w:r>
        <w:rPr>
          <w:sz w:val="32"/>
        </w:rPr>
        <w:t>Technical Specification &amp; Project Completion Report</w:t>
      </w:r>
    </w:p>
    <w:p w:rsidR="00E16558" w:rsidRDefault="009903EF">
      <w:r>
        <w:br/>
      </w:r>
    </w:p>
    <w:p w:rsidR="00E16558" w:rsidRDefault="009903EF">
      <w:r>
        <w:t>Document Version: 1.2</w:t>
      </w:r>
    </w:p>
    <w:p w:rsidR="00E16558" w:rsidRDefault="009903EF">
      <w:r>
        <w:t>Status: Production Ready / Handover</w:t>
      </w:r>
    </w:p>
    <w:p w:rsidR="00E16558" w:rsidRDefault="009903EF">
      <w:r>
        <w:t>Date: May 6, 2026</w:t>
      </w:r>
    </w:p>
    <w:p w:rsidR="00E16558" w:rsidRDefault="009903EF">
      <w:r>
        <w:br w:type="page"/>
      </w:r>
    </w:p>
    <w:p w:rsidR="00E16558" w:rsidRDefault="009903EF">
      <w:pPr>
        <w:pStyle w:val="Heading1"/>
      </w:pPr>
      <w:r>
        <w:lastRenderedPageBreak/>
        <w:t>1. Executive Summary</w:t>
      </w:r>
    </w:p>
    <w:p w:rsidR="00E16558" w:rsidRDefault="009903EF">
      <w:r>
        <w:t xml:space="preserve">Project Compass is an institutional-grade financial </w:t>
      </w:r>
      <w:r w:rsidR="004E1EEA">
        <w:t xml:space="preserve">simulation </w:t>
      </w:r>
      <w:bookmarkStart w:id="0" w:name="_GoBack"/>
      <w:bookmarkEnd w:id="0"/>
      <w:r>
        <w:t>solution that provides real-time, multivariate Monte Carlo simulations for investment portfolios. By transitioning to a Pure-Lambda architecture, the project achieves significant performance gains and operating cost reductions of over 95% compared to traditional instance-based hosting.</w:t>
      </w:r>
    </w:p>
    <w:p w:rsidR="00E16558" w:rsidRDefault="009903EF">
      <w:pPr>
        <w:pStyle w:val="Heading1"/>
      </w:pPr>
      <w:r>
        <w:t>2. System Architecture &amp; Resource Inventory</w:t>
      </w:r>
    </w:p>
    <w:p w:rsidR="00E16558" w:rsidRDefault="009903EF">
      <w:r>
        <w:t>The architecture is designed for extreme scalability and zero maintenance. It leverages AWS managed services to handle load balancing, security, and compute automatically.</w:t>
      </w:r>
    </w:p>
    <w:p w:rsidR="009903EF" w:rsidRDefault="009903EF">
      <w:r>
        <w:t xml:space="preserve">                         </w:t>
      </w:r>
      <w:r w:rsidR="00DB2E21">
        <w:rPr>
          <w:noProof/>
          <w:lang w:val="en-IN" w:eastAsia="en-IN"/>
        </w:rPr>
        <w:drawing>
          <wp:inline distT="0" distB="0" distL="0" distR="0" wp14:anchorId="548EF85F" wp14:editId="0BDB3B18">
            <wp:extent cx="4202349" cy="4202349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ss_technical_flowchart_177804573454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5331" cy="420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9903EF" w:rsidRDefault="009903EF"/>
    <w:p w:rsidR="009903EF" w:rsidRDefault="009903EF"/>
    <w:p w:rsidR="009903EF" w:rsidRDefault="009903EF"/>
    <w:p w:rsidR="009903EF" w:rsidRDefault="009903EF"/>
    <w:p w:rsidR="00DB2E21" w:rsidRDefault="00DB2E21">
      <w:pPr>
        <w:pStyle w:val="Heading2"/>
      </w:pPr>
    </w:p>
    <w:p w:rsidR="00E16558" w:rsidRDefault="009903EF">
      <w:pPr>
        <w:pStyle w:val="Heading2"/>
      </w:pPr>
      <w:r>
        <w:t>2.1 Cloud Resource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6558">
        <w:tc>
          <w:tcPr>
            <w:tcW w:w="4320" w:type="dxa"/>
          </w:tcPr>
          <w:p w:rsidR="00E16558" w:rsidRDefault="009903EF">
            <w:r>
              <w:t>Resource</w:t>
            </w:r>
          </w:p>
        </w:tc>
        <w:tc>
          <w:tcPr>
            <w:tcW w:w="4320" w:type="dxa"/>
          </w:tcPr>
          <w:p w:rsidR="00E16558" w:rsidRDefault="009903EF">
            <w:r>
              <w:t>Function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AWS Lambda</w:t>
            </w:r>
          </w:p>
        </w:tc>
        <w:tc>
          <w:tcPr>
            <w:tcW w:w="4320" w:type="dxa"/>
          </w:tcPr>
          <w:p w:rsidR="00E16558" w:rsidRDefault="009903EF">
            <w:r>
              <w:t>Serverless compute (3008 MB RAM) running Dockerized math engine.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AWS API Gateway</w:t>
            </w:r>
          </w:p>
        </w:tc>
        <w:tc>
          <w:tcPr>
            <w:tcW w:w="4320" w:type="dxa"/>
          </w:tcPr>
          <w:p w:rsidR="00E16558" w:rsidRDefault="009903EF">
            <w:r>
              <w:t>Secure HTTP/2 interface with x-api-key protection.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AWS ECR</w:t>
            </w:r>
          </w:p>
        </w:tc>
        <w:tc>
          <w:tcPr>
            <w:tcW w:w="4320" w:type="dxa"/>
          </w:tcPr>
          <w:p w:rsidR="00E16558" w:rsidRDefault="009903EF">
            <w:r>
              <w:t>Elastic Container Registry hosting the engine image.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AWS IAM</w:t>
            </w:r>
          </w:p>
        </w:tc>
        <w:tc>
          <w:tcPr>
            <w:tcW w:w="4320" w:type="dxa"/>
          </w:tcPr>
          <w:p w:rsidR="00E16558" w:rsidRDefault="009903EF">
            <w:r>
              <w:t>Granular roles and policies for secure internal communication.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AWS S3</w:t>
            </w:r>
          </w:p>
        </w:tc>
        <w:tc>
          <w:tcPr>
            <w:tcW w:w="4320" w:type="dxa"/>
          </w:tcPr>
          <w:p w:rsidR="00E16558" w:rsidRDefault="009903EF">
            <w:r>
              <w:t>Optional storage for audit logs and simulation snapshots.</w:t>
            </w:r>
          </w:p>
        </w:tc>
      </w:tr>
    </w:tbl>
    <w:p w:rsidR="00E16558" w:rsidRDefault="009903EF">
      <w:pPr>
        <w:pStyle w:val="Heading1"/>
      </w:pPr>
      <w:r>
        <w:t>3. Technical Specifications &amp; Configurations</w:t>
      </w:r>
    </w:p>
    <w:p w:rsidR="00E16558" w:rsidRDefault="009903EF">
      <w:r>
        <w:t>The engine is configured to balance precision, speed, and cost.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6558">
        <w:tc>
          <w:tcPr>
            <w:tcW w:w="4320" w:type="dxa"/>
          </w:tcPr>
          <w:p w:rsidR="00E16558" w:rsidRDefault="009903EF">
            <w:r>
              <w:t>Configuration</w:t>
            </w:r>
          </w:p>
        </w:tc>
        <w:tc>
          <w:tcPr>
            <w:tcW w:w="4320" w:type="dxa"/>
          </w:tcPr>
          <w:p w:rsidR="00E16558" w:rsidRDefault="009903EF">
            <w:r>
              <w:t>Setting / Version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Runtime</w:t>
            </w:r>
          </w:p>
        </w:tc>
        <w:tc>
          <w:tcPr>
            <w:tcW w:w="4320" w:type="dxa"/>
          </w:tcPr>
          <w:p w:rsidR="00E16558" w:rsidRDefault="009903EF">
            <w:r>
              <w:t>Python 3.12 (Standard Lambda Environment)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Compute Architecture</w:t>
            </w:r>
          </w:p>
        </w:tc>
        <w:tc>
          <w:tcPr>
            <w:tcW w:w="4320" w:type="dxa"/>
          </w:tcPr>
          <w:p w:rsidR="00E16558" w:rsidRDefault="009903EF">
            <w:r>
              <w:t>Linux / x86_64 (AMD64)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Memory Allocation</w:t>
            </w:r>
          </w:p>
        </w:tc>
        <w:tc>
          <w:tcPr>
            <w:tcW w:w="4320" w:type="dxa"/>
          </w:tcPr>
          <w:p w:rsidR="00E16558" w:rsidRDefault="009903EF">
            <w:r>
              <w:t>3,008 MB (Optimized for CPU Performance)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Execution Timeout</w:t>
            </w:r>
          </w:p>
        </w:tc>
        <w:tc>
          <w:tcPr>
            <w:tcW w:w="4320" w:type="dxa"/>
          </w:tcPr>
          <w:p w:rsidR="00E16558" w:rsidRDefault="009903EF">
            <w:r>
              <w:t>29 Seconds (Aligned with API Gateway)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Math Library</w:t>
            </w:r>
          </w:p>
        </w:tc>
        <w:tc>
          <w:tcPr>
            <w:tcW w:w="4320" w:type="dxa"/>
          </w:tcPr>
          <w:p w:rsidR="00E16558" w:rsidRDefault="009903EF">
            <w:r>
              <w:t>NumPy (Vectorized / SIMD Acceleration)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Data Provider</w:t>
            </w:r>
          </w:p>
        </w:tc>
        <w:tc>
          <w:tcPr>
            <w:tcW w:w="4320" w:type="dxa"/>
          </w:tcPr>
          <w:p w:rsidR="00E16558" w:rsidRDefault="009903EF">
            <w:r>
              <w:t>yfinance (Resilient Multi-Period Fetching)</w:t>
            </w:r>
          </w:p>
        </w:tc>
      </w:tr>
      <w:tr w:rsidR="00E16558">
        <w:tc>
          <w:tcPr>
            <w:tcW w:w="4320" w:type="dxa"/>
          </w:tcPr>
          <w:p w:rsidR="00E16558" w:rsidRDefault="009903EF">
            <w:r>
              <w:t>Simulation Logic</w:t>
            </w:r>
          </w:p>
        </w:tc>
        <w:tc>
          <w:tcPr>
            <w:tcW w:w="4320" w:type="dxa"/>
          </w:tcPr>
          <w:p w:rsidR="00E16558" w:rsidRDefault="009903EF">
            <w:r>
              <w:t>Multivariate Geometric Brownian Motion (Student-t)</w:t>
            </w:r>
          </w:p>
        </w:tc>
      </w:tr>
    </w:tbl>
    <w:p w:rsidR="00DB2E21" w:rsidRDefault="00DB2E21" w:rsidP="00DB2E21">
      <w:pPr>
        <w:pStyle w:val="Heading1"/>
      </w:pPr>
      <w:r>
        <w:t>4</w:t>
      </w:r>
      <w:r>
        <w:t>. API Reference Specification</w:t>
      </w:r>
    </w:p>
    <w:p w:rsidR="00DB2E21" w:rsidRDefault="00DB2E21" w:rsidP="00DB2E21">
      <w:r>
        <w:t>The API is a RESTful service accepting POST requests.</w:t>
      </w:r>
    </w:p>
    <w:p w:rsidR="00DB2E21" w:rsidRDefault="00DB2E21" w:rsidP="00DB2E21">
      <w:pPr>
        <w:pStyle w:val="Heading2"/>
      </w:pPr>
      <w:r>
        <w:t>4</w:t>
      </w:r>
      <w:r>
        <w:t>.1 Request Payload (Input)</w:t>
      </w:r>
    </w:p>
    <w:p w:rsidR="00DB2E21" w:rsidRDefault="00DB2E21" w:rsidP="00DB2E21">
      <w:r>
        <w:t>Content-Type: application/</w:t>
      </w:r>
      <w:proofErr w:type="spellStart"/>
      <w:r>
        <w:t>json</w:t>
      </w:r>
      <w:proofErr w:type="spellEnd"/>
    </w:p>
    <w:p w:rsidR="00DB2E21" w:rsidRDefault="00DB2E21" w:rsidP="00DB2E21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portfolio_id</w:t>
      </w:r>
      <w:proofErr w:type="spellEnd"/>
      <w:r>
        <w:rPr>
          <w:rFonts w:ascii="Courier New" w:hAnsi="Courier New"/>
          <w:sz w:val="18"/>
        </w:rPr>
        <w:t>": "test_001",</w:t>
      </w:r>
      <w:r>
        <w:rPr>
          <w:rFonts w:ascii="Courier New" w:hAnsi="Courier New"/>
          <w:sz w:val="18"/>
        </w:rPr>
        <w:br/>
        <w:t xml:space="preserve">  "holdings": [</w:t>
      </w:r>
      <w:r>
        <w:rPr>
          <w:rFonts w:ascii="Courier New" w:hAnsi="Courier New"/>
          <w:sz w:val="18"/>
        </w:rPr>
        <w:br/>
        <w:t xml:space="preserve">    {"symbol": "RELIANCE.NS", "quantity": 10},</w:t>
      </w:r>
      <w:r>
        <w:rPr>
          <w:rFonts w:ascii="Courier New" w:hAnsi="Courier New"/>
          <w:sz w:val="18"/>
        </w:rPr>
        <w:br/>
        <w:t xml:space="preserve">    {"symbol": "TCS.NS", "quantity": 5}</w:t>
      </w:r>
      <w:r>
        <w:rPr>
          <w:rFonts w:ascii="Courier New" w:hAnsi="Courier New"/>
          <w:sz w:val="18"/>
        </w:rPr>
        <w:br/>
        <w:t xml:space="preserve">  ],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num_sims</w:t>
      </w:r>
      <w:proofErr w:type="spellEnd"/>
      <w:r>
        <w:rPr>
          <w:rFonts w:ascii="Courier New" w:hAnsi="Courier New"/>
          <w:sz w:val="18"/>
        </w:rPr>
        <w:t>": 2000,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horizon_months</w:t>
      </w:r>
      <w:proofErr w:type="spellEnd"/>
      <w:r>
        <w:rPr>
          <w:rFonts w:ascii="Courier New" w:hAnsi="Courier New"/>
          <w:sz w:val="18"/>
        </w:rPr>
        <w:t>": 60</w:t>
      </w:r>
      <w:r>
        <w:rPr>
          <w:rFonts w:ascii="Courier New" w:hAnsi="Courier New"/>
          <w:sz w:val="18"/>
        </w:rPr>
        <w:br/>
        <w:t>}</w:t>
      </w:r>
    </w:p>
    <w:p w:rsidR="00DB2E21" w:rsidRDefault="00DB2E21" w:rsidP="00DB2E21">
      <w:pPr>
        <w:pStyle w:val="Heading2"/>
      </w:pPr>
      <w:r>
        <w:lastRenderedPageBreak/>
        <w:t>4</w:t>
      </w:r>
      <w:r>
        <w:t>.2 Response Payload (Output)</w:t>
      </w:r>
    </w:p>
    <w:p w:rsidR="00DB2E21" w:rsidRDefault="00DB2E21" w:rsidP="00DB2E21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portfolio_id</w:t>
      </w:r>
      <w:proofErr w:type="spellEnd"/>
      <w:r>
        <w:rPr>
          <w:rFonts w:ascii="Courier New" w:hAnsi="Courier New"/>
          <w:sz w:val="18"/>
        </w:rPr>
        <w:t>": "test_001",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current_value</w:t>
      </w:r>
      <w:proofErr w:type="spellEnd"/>
      <w:r>
        <w:rPr>
          <w:rFonts w:ascii="Courier New" w:hAnsi="Courier New"/>
          <w:sz w:val="18"/>
        </w:rPr>
        <w:t>": 148893.50,</w:t>
      </w:r>
      <w:r>
        <w:rPr>
          <w:rFonts w:ascii="Courier New" w:hAnsi="Courier New"/>
          <w:sz w:val="18"/>
        </w:rPr>
        <w:br/>
        <w:t xml:space="preserve">  "scenarios": {</w:t>
      </w:r>
      <w:r>
        <w:rPr>
          <w:rFonts w:ascii="Courier New" w:hAnsi="Courier New"/>
          <w:sz w:val="18"/>
        </w:rPr>
        <w:br/>
        <w:t xml:space="preserve">    "optimistic": { "</w:t>
      </w:r>
      <w:proofErr w:type="spellStart"/>
      <w:r>
        <w:rPr>
          <w:rFonts w:ascii="Courier New" w:hAnsi="Courier New"/>
          <w:sz w:val="18"/>
        </w:rPr>
        <w:t>terminal_value</w:t>
      </w:r>
      <w:proofErr w:type="spellEnd"/>
      <w:r>
        <w:rPr>
          <w:rFonts w:ascii="Courier New" w:hAnsi="Courier New"/>
          <w:sz w:val="18"/>
        </w:rPr>
        <w:t>": 175000.0, "</w:t>
      </w:r>
      <w:proofErr w:type="spellStart"/>
      <w:r>
        <w:rPr>
          <w:rFonts w:ascii="Courier New" w:hAnsi="Courier New"/>
          <w:sz w:val="18"/>
        </w:rPr>
        <w:t>cagr_pct</w:t>
      </w:r>
      <w:proofErr w:type="spellEnd"/>
      <w:r>
        <w:rPr>
          <w:rFonts w:ascii="Courier New" w:hAnsi="Courier New"/>
          <w:sz w:val="18"/>
        </w:rPr>
        <w:t>": 3.5, "</w:t>
      </w:r>
      <w:proofErr w:type="spellStart"/>
      <w:r>
        <w:rPr>
          <w:rFonts w:ascii="Courier New" w:hAnsi="Courier New"/>
          <w:sz w:val="18"/>
        </w:rPr>
        <w:t>monthly_values</w:t>
      </w:r>
      <w:proofErr w:type="spellEnd"/>
      <w:r>
        <w:rPr>
          <w:rFonts w:ascii="Courier New" w:hAnsi="Courier New"/>
          <w:sz w:val="18"/>
        </w:rPr>
        <w:t>": [...] },</w:t>
      </w:r>
      <w:r>
        <w:rPr>
          <w:rFonts w:ascii="Courier New" w:hAnsi="Courier New"/>
          <w:sz w:val="18"/>
        </w:rPr>
        <w:br/>
        <w:t xml:space="preserve">    "expected": { "</w:t>
      </w:r>
      <w:proofErr w:type="spellStart"/>
      <w:r>
        <w:rPr>
          <w:rFonts w:ascii="Courier New" w:hAnsi="Courier New"/>
          <w:sz w:val="18"/>
        </w:rPr>
        <w:t>terminal_value</w:t>
      </w:r>
      <w:proofErr w:type="spellEnd"/>
      <w:r>
        <w:rPr>
          <w:rFonts w:ascii="Courier New" w:hAnsi="Courier New"/>
          <w:sz w:val="18"/>
        </w:rPr>
        <w:t>": 120000.0, "</w:t>
      </w:r>
      <w:proofErr w:type="spellStart"/>
      <w:r>
        <w:rPr>
          <w:rFonts w:ascii="Courier New" w:hAnsi="Courier New"/>
          <w:sz w:val="18"/>
        </w:rPr>
        <w:t>cagr_pct</w:t>
      </w:r>
      <w:proofErr w:type="spellEnd"/>
      <w:r>
        <w:rPr>
          <w:rFonts w:ascii="Courier New" w:hAnsi="Courier New"/>
          <w:sz w:val="18"/>
        </w:rPr>
        <w:t>": -4.2, "</w:t>
      </w:r>
      <w:proofErr w:type="spellStart"/>
      <w:r>
        <w:rPr>
          <w:rFonts w:ascii="Courier New" w:hAnsi="Courier New"/>
          <w:sz w:val="18"/>
        </w:rPr>
        <w:t>monthly_values</w:t>
      </w:r>
      <w:proofErr w:type="spellEnd"/>
      <w:r>
        <w:rPr>
          <w:rFonts w:ascii="Courier New" w:hAnsi="Courier New"/>
          <w:sz w:val="18"/>
        </w:rPr>
        <w:t>": [...] },</w:t>
      </w:r>
      <w:r>
        <w:rPr>
          <w:rFonts w:ascii="Courier New" w:hAnsi="Courier New"/>
          <w:sz w:val="18"/>
        </w:rPr>
        <w:br/>
        <w:t xml:space="preserve">    "pessimistic": { "</w:t>
      </w:r>
      <w:proofErr w:type="spellStart"/>
      <w:r>
        <w:rPr>
          <w:rFonts w:ascii="Courier New" w:hAnsi="Courier New"/>
          <w:sz w:val="18"/>
        </w:rPr>
        <w:t>terminal_value</w:t>
      </w:r>
      <w:proofErr w:type="spellEnd"/>
      <w:r>
        <w:rPr>
          <w:rFonts w:ascii="Courier New" w:hAnsi="Courier New"/>
          <w:sz w:val="18"/>
        </w:rPr>
        <w:t>": 85000.0, "</w:t>
      </w:r>
      <w:proofErr w:type="spellStart"/>
      <w:r>
        <w:rPr>
          <w:rFonts w:ascii="Courier New" w:hAnsi="Courier New"/>
          <w:sz w:val="18"/>
        </w:rPr>
        <w:t>cagr_pct</w:t>
      </w:r>
      <w:proofErr w:type="spellEnd"/>
      <w:r>
        <w:rPr>
          <w:rFonts w:ascii="Courier New" w:hAnsi="Courier New"/>
          <w:sz w:val="18"/>
        </w:rPr>
        <w:t>": -11.0, "</w:t>
      </w:r>
      <w:proofErr w:type="spellStart"/>
      <w:r>
        <w:rPr>
          <w:rFonts w:ascii="Courier New" w:hAnsi="Courier New"/>
          <w:sz w:val="18"/>
        </w:rPr>
        <w:t>monthly_values</w:t>
      </w:r>
      <w:proofErr w:type="spellEnd"/>
      <w:r>
        <w:rPr>
          <w:rFonts w:ascii="Courier New" w:hAnsi="Courier New"/>
          <w:sz w:val="18"/>
        </w:rPr>
        <w:t>": [...] }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probability_scores</w:t>
      </w:r>
      <w:proofErr w:type="spellEnd"/>
      <w:r>
        <w:rPr>
          <w:rFonts w:ascii="Courier New" w:hAnsi="Courier New"/>
          <w:sz w:val="18"/>
        </w:rPr>
        <w:t>": {</w:t>
      </w:r>
      <w:r>
        <w:rPr>
          <w:rFonts w:ascii="Courier New" w:hAnsi="Courier New"/>
          <w:sz w:val="18"/>
        </w:rPr>
        <w:br/>
        <w:t xml:space="preserve">    "</w:t>
      </w:r>
      <w:proofErr w:type="spellStart"/>
      <w:r>
        <w:rPr>
          <w:rFonts w:ascii="Courier New" w:hAnsi="Courier New"/>
          <w:sz w:val="18"/>
        </w:rPr>
        <w:t>probability_of_profit</w:t>
      </w:r>
      <w:proofErr w:type="spellEnd"/>
      <w:r>
        <w:rPr>
          <w:rFonts w:ascii="Courier New" w:hAnsi="Courier New"/>
          <w:sz w:val="18"/>
        </w:rPr>
        <w:t>": 25.5,</w:t>
      </w:r>
      <w:r>
        <w:rPr>
          <w:rFonts w:ascii="Courier New" w:hAnsi="Courier New"/>
          <w:sz w:val="18"/>
        </w:rPr>
        <w:br/>
        <w:t xml:space="preserve">    "</w:t>
      </w:r>
      <w:proofErr w:type="spellStart"/>
      <w:r>
        <w:rPr>
          <w:rFonts w:ascii="Courier New" w:hAnsi="Courier New"/>
          <w:sz w:val="18"/>
        </w:rPr>
        <w:t>probability_of_doubling</w:t>
      </w:r>
      <w:proofErr w:type="spellEnd"/>
      <w:r>
        <w:rPr>
          <w:rFonts w:ascii="Courier New" w:hAnsi="Courier New"/>
          <w:sz w:val="18"/>
        </w:rPr>
        <w:t>": 0.8,</w:t>
      </w:r>
      <w:r>
        <w:rPr>
          <w:rFonts w:ascii="Courier New" w:hAnsi="Courier New"/>
          <w:sz w:val="18"/>
        </w:rPr>
        <w:br/>
        <w:t xml:space="preserve">    "</w:t>
      </w:r>
      <w:proofErr w:type="spellStart"/>
      <w:r>
        <w:rPr>
          <w:rFonts w:ascii="Courier New" w:hAnsi="Courier New"/>
          <w:sz w:val="18"/>
        </w:rPr>
        <w:t>var_drawdown_pct</w:t>
      </w:r>
      <w:proofErr w:type="spellEnd"/>
      <w:r>
        <w:rPr>
          <w:rFonts w:ascii="Courier New" w:hAnsi="Courier New"/>
          <w:sz w:val="18"/>
        </w:rPr>
        <w:t>": 56.5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:rsidR="00E16558" w:rsidRDefault="00DB2E21">
      <w:pPr>
        <w:pStyle w:val="Heading1"/>
      </w:pPr>
      <w:r>
        <w:t>5</w:t>
      </w:r>
      <w:r w:rsidR="009903EF">
        <w:t>. Cost Analysis &amp; Scalability</w:t>
      </w:r>
    </w:p>
    <w:p w:rsidR="00E16558" w:rsidRDefault="009903EF">
      <w:r>
        <w:t>Based on an estimated load of 1,000 active users performing 10 simulations per day (300,000 total requests/month):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6558">
        <w:tc>
          <w:tcPr>
            <w:tcW w:w="2880" w:type="dxa"/>
          </w:tcPr>
          <w:p w:rsidR="00E16558" w:rsidRDefault="009903EF">
            <w:r>
              <w:t>Service</w:t>
            </w:r>
          </w:p>
        </w:tc>
        <w:tc>
          <w:tcPr>
            <w:tcW w:w="2880" w:type="dxa"/>
          </w:tcPr>
          <w:p w:rsidR="00E16558" w:rsidRDefault="009903EF">
            <w:r>
              <w:t>Usage Pattern</w:t>
            </w:r>
          </w:p>
        </w:tc>
        <w:tc>
          <w:tcPr>
            <w:tcW w:w="2880" w:type="dxa"/>
          </w:tcPr>
          <w:p w:rsidR="00E16558" w:rsidRDefault="009903EF">
            <w:r>
              <w:t>Cost (USD)</w:t>
            </w:r>
          </w:p>
        </w:tc>
      </w:tr>
      <w:tr w:rsidR="00E16558">
        <w:tc>
          <w:tcPr>
            <w:tcW w:w="2880" w:type="dxa"/>
          </w:tcPr>
          <w:p w:rsidR="00E16558" w:rsidRDefault="009903EF">
            <w:r>
              <w:t>AWS Lambda</w:t>
            </w:r>
          </w:p>
        </w:tc>
        <w:tc>
          <w:tcPr>
            <w:tcW w:w="2880" w:type="dxa"/>
          </w:tcPr>
          <w:p w:rsidR="00E16558" w:rsidRDefault="009903EF">
            <w:r>
              <w:t>1,000,000 Free Requests / Month</w:t>
            </w:r>
          </w:p>
        </w:tc>
        <w:tc>
          <w:tcPr>
            <w:tcW w:w="2880" w:type="dxa"/>
          </w:tcPr>
          <w:p w:rsidR="00E16558" w:rsidRDefault="009903EF">
            <w:r>
              <w:t>$ 0.00</w:t>
            </w:r>
          </w:p>
        </w:tc>
      </w:tr>
      <w:tr w:rsidR="00E16558">
        <w:tc>
          <w:tcPr>
            <w:tcW w:w="2880" w:type="dxa"/>
          </w:tcPr>
          <w:p w:rsidR="00E16558" w:rsidRDefault="009903EF">
            <w:r>
              <w:t>AWS API Gateway</w:t>
            </w:r>
          </w:p>
        </w:tc>
        <w:tc>
          <w:tcPr>
            <w:tcW w:w="2880" w:type="dxa"/>
          </w:tcPr>
          <w:p w:rsidR="00E16558" w:rsidRDefault="009903EF">
            <w:r>
              <w:t>$ 1.00 per Million Requests</w:t>
            </w:r>
          </w:p>
        </w:tc>
        <w:tc>
          <w:tcPr>
            <w:tcW w:w="2880" w:type="dxa"/>
          </w:tcPr>
          <w:p w:rsidR="00E16558" w:rsidRDefault="009903EF">
            <w:r>
              <w:t>$ 0.30</w:t>
            </w:r>
          </w:p>
        </w:tc>
      </w:tr>
      <w:tr w:rsidR="00E16558">
        <w:tc>
          <w:tcPr>
            <w:tcW w:w="2880" w:type="dxa"/>
          </w:tcPr>
          <w:p w:rsidR="00E16558" w:rsidRDefault="009903EF">
            <w:r>
              <w:t>AWS ECR Storage</w:t>
            </w:r>
          </w:p>
        </w:tc>
        <w:tc>
          <w:tcPr>
            <w:tcW w:w="2880" w:type="dxa"/>
          </w:tcPr>
          <w:p w:rsidR="00E16558" w:rsidRDefault="009903EF">
            <w:r>
              <w:t>0.5 GB Image Storage</w:t>
            </w:r>
          </w:p>
        </w:tc>
        <w:tc>
          <w:tcPr>
            <w:tcW w:w="2880" w:type="dxa"/>
          </w:tcPr>
          <w:p w:rsidR="00E16558" w:rsidRDefault="009903EF">
            <w:r>
              <w:t>$ 0.05</w:t>
            </w:r>
          </w:p>
        </w:tc>
      </w:tr>
      <w:tr w:rsidR="00E16558">
        <w:tc>
          <w:tcPr>
            <w:tcW w:w="2880" w:type="dxa"/>
          </w:tcPr>
          <w:p w:rsidR="00E16558" w:rsidRDefault="009903EF">
            <w:r>
              <w:t>Data Transfer</w:t>
            </w:r>
          </w:p>
        </w:tc>
        <w:tc>
          <w:tcPr>
            <w:tcW w:w="2880" w:type="dxa"/>
          </w:tcPr>
          <w:p w:rsidR="00E16558" w:rsidRDefault="009903EF">
            <w:r>
              <w:t>Standard Egress (Minimal JSON payload)</w:t>
            </w:r>
          </w:p>
        </w:tc>
        <w:tc>
          <w:tcPr>
            <w:tcW w:w="2880" w:type="dxa"/>
          </w:tcPr>
          <w:p w:rsidR="00E16558" w:rsidRDefault="009903EF">
            <w:r>
              <w:t>$ 0.05</w:t>
            </w:r>
          </w:p>
        </w:tc>
      </w:tr>
      <w:tr w:rsidR="00E16558">
        <w:tc>
          <w:tcPr>
            <w:tcW w:w="2880" w:type="dxa"/>
          </w:tcPr>
          <w:p w:rsidR="00E16558" w:rsidRDefault="009903EF">
            <w:r>
              <w:rPr>
                <w:b/>
              </w:rPr>
              <w:t>Estimated Total</w:t>
            </w:r>
          </w:p>
        </w:tc>
        <w:tc>
          <w:tcPr>
            <w:tcW w:w="2880" w:type="dxa"/>
          </w:tcPr>
          <w:p w:rsidR="00E16558" w:rsidRDefault="009903EF">
            <w:r>
              <w:rPr>
                <w:b/>
              </w:rPr>
              <w:t>Monthly Operating Cost</w:t>
            </w:r>
          </w:p>
        </w:tc>
        <w:tc>
          <w:tcPr>
            <w:tcW w:w="2880" w:type="dxa"/>
          </w:tcPr>
          <w:p w:rsidR="00E16558" w:rsidRDefault="009903EF">
            <w:r>
              <w:rPr>
                <w:b/>
              </w:rPr>
              <w:t>$ 0.40</w:t>
            </w:r>
          </w:p>
        </w:tc>
      </w:tr>
    </w:tbl>
    <w:p w:rsidR="00E16558" w:rsidRDefault="009903EF">
      <w:pPr>
        <w:pStyle w:val="Heading1"/>
      </w:pPr>
      <w:r>
        <w:t>5. Future Roadmap</w:t>
      </w:r>
    </w:p>
    <w:p w:rsidR="00DB2E21" w:rsidRPr="00DB2E21" w:rsidRDefault="00DB2E21" w:rsidP="00DB2E21">
      <w:pPr>
        <w:pStyle w:val="ListBullet"/>
      </w:pPr>
    </w:p>
    <w:p w:rsidR="00E16558" w:rsidRDefault="009903EF">
      <w:pPr>
        <w:pStyle w:val="ListBullet"/>
      </w:pPr>
      <w:r>
        <w:t>Individual Stock Forecasting: Simulating paths for specific tickers from current value.</w:t>
      </w:r>
    </w:p>
    <w:p w:rsidR="00E16558" w:rsidRDefault="009903EF">
      <w:pPr>
        <w:pStyle w:val="ListBullet"/>
      </w:pPr>
      <w:r>
        <w:t>Interactive What-if Analysis: Real-time UI sliders for adjusting allocations.</w:t>
      </w:r>
    </w:p>
    <w:p w:rsidR="00E16558" w:rsidRDefault="009903EF">
      <w:pPr>
        <w:pStyle w:val="ListBullet"/>
      </w:pPr>
      <w:r>
        <w:t>Advanced Portfolio Rebalancing: AI triggers for risk-based reallocation.</w:t>
      </w:r>
    </w:p>
    <w:p w:rsidR="00E16558" w:rsidRDefault="009903EF">
      <w:pPr>
        <w:pStyle w:val="ListBullet"/>
      </w:pPr>
      <w:r>
        <w:t>Global News Sentiment: Integration with Tavily API for news-weighted returns.</w:t>
      </w:r>
    </w:p>
    <w:p w:rsidR="00DB2E21" w:rsidRDefault="00DB2E21" w:rsidP="00DB2E21">
      <w:pPr>
        <w:pStyle w:val="ListBullet"/>
        <w:numPr>
          <w:ilvl w:val="0"/>
          <w:numId w:val="0"/>
        </w:numPr>
        <w:ind w:left="360"/>
      </w:pPr>
    </w:p>
    <w:p w:rsidR="00E16558" w:rsidRDefault="009903EF">
      <w:r>
        <w:br/>
      </w:r>
      <w:r>
        <w:br/>
      </w:r>
    </w:p>
    <w:p w:rsidR="00E16558" w:rsidRDefault="009903EF">
      <w:pPr>
        <w:jc w:val="right"/>
      </w:pPr>
      <w:r>
        <w:t>Project Compass - Confidential Technical Documentation</w:t>
      </w:r>
    </w:p>
    <w:sectPr w:rsidR="00E165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EEA"/>
    <w:rsid w:val="009903EF"/>
    <w:rsid w:val="00AA1D8D"/>
    <w:rsid w:val="00B47730"/>
    <w:rsid w:val="00CB0664"/>
    <w:rsid w:val="00DB2E21"/>
    <w:rsid w:val="00E16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6AE61"/>
  <w14:defaultImageDpi w14:val="300"/>
  <w15:docId w15:val="{5E58C511-5CCB-48AC-B216-854D1C72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7AD680-D39A-4112-ACC2-0E67BE64C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</cp:lastModifiedBy>
  <cp:revision>4</cp:revision>
  <dcterms:created xsi:type="dcterms:W3CDTF">2013-12-23T23:15:00Z</dcterms:created>
  <dcterms:modified xsi:type="dcterms:W3CDTF">2026-05-06T05:42:00Z</dcterms:modified>
  <cp:category/>
</cp:coreProperties>
</file>