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C4F62" w:rsidRDefault="00D325E6">
      <w:pPr>
        <w:spacing w:after="120"/>
        <w:jc w:val="center"/>
      </w:pPr>
      <w:r>
        <w:rPr>
          <w:b/>
          <w:bCs/>
          <w:color w:val="1F3864"/>
          <w:sz w:val="36"/>
          <w:szCs w:val="36"/>
        </w:rPr>
        <w:t>CropFusion Research Series  |  Paper 3</w:t>
      </w:r>
    </w:p>
    <w:p w:rsidR="000C4F62" w:rsidRDefault="00D325E6">
      <w:pPr>
        <w:spacing w:after="100"/>
        <w:jc w:val="center"/>
      </w:pPr>
      <w:r>
        <w:rPr>
          <w:b/>
          <w:bCs/>
          <w:color w:val="1F3864"/>
          <w:sz w:val="27"/>
          <w:szCs w:val="27"/>
        </w:rPr>
        <w:t>Adaptive Conformal Inference for Calibrated Yield Uncertainty Under Climate Distribution Shift</w:t>
      </w:r>
    </w:p>
    <w:p w:rsidR="000C4F62" w:rsidRDefault="00D325E6">
      <w:pPr>
        <w:spacing w:after="80"/>
        <w:jc w:val="center"/>
      </w:pPr>
      <w:r>
        <w:rPr>
          <w:i/>
          <w:iCs/>
          <w:color w:val="595959"/>
          <w:sz w:val="20"/>
          <w:szCs w:val="20"/>
        </w:rPr>
        <w:t>Proposed Methodology  |  Target Venue: Journal of Agricultural Science / Computers and Electronics in Agriculture / ICML Workshop  |  May 2026</w:t>
      </w:r>
    </w:p>
    <w:p w:rsidR="000C4F62" w:rsidRDefault="000C4F62"/>
    <w:p w:rsidR="000C4F62" w:rsidRDefault="00D325E6">
      <w:pPr>
        <w:pStyle w:val="Heading1"/>
      </w:pPr>
      <w:r>
        <w:rPr>
          <w:sz w:val="28"/>
          <w:szCs w:val="28"/>
        </w:rPr>
        <w:t>1. Overview</w:t>
      </w:r>
    </w:p>
    <w:p w:rsidR="000C4F62" w:rsidRDefault="00D325E6">
      <w:pPr>
        <w:spacing w:after="80"/>
      </w:pPr>
      <w:r>
        <w:t>This paper addresses the critical failure mode documented in Paper 18 of the literature review: static conformal prediction intervals, calibrated on historical residuals, collapse below their nominal coverage level during anomalous climate years precisely when reliable uncertainty estimates are most needed. The paper develops and evaluates an Adaptive Conformal Inference (ACI) framework jointly trained with a Conformalized Quantile Regression (CQR) backbone to maintain valid probabilistic coverage across inter-annual climate distribution shifts, including compound drought-heatwave (CDHW) events.</w:t>
      </w:r>
    </w:p>
    <w:p w:rsidR="000C4F62" w:rsidRDefault="000C4F62"/>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580"/>
      </w:tblGrid>
      <w:tr w:rsidR="000C4F6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rsidR="000C4F62" w:rsidRDefault="00D325E6">
            <w:r>
              <w:rPr>
                <w:b/>
                <w:bCs/>
                <w:sz w:val="20"/>
                <w:szCs w:val="20"/>
              </w:rPr>
              <w:t>Gaps Closed</w:t>
            </w:r>
          </w:p>
        </w:tc>
        <w:tc>
          <w:tcPr>
            <w:tcW w:w="7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20"/>
                <w:szCs w:val="20"/>
              </w:rPr>
              <w:t>Gap 4 (compound extreme events) + Gap 5 (uncertainty uncalibrated under distribution shift)</w:t>
            </w:r>
          </w:p>
        </w:tc>
      </w:tr>
      <w:tr w:rsidR="000C4F6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rsidR="000C4F62" w:rsidRDefault="00D325E6">
            <w:r>
              <w:rPr>
                <w:b/>
                <w:bCs/>
                <w:sz w:val="20"/>
                <w:szCs w:val="20"/>
              </w:rPr>
              <w:t>Key Baseline</w:t>
            </w:r>
          </w:p>
        </w:tc>
        <w:tc>
          <w:tcPr>
            <w:tcW w:w="7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20"/>
                <w:szCs w:val="20"/>
              </w:rPr>
              <w:t>Static conformal prediction (Paper 18); standard quantile regression without ACI</w:t>
            </w:r>
          </w:p>
        </w:tc>
      </w:tr>
      <w:tr w:rsidR="000C4F6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rsidR="000C4F62" w:rsidRDefault="00D325E6">
            <w:r>
              <w:rPr>
                <w:b/>
                <w:bCs/>
                <w:sz w:val="20"/>
                <w:szCs w:val="20"/>
              </w:rPr>
              <w:t>Critical Test Scenario</w:t>
            </w:r>
          </w:p>
        </w:tc>
        <w:tc>
          <w:tcPr>
            <w:tcW w:w="7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20"/>
                <w:szCs w:val="20"/>
              </w:rPr>
              <w:t>El Niño 1997–98 and 2015–16; La Niña drought years; compound DHW events (SPI-30 &lt; −1 AND Tmax &gt; 35°C)</w:t>
            </w:r>
          </w:p>
        </w:tc>
      </w:tr>
    </w:tbl>
    <w:p w:rsidR="000C4F62" w:rsidRDefault="000C4F62"/>
    <w:p w:rsidR="000C4F62" w:rsidRDefault="00D325E6">
      <w:pPr>
        <w:pStyle w:val="Heading1"/>
      </w:pPr>
      <w:r>
        <w:rPr>
          <w:sz w:val="28"/>
          <w:szCs w:val="28"/>
        </w:rPr>
        <w:t>2. General Objectives</w:t>
      </w:r>
    </w:p>
    <w:p w:rsidR="000C4F62" w:rsidRDefault="000C4F62">
      <w:r>
        <w:t xml:space="preserve">This paper aims to address the critical failure mode of static conformal prediction intervals, which collapse below nominal coverage levels during anomalous climate years precisely when uncertainty estimates are most needed for agronomic decision support. It seeks to develop and evaluate an Adaptive Conformal Inference (ACI) framework, jointly trained with a Conformalized Quantile Regression (CQR) backbone, that maintains valid probabilistic yield coverage across inter-annual climate distribution shifts — including compound drought-heatwave (CDHW) events. A broader aim is to establish principled, end-to-end uncertainty quantification as a standard component of agricultural AI models, enabling risk-aware decision-making by farmers, agronomists, and policymakers during extreme weather years.</w:t>
      </w:r>
    </w:p>
    <w:p w:rsidR="000C4F62" w:rsidRDefault="000C4F62"/>
    <w:p w:rsidR="000C4F62" w:rsidRDefault="00D325E6">
      <w:pPr>
        <w:pStyle w:val="Heading1"/>
      </w:pPr>
      <w:r>
        <w:rPr>
          <w:sz w:val="28"/>
          <w:szCs w:val="28"/>
        </w:rPr>
        <w:t>3. Research Objectives</w:t>
      </w:r>
    </w:p>
    <w:p w:rsidR="000C4F62" w:rsidRDefault="000C4F62"/>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3992"/>
        <w:gridCol w:w="2495"/>
        <w:gridCol w:w="2844"/>
      </w:tblGrid>
      <w:tr w:rsidR="000C4F6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375623"/>
            <w:tcMar>
              <w:top w:w="60" w:type="dxa"/>
              <w:left w:w="120" w:type="dxa"/>
              <w:bottom w:w="60" w:type="dxa"/>
              <w:right w:w="120" w:type="dxa"/>
            </w:tcMar>
          </w:tcPr>
          <w:p w:rsidR="000C4F62" w:rsidRDefault="00D325E6">
            <w:pPr>
              <w:jc w:val="center"/>
            </w:pPr>
            <w:r>
              <w:rPr>
                <w:b/>
                <w:bCs/>
                <w:color w:val="FFFFFF"/>
                <w:sz w:val="18"/>
                <w:szCs w:val="18"/>
              </w:rPr>
              <w:t>#</w:t>
            </w:r>
          </w:p>
        </w:tc>
        <w:tc>
          <w:tcPr>
            <w:tcW w:w="3200" w:type="dxa"/>
            <w:tcBorders>
              <w:top w:val="single" w:sz="1" w:space="0" w:color="CCCCCC"/>
              <w:left w:val="single" w:sz="1" w:space="0" w:color="CCCCCC"/>
              <w:bottom w:val="single" w:sz="1" w:space="0" w:color="CCCCCC"/>
              <w:right w:val="single" w:sz="1" w:space="0" w:color="CCCCCC"/>
            </w:tcBorders>
            <w:shd w:val="clear" w:color="auto" w:fill="375623"/>
            <w:tcMar>
              <w:top w:w="60" w:type="dxa"/>
              <w:left w:w="120" w:type="dxa"/>
              <w:bottom w:w="60" w:type="dxa"/>
              <w:right w:w="120" w:type="dxa"/>
            </w:tcMar>
          </w:tcPr>
          <w:p w:rsidR="000C4F62" w:rsidRDefault="00D325E6">
            <w:pPr>
              <w:jc w:val="center"/>
            </w:pPr>
            <w:r>
              <w:rPr>
                <w:b/>
                <w:bCs/>
                <w:color w:val="FFFFFF"/>
                <w:sz w:val="18"/>
                <w:szCs w:val="18"/>
              </w:rPr>
              <w:t>Objective</w:t>
            </w:r>
          </w:p>
        </w:tc>
        <w:tc>
          <w:tcPr>
            <w:tcW w:w="2000" w:type="dxa"/>
            <w:tcBorders>
              <w:top w:val="single" w:sz="1" w:space="0" w:color="CCCCCC"/>
              <w:left w:val="single" w:sz="1" w:space="0" w:color="CCCCCC"/>
              <w:bottom w:val="single" w:sz="1" w:space="0" w:color="CCCCCC"/>
              <w:right w:val="single" w:sz="1" w:space="0" w:color="CCCCCC"/>
            </w:tcBorders>
            <w:shd w:val="clear" w:color="auto" w:fill="375623"/>
            <w:tcMar>
              <w:top w:w="60" w:type="dxa"/>
              <w:left w:w="120" w:type="dxa"/>
              <w:bottom w:w="60" w:type="dxa"/>
              <w:right w:w="120" w:type="dxa"/>
            </w:tcMar>
          </w:tcPr>
          <w:p w:rsidR="000C4F62" w:rsidRDefault="00D325E6">
            <w:pPr>
              <w:jc w:val="center"/>
            </w:pPr>
            <w:r>
              <w:rPr>
                <w:b/>
                <w:bCs/>
                <w:color w:val="FFFFFF"/>
                <w:sz w:val="18"/>
                <w:szCs w:val="18"/>
              </w:rPr>
              <w:t>Gap Addressed</w:t>
            </w:r>
          </w:p>
        </w:tc>
        <w:tc>
          <w:tcPr>
            <w:tcW w:w="2280" w:type="dxa"/>
            <w:tcBorders>
              <w:top w:val="single" w:sz="1" w:space="0" w:color="CCCCCC"/>
              <w:left w:val="single" w:sz="1" w:space="0" w:color="CCCCCC"/>
              <w:bottom w:val="single" w:sz="1" w:space="0" w:color="CCCCCC"/>
              <w:right w:val="single" w:sz="1" w:space="0" w:color="CCCCCC"/>
            </w:tcBorders>
            <w:shd w:val="clear" w:color="auto" w:fill="375623"/>
            <w:tcMar>
              <w:top w:w="60" w:type="dxa"/>
              <w:left w:w="120" w:type="dxa"/>
              <w:bottom w:w="60" w:type="dxa"/>
              <w:right w:w="120" w:type="dxa"/>
            </w:tcMar>
          </w:tcPr>
          <w:p w:rsidR="000C4F62" w:rsidRDefault="00D325E6">
            <w:pPr>
              <w:jc w:val="center"/>
            </w:pPr>
            <w:r>
              <w:rPr>
                <w:b/>
                <w:bCs/>
                <w:color w:val="FFFFFF"/>
                <w:sz w:val="18"/>
                <w:szCs w:val="18"/>
              </w:rPr>
              <w:t>Expected Outcome</w:t>
            </w:r>
          </w:p>
        </w:tc>
      </w:tr>
      <w:tr w:rsidR="000C4F6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0C4F62" w:rsidRDefault="00D325E6">
            <w:pPr>
              <w:jc w:val="center"/>
            </w:pPr>
            <w:r>
              <w:rPr>
                <w:b/>
                <w:bCs/>
                <w:sz w:val="18"/>
                <w:szCs w:val="18"/>
              </w:rPr>
              <w:t>O1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17"/>
                <w:szCs w:val="17"/>
              </w:rPr>
              <w:t>Encode compound drought-heatwave (CDHW) events as a structured binary feature (CDHWevent = 1 iff SPI-30 &lt; −1 AND Tmax &gt; 35°C simultaneously) and demonstrate that this joint indicator captures super-linear yield damage not detected by univariate stress indices alone.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17"/>
                <w:szCs w:val="17"/>
              </w:rPr>
              <w:t>Gap 4 — Compound extreme events unmodelled</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17"/>
                <w:szCs w:val="17"/>
              </w:rPr>
              <w:t>CDHW co-occurrence indicator improves CDHWevent R² by ≥ 0.10 relative to separate drought and heat indices</w:t>
            </w:r>
          </w:p>
        </w:tc>
      </w:tr>
      <w:tr w:rsidR="000C4F6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00" w:type="dxa"/>
              <w:bottom w:w="60" w:type="dxa"/>
              <w:right w:w="100" w:type="dxa"/>
            </w:tcMar>
          </w:tcPr>
          <w:p w:rsidR="000C4F62" w:rsidRDefault="00D325E6">
            <w:pPr>
              <w:jc w:val="center"/>
            </w:pPr>
            <w:r>
              <w:rPr>
                <w:b/>
                <w:bCs/>
                <w:sz w:val="18"/>
                <w:szCs w:val="18"/>
              </w:rPr>
              <w:t>O2</w:t>
            </w:r>
          </w:p>
        </w:tc>
        <w:tc>
          <w:tcPr>
            <w:tcW w:w="320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20" w:type="dxa"/>
              <w:bottom w:w="60" w:type="dxa"/>
              <w:right w:w="120" w:type="dxa"/>
            </w:tcMar>
          </w:tcPr>
          <w:p w:rsidR="000C4F62" w:rsidRDefault="00D325E6">
            <w:r>
              <w:rPr>
                <w:sz w:val="17"/>
                <w:szCs w:val="17"/>
              </w:rPr>
              <w:t>Develop a Conformalized Quantile Regression (CQR) head trained with pinball loss at τ = 0.05 and τ = 0.95 simultaneously, producing asymmetric prediction intervals appropriate for the skewed yield distribution observed during stress years.</w:t>
            </w:r>
          </w:p>
        </w:tc>
        <w:tc>
          <w:tcPr>
            <w:tcW w:w="200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20" w:type="dxa"/>
              <w:bottom w:w="60" w:type="dxa"/>
              <w:right w:w="120" w:type="dxa"/>
            </w:tcMar>
          </w:tcPr>
          <w:p w:rsidR="000C4F62" w:rsidRDefault="00D325E6">
            <w:r>
              <w:rPr>
                <w:sz w:val="17"/>
                <w:szCs w:val="17"/>
              </w:rPr>
              <w:t>Gap 5 — Uncertainty uncalibrated under distribution shift</w:t>
            </w:r>
          </w:p>
        </w:tc>
        <w:tc>
          <w:tcPr>
            <w:tcW w:w="228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20" w:type="dxa"/>
              <w:bottom w:w="60" w:type="dxa"/>
              <w:right w:w="120" w:type="dxa"/>
            </w:tcMar>
          </w:tcPr>
          <w:p w:rsidR="000C4F62" w:rsidRDefault="00D325E6">
            <w:r>
              <w:rPr>
                <w:sz w:val="17"/>
                <w:szCs w:val="17"/>
              </w:rPr>
              <w:t>CQR intervals achieve PICP ≥ 0.90 on in-distribution test set 2019–2023</w:t>
            </w:r>
          </w:p>
        </w:tc>
      </w:tr>
      <w:tr w:rsidR="000C4F6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0C4F62" w:rsidRDefault="00D325E6">
            <w:pPr>
              <w:jc w:val="center"/>
            </w:pPr>
            <w:r>
              <w:rPr>
                <w:b/>
                <w:bCs/>
                <w:sz w:val="18"/>
                <w:szCs w:val="18"/>
              </w:rPr>
              <w:t>O3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17"/>
                <w:szCs w:val="17"/>
              </w:rPr>
              <w:t>Implement Adaptive Conformal Inference (ACI) with a 3-year sliding window online recalibration rule that dynamically widens or narrows the CQR interval based on recent empirical coverage, preventing the coverage collapse documented in Paper 18 during anomalous climate years.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17"/>
                <w:szCs w:val="17"/>
              </w:rPr>
              <w:t>Gap 5 — Static conformal collapse under shift</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17"/>
                <w:szCs w:val="17"/>
              </w:rPr>
              <w:t>PICP ≥ 0.90 maintained during all anomalous test years (El Niño 1997–98, 2015–16; La Niña drought 1988, 2012)</w:t>
            </w:r>
          </w:p>
        </w:tc>
      </w:tr>
      <w:tr w:rsidR="000C4F6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00" w:type="dxa"/>
              <w:bottom w:w="60" w:type="dxa"/>
              <w:right w:w="100" w:type="dxa"/>
            </w:tcMar>
          </w:tcPr>
          <w:p w:rsidR="000C4F62" w:rsidRDefault="00D325E6">
            <w:pPr>
              <w:jc w:val="center"/>
            </w:pPr>
            <w:r>
              <w:rPr>
                <w:b/>
                <w:bCs/>
                <w:sz w:val="18"/>
                <w:szCs w:val="18"/>
              </w:rPr>
              <w:t>O4</w:t>
            </w:r>
          </w:p>
        </w:tc>
        <w:tc>
          <w:tcPr>
            <w:tcW w:w="320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20" w:type="dxa"/>
              <w:bottom w:w="60" w:type="dxa"/>
              <w:right w:w="120" w:type="dxa"/>
            </w:tcMar>
          </w:tcPr>
          <w:p w:rsidR="000C4F62" w:rsidRDefault="00D325E6">
            <w:r>
              <w:rPr>
                <w:sz w:val="17"/>
                <w:szCs w:val="17"/>
              </w:rPr>
              <w:t xml:space="preserve">Jointly train the CQR head and ACI recalibration mechanism end-to-end with the point-prediction backbone (rather than treating uncertainty as a post-hoc calibration step), and demonstrate that </w:t>
              <w:lastRenderedPageBreak/>
              <w:t>joint training improves both point prediction accuracy and interval sharpness (MPIW).</w:t>
            </w:r>
          </w:p>
        </w:tc>
        <w:tc>
          <w:tcPr>
            <w:tcW w:w="200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20" w:type="dxa"/>
              <w:bottom w:w="60" w:type="dxa"/>
              <w:right w:w="120" w:type="dxa"/>
            </w:tcMar>
          </w:tcPr>
          <w:p w:rsidR="000C4F62" w:rsidRDefault="00D325E6">
            <w:r>
              <w:rPr>
                <w:sz w:val="17"/>
                <w:szCs w:val="17"/>
              </w:rPr>
              <w:lastRenderedPageBreak/>
              <w:t>Gap 5 — No joint end-to-end uncertainty training in literature</w:t>
            </w:r>
          </w:p>
        </w:tc>
        <w:tc>
          <w:tcPr>
            <w:tcW w:w="228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20" w:type="dxa"/>
              <w:bottom w:w="60" w:type="dxa"/>
              <w:right w:w="120" w:type="dxa"/>
            </w:tcMar>
          </w:tcPr>
          <w:p w:rsidR="000C4F62" w:rsidRDefault="00D325E6">
            <w:r>
              <w:rPr>
                <w:sz w:val="17"/>
                <w:szCs w:val="17"/>
              </w:rPr>
              <w:t>Joint training reduces MPIW by ≥ 10% relative to post-hoc calibration at equal PICP; point-prediction RMSE also improves by ≥ 5%</w:t>
            </w:r>
          </w:p>
        </w:tc>
      </w:tr>
      <w:tr w:rsidR="000C4F6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0C4F62" w:rsidRDefault="00D325E6">
            <w:pPr>
              <w:jc w:val="center"/>
            </w:pPr>
            <w:r>
              <w:rPr>
                <w:b/>
                <w:bCs/>
                <w:sz w:val="18"/>
                <w:szCs w:val="18"/>
              </w:rPr>
              <w:t>O5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17"/>
                <w:szCs w:val="17"/>
              </w:rPr>
              <w:t>Quantify how the ACI interval width co-varies with CDHW event severity (SPI-30 magnitude, Tmax exceedance above 35°C threshold) and growing-season phenological stage, providing interpretable uncertainty attribution for agronomic decision support.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17"/>
                <w:szCs w:val="17"/>
              </w:rPr>
              <w:t>Gap 4 + Gap 5 — Interpretability of uncertainty</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17"/>
                <w:szCs w:val="17"/>
              </w:rPr>
              <w:t>ACI interval width significantly positively correlated (r &gt; 0.6) with CDHW severity score; interval expansion concentrated during silking (R1) phenological window</w:t>
            </w:r>
          </w:p>
        </w:tc>
      </w:tr>
    </w:tbl>
    <w:p w:rsidR="000C4F62" w:rsidRDefault="000C4F62"/>
    <w:p w:rsidR="000C4F62" w:rsidRDefault="00D325E6">
      <w:pPr>
        <w:pStyle w:val="Heading1"/>
      </w:pPr>
      <w:r>
        <w:rPr>
          <w:sz w:val="28"/>
          <w:szCs w:val="28"/>
        </w:rPr>
        <w:t>3. Proposed Methodology</w:t>
      </w:r>
    </w:p>
    <w:p w:rsidR="000C4F62" w:rsidRDefault="00D325E6">
      <w:pPr>
        <w:pStyle w:val="Heading2"/>
      </w:pPr>
      <w:r>
        <w:rPr>
          <w:sz w:val="24"/>
          <w:szCs w:val="24"/>
        </w:rPr>
        <w:t>3.1 Compound Drought-Heatwave Event Encoding</w:t>
      </w:r>
    </w:p>
    <w:p w:rsidR="000C4F62" w:rsidRDefault="00D325E6">
      <w:pPr>
        <w:spacing w:after="80"/>
      </w:pPr>
      <w:r>
        <w:t>The CDHW indicator is derived from ERA5 weather data at daily resolution:</w:t>
      </w:r>
    </w:p>
    <w:p w:rsidR="000C4F62" w:rsidRDefault="00D325E6">
      <w:pPr>
        <w:pStyle w:val="ListParagraph"/>
        <w:numPr>
          <w:ilvl w:val="0"/>
          <w:numId w:val="2"/>
        </w:numPr>
      </w:pPr>
      <w:r>
        <w:rPr>
          <w:sz w:val="21"/>
          <w:szCs w:val="21"/>
        </w:rPr>
        <w:t>SPI-30: 30-day Standardised Precipitation Index computed from ERA5 precipitation using gamma distribution fitting on the 1981–2010 climatological baseline.</w:t>
      </w:r>
    </w:p>
    <w:p w:rsidR="000C4F62" w:rsidRDefault="00D325E6">
      <w:pPr>
        <w:pStyle w:val="ListParagraph"/>
        <w:numPr>
          <w:ilvl w:val="0"/>
          <w:numId w:val="2"/>
        </w:numPr>
      </w:pPr>
      <w:r>
        <w:rPr>
          <w:sz w:val="21"/>
          <w:szCs w:val="21"/>
        </w:rPr>
        <w:t>CDHWevent binary flag: Set to 1 for any day where SPI-30 &lt; −1 AND Tmax &gt; 35°C simultaneously; 0 otherwise.</w:t>
      </w:r>
    </w:p>
    <w:p w:rsidR="000C4F62" w:rsidRDefault="00D325E6">
      <w:pPr>
        <w:pStyle w:val="ListParagraph"/>
        <w:numPr>
          <w:ilvl w:val="0"/>
          <w:numId w:val="2"/>
        </w:numPr>
      </w:pPr>
      <w:r>
        <w:rPr>
          <w:sz w:val="21"/>
          <w:szCs w:val="21"/>
        </w:rPr>
        <w:t>Season-level CDHW severity score: Sum of daily CDHWevent flags within the growing season (April–October), weighted by the product of |SPI-30| and (Tmax − 35°C) on flagged days.</w:t>
      </w:r>
    </w:p>
    <w:p w:rsidR="000C4F62" w:rsidRDefault="00D325E6">
      <w:pPr>
        <w:pStyle w:val="ListParagraph"/>
        <w:numPr>
          <w:ilvl w:val="0"/>
          <w:numId w:val="2"/>
        </w:numPr>
      </w:pPr>
      <w:r>
        <w:rPr>
          <w:sz w:val="21"/>
          <w:szCs w:val="21"/>
        </w:rPr>
        <w:t>The CDHWevent binary flag is prepended as a hard token to the weather sequence in PhenoFormer, giving the Transformer an early global signal about compound stress occurrence.</w:t>
      </w:r>
    </w:p>
    <w:p w:rsidR="000C4F62" w:rsidRDefault="000C4F62"/>
    <w:p w:rsidR="000C4F62" w:rsidRDefault="00D325E6">
      <w:pPr>
        <w:pStyle w:val="Heading2"/>
      </w:pPr>
      <w:r>
        <w:rPr>
          <w:sz w:val="24"/>
          <w:szCs w:val="24"/>
        </w:rPr>
        <w:t>3.2 Conformalized Quantile Regression (CQR) Head</w:t>
      </w:r>
    </w:p>
    <w:p w:rsidR="000C4F62" w:rsidRDefault="00D325E6">
      <w:pPr>
        <w:spacing w:after="80"/>
      </w:pPr>
      <w:r>
        <w:t>A 2-layer MLP head with shared first layer from the regression backbone outputs two scalars per county-year: q_lo (5th percentile) and q_hi (95th percentile) of the predicted yield distribution.</w:t>
      </w:r>
    </w:p>
    <w:p w:rsidR="000C4F62" w:rsidRDefault="00D325E6">
      <w:pPr>
        <w:pStyle w:val="ListParagraph"/>
        <w:numPr>
          <w:ilvl w:val="0"/>
          <w:numId w:val="2"/>
        </w:numPr>
      </w:pPr>
      <w:r>
        <w:rPr>
          <w:sz w:val="21"/>
          <w:szCs w:val="21"/>
        </w:rPr>
        <w:t>Training loss: Quantile (pinball) loss at τ = 0.05 and τ = 0.95 simultaneously. L_CQR = (1/N) Σ [max(0.05 · (y − q_lo), 0.95 · (q_lo − y)) + max(0.95 · (y − q_hi), 0.05 · (q_hi − y))]</w:t>
      </w:r>
    </w:p>
    <w:p w:rsidR="000C4F62" w:rsidRDefault="00D325E6">
      <w:pPr>
        <w:pStyle w:val="ListParagraph"/>
        <w:numPr>
          <w:ilvl w:val="0"/>
          <w:numId w:val="2"/>
        </w:numPr>
      </w:pPr>
      <w:r>
        <w:rPr>
          <w:sz w:val="21"/>
          <w:szCs w:val="21"/>
        </w:rPr>
        <w:t>The CQR head is trained jointly with the backbone from Phase 2 of the three-phase curriculum, ensuring that the interval head adapts to the backbone's learned representations rather than calibrating post-hoc on fixed backbone outputs.</w:t>
      </w:r>
    </w:p>
    <w:p w:rsidR="000C4F62" w:rsidRDefault="000C4F62"/>
    <w:p w:rsidR="000C4F62" w:rsidRDefault="00D325E6">
      <w:pPr>
        <w:pStyle w:val="Heading2"/>
      </w:pPr>
      <w:r>
        <w:rPr>
          <w:sz w:val="24"/>
          <w:szCs w:val="24"/>
        </w:rPr>
        <w:t>3.3 Adaptive Conformal Inference (ACI) Recalibration</w:t>
      </w:r>
    </w:p>
    <w:p w:rsidR="000C4F62" w:rsidRDefault="00D325E6">
      <w:pPr>
        <w:spacing w:after="80"/>
      </w:pPr>
      <w:r>
        <w:t>At inference time, ACI dynamically adjusts the CQR intervals using an online update rule:</w:t>
      </w:r>
    </w:p>
    <w:p w:rsidR="000C4F62" w:rsidRDefault="00D325E6">
      <w:pPr>
        <w:pStyle w:val="ListParagraph"/>
        <w:numPr>
          <w:ilvl w:val="0"/>
          <w:numId w:val="2"/>
        </w:numPr>
      </w:pPr>
      <w:r>
        <w:rPr>
          <w:sz w:val="21"/>
          <w:szCs w:val="21"/>
        </w:rPr>
        <w:t>Sliding window: The previous W = 3 growing seasons' county-year residuals are maintained as the calibration set.</w:t>
      </w:r>
    </w:p>
    <w:p w:rsidR="000C4F62" w:rsidRDefault="00D325E6">
      <w:pPr>
        <w:pStyle w:val="ListParagraph"/>
        <w:numPr>
          <w:ilvl w:val="0"/>
          <w:numId w:val="2"/>
        </w:numPr>
      </w:pPr>
      <w:r>
        <w:rPr>
          <w:sz w:val="21"/>
          <w:szCs w:val="21"/>
        </w:rPr>
        <w:t>Coverage tracking: Empirical PICP is computed over the sliding window. If PICP &lt; 0.90, the interval [q_lo, q_hi] is widened by a multiplicative factor (1 + η) where η is proportional to the coverage shortfall. If PICP &gt; 0.90, the interval is narrowed to improve sharpness.</w:t>
      </w:r>
    </w:p>
    <w:p w:rsidR="000C4F62" w:rsidRDefault="00D325E6">
      <w:pPr>
        <w:pStyle w:val="ListParagraph"/>
        <w:numPr>
          <w:ilvl w:val="0"/>
          <w:numId w:val="2"/>
        </w:numPr>
      </w:pPr>
      <w:r>
        <w:rPr>
          <w:sz w:val="21"/>
          <w:szCs w:val="21"/>
        </w:rPr>
        <w:t>El Niño / anomalous year behaviour: During anomalous years when the point predictor is systematically biased, ACI detects the coverage shortfall within the first 1–2 months of residual accumulation and expands the interval before the end of the growing season, directly addressing the collapse documented in Paper 18.</w:t>
      </w:r>
    </w:p>
    <w:p w:rsidR="000C4F62" w:rsidRDefault="000C4F62"/>
    <w:p w:rsidR="000C4F62" w:rsidRDefault="00D325E6">
      <w:pPr>
        <w:pStyle w:val="Heading2"/>
      </w:pPr>
      <w:r>
        <w:rPr>
          <w:sz w:val="24"/>
          <w:szCs w:val="24"/>
        </w:rPr>
        <w:t>3.4 Evaluation Against Static Conformal Baseline</w:t>
      </w:r>
    </w:p>
    <w:p w:rsidR="000C4F62" w:rsidRDefault="00D325E6">
      <w:pPr>
        <w:spacing w:after="80"/>
      </w:pPr>
      <w:r>
        <w:lastRenderedPageBreak/>
        <w:t>The primary comparison reproduces the Paper 18 experimental setup: static conformal intervals calibrated on 1985–2015 residuals and evaluated without recalibration on 2016–2023. ACI is evaluated under identical conditions. Coverage is reported separately for:</w:t>
      </w:r>
    </w:p>
    <w:p w:rsidR="000C4F62" w:rsidRDefault="00D325E6">
      <w:pPr>
        <w:pStyle w:val="ListParagraph"/>
        <w:numPr>
          <w:ilvl w:val="0"/>
          <w:numId w:val="2"/>
        </w:numPr>
      </w:pPr>
      <w:r>
        <w:rPr>
          <w:sz w:val="21"/>
          <w:szCs w:val="21"/>
        </w:rPr>
        <w:t>Normal years (no CDHW events, ENSO-neutral).</w:t>
      </w:r>
    </w:p>
    <w:p w:rsidR="000C4F62" w:rsidRDefault="00D325E6">
      <w:pPr>
        <w:pStyle w:val="ListParagraph"/>
        <w:numPr>
          <w:ilvl w:val="0"/>
          <w:numId w:val="2"/>
        </w:numPr>
      </w:pPr>
      <w:r>
        <w:rPr>
          <w:sz w:val="21"/>
          <w:szCs w:val="21"/>
        </w:rPr>
        <w:t>Moderate anomaly years (1–2 CDHW events per season).</w:t>
      </w:r>
    </w:p>
    <w:p w:rsidR="000C4F62" w:rsidRDefault="00D325E6">
      <w:pPr>
        <w:pStyle w:val="ListParagraph"/>
        <w:numPr>
          <w:ilvl w:val="0"/>
          <w:numId w:val="2"/>
        </w:numPr>
      </w:pPr>
      <w:r>
        <w:rPr>
          <w:sz w:val="21"/>
          <w:szCs w:val="21"/>
        </w:rPr>
        <w:t>Extreme anomaly years (3+ CDHW events; El Niño / La Niña years).</w:t>
      </w:r>
    </w:p>
    <w:p w:rsidR="000C4F62" w:rsidRDefault="000C4F62"/>
    <w:p w:rsidR="000C4F62" w:rsidRDefault="00D325E6">
      <w:pPr>
        <w:pStyle w:val="Heading1"/>
      </w:pPr>
      <w:r>
        <w:rPr>
          <w:sz w:val="28"/>
          <w:szCs w:val="28"/>
        </w:rPr>
        <w:t>4. Evaluation Protocol</w:t>
      </w:r>
    </w:p>
    <w:p w:rsidR="000C4F62" w:rsidRDefault="00D325E6">
      <w:pPr>
        <w:pStyle w:val="ListParagraph"/>
        <w:numPr>
          <w:ilvl w:val="0"/>
          <w:numId w:val="2"/>
        </w:numPr>
      </w:pPr>
      <w:r>
        <w:rPr>
          <w:sz w:val="21"/>
          <w:szCs w:val="21"/>
        </w:rPr>
        <w:t>Primary metrics: PICP (target ≥ 0.90 in all three year-type categories), MPIW (minimise subject to PICP constraint), CDHWevent R² (target &gt; 0.70).</w:t>
      </w:r>
    </w:p>
    <w:p w:rsidR="000C4F62" w:rsidRDefault="00D325E6">
      <w:pPr>
        <w:pStyle w:val="ListParagraph"/>
        <w:numPr>
          <w:ilvl w:val="0"/>
          <w:numId w:val="2"/>
        </w:numPr>
      </w:pPr>
      <w:r>
        <w:rPr>
          <w:sz w:val="21"/>
          <w:szCs w:val="21"/>
        </w:rPr>
        <w:t>Temporal split: Same as Paper 1 (train 1985–2015, val 2016–2018, test 2019–2023).</w:t>
      </w:r>
    </w:p>
    <w:p w:rsidR="000C4F62" w:rsidRDefault="00D325E6">
      <w:pPr>
        <w:pStyle w:val="ListParagraph"/>
        <w:numPr>
          <w:ilvl w:val="0"/>
          <w:numId w:val="2"/>
        </w:numPr>
      </w:pPr>
      <w:r>
        <w:rPr>
          <w:sz w:val="21"/>
          <w:szCs w:val="21"/>
        </w:rPr>
        <w:t>Anomalous year subset: El Niño years 1997–98, 2015–16; La Niña drought 1988, 2012; heat dome analogue years.</w:t>
      </w:r>
    </w:p>
    <w:p w:rsidR="000C4F62" w:rsidRDefault="00D325E6">
      <w:pPr>
        <w:pStyle w:val="ListParagraph"/>
        <w:numPr>
          <w:ilvl w:val="0"/>
          <w:numId w:val="2"/>
        </w:numPr>
      </w:pPr>
      <w:r>
        <w:rPr>
          <w:sz w:val="21"/>
          <w:szCs w:val="21"/>
        </w:rPr>
        <w:t>Baseline: Static split conformal (Paper 18 protocol); standard quantile regression without conformalisation.</w:t>
      </w:r>
    </w:p>
    <w:p w:rsidR="000C4F62" w:rsidRDefault="00D325E6">
      <w:pPr>
        <w:pStyle w:val="ListParagraph"/>
        <w:numPr>
          <w:ilvl w:val="0"/>
          <w:numId w:val="2"/>
        </w:numPr>
      </w:pPr>
      <w:r>
        <w:rPr>
          <w:sz w:val="21"/>
          <w:szCs w:val="21"/>
        </w:rPr>
        <w:t>Interpretability analysis: Spearman correlation between ACI interval width and CDHW severity score; interval width by phenological window (using GDD-stage bins).</w:t>
      </w:r>
    </w:p>
    <w:p w:rsidR="000C4F62" w:rsidRDefault="000C4F62"/>
    <w:p w:rsidR="000C4F62" w:rsidRDefault="00D325E6">
      <w:pPr>
        <w:pStyle w:val="Heading1"/>
      </w:pPr>
      <w:r>
        <w:rPr>
          <w:sz w:val="28"/>
          <w:szCs w:val="28"/>
        </w:rPr>
        <w:t>5. Datasets Required</w:t>
      </w:r>
    </w:p>
    <w:p w:rsidR="000C4F62" w:rsidRDefault="00D325E6">
      <w:pPr>
        <w:pStyle w:val="Heading2"/>
      </w:pPr>
      <w:r>
        <w:rPr>
          <w:sz w:val="24"/>
          <w:szCs w:val="24"/>
        </w:rPr>
        <w:t>5.1 Methodology Datasets</w:t>
      </w:r>
    </w:p>
    <w:p w:rsidR="000C4F62" w:rsidRDefault="000C4F62"/>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80"/>
        <w:gridCol w:w="2000"/>
        <w:gridCol w:w="2000"/>
      </w:tblGrid>
      <w:tr w:rsidR="000C4F6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375623"/>
            <w:tcMar>
              <w:top w:w="60" w:type="dxa"/>
              <w:left w:w="120" w:type="dxa"/>
              <w:bottom w:w="60" w:type="dxa"/>
              <w:right w:w="120" w:type="dxa"/>
            </w:tcMar>
          </w:tcPr>
          <w:p w:rsidR="000C4F62" w:rsidRDefault="00D325E6">
            <w:pPr>
              <w:jc w:val="center"/>
            </w:pPr>
            <w:r>
              <w:rPr>
                <w:b/>
                <w:bCs/>
                <w:color w:val="FFFFFF"/>
                <w:sz w:val="18"/>
                <w:szCs w:val="18"/>
              </w:rPr>
              <w:t>Dataset / Source</w:t>
            </w:r>
          </w:p>
        </w:tc>
        <w:tc>
          <w:tcPr>
            <w:tcW w:w="3680" w:type="dxa"/>
            <w:tcBorders>
              <w:top w:val="single" w:sz="1" w:space="0" w:color="CCCCCC"/>
              <w:left w:val="single" w:sz="1" w:space="0" w:color="CCCCCC"/>
              <w:bottom w:val="single" w:sz="1" w:space="0" w:color="CCCCCC"/>
              <w:right w:val="single" w:sz="1" w:space="0" w:color="CCCCCC"/>
            </w:tcBorders>
            <w:shd w:val="clear" w:color="auto" w:fill="375623"/>
            <w:tcMar>
              <w:top w:w="60" w:type="dxa"/>
              <w:left w:w="120" w:type="dxa"/>
              <w:bottom w:w="60" w:type="dxa"/>
              <w:right w:w="120" w:type="dxa"/>
            </w:tcMar>
          </w:tcPr>
          <w:p w:rsidR="000C4F62" w:rsidRDefault="00D325E6">
            <w:pPr>
              <w:jc w:val="center"/>
            </w:pPr>
            <w:r>
              <w:rPr>
                <w:b/>
                <w:bCs/>
                <w:color w:val="FFFFFF"/>
                <w:sz w:val="18"/>
                <w:szCs w:val="18"/>
              </w:rPr>
              <w:t>Variables / Content</w:t>
            </w:r>
          </w:p>
        </w:tc>
        <w:tc>
          <w:tcPr>
            <w:tcW w:w="2000" w:type="dxa"/>
            <w:tcBorders>
              <w:top w:val="single" w:sz="1" w:space="0" w:color="CCCCCC"/>
              <w:left w:val="single" w:sz="1" w:space="0" w:color="CCCCCC"/>
              <w:bottom w:val="single" w:sz="1" w:space="0" w:color="CCCCCC"/>
              <w:right w:val="single" w:sz="1" w:space="0" w:color="CCCCCC"/>
            </w:tcBorders>
            <w:shd w:val="clear" w:color="auto" w:fill="375623"/>
            <w:tcMar>
              <w:top w:w="60" w:type="dxa"/>
              <w:left w:w="120" w:type="dxa"/>
              <w:bottom w:w="60" w:type="dxa"/>
              <w:right w:w="120" w:type="dxa"/>
            </w:tcMar>
          </w:tcPr>
          <w:p w:rsidR="000C4F62" w:rsidRDefault="00D325E6">
            <w:pPr>
              <w:jc w:val="center"/>
            </w:pPr>
            <w:r>
              <w:rPr>
                <w:b/>
                <w:bCs/>
                <w:color w:val="FFFFFF"/>
                <w:sz w:val="18"/>
                <w:szCs w:val="18"/>
              </w:rPr>
              <w:t>Licence</w:t>
            </w:r>
          </w:p>
        </w:tc>
        <w:tc>
          <w:tcPr>
            <w:tcW w:w="2000" w:type="dxa"/>
            <w:tcBorders>
              <w:top w:val="single" w:sz="1" w:space="0" w:color="CCCCCC"/>
              <w:left w:val="single" w:sz="1" w:space="0" w:color="CCCCCC"/>
              <w:bottom w:val="single" w:sz="1" w:space="0" w:color="CCCCCC"/>
              <w:right w:val="single" w:sz="1" w:space="0" w:color="CCCCCC"/>
            </w:tcBorders>
            <w:shd w:val="clear" w:color="auto" w:fill="375623"/>
            <w:tcMar>
              <w:top w:w="60" w:type="dxa"/>
              <w:left w:w="120" w:type="dxa"/>
              <w:bottom w:w="60" w:type="dxa"/>
              <w:right w:w="120" w:type="dxa"/>
            </w:tcMar>
          </w:tcPr>
          <w:p w:rsidR="000C4F62" w:rsidRDefault="00D325E6">
            <w:pPr>
              <w:jc w:val="center"/>
            </w:pPr>
            <w:r>
              <w:rPr>
                <w:b/>
                <w:bCs/>
                <w:color w:val="FFFFFF"/>
                <w:sz w:val="18"/>
                <w:szCs w:val="18"/>
              </w:rPr>
              <w:t>Stream</w:t>
            </w:r>
          </w:p>
        </w:tc>
      </w:tr>
      <w:tr w:rsidR="000C4F6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17"/>
                <w:szCs w:val="17"/>
              </w:rPr>
              <w:t>ERA5 Daily Reanalysis (ECMWF CDS)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17"/>
                <w:szCs w:val="17"/>
              </w:rPr>
              <w:t>Tmax, Tmin, precipitation, VPD, ET₀ at county centroids; 1985–2023; daily resolution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17"/>
                <w:szCs w:val="17"/>
              </w:rPr>
              <w:t>Free research / commercial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17"/>
                <w:szCs w:val="17"/>
              </w:rPr>
              <w:t>Weather encoder + CDHW</w:t>
            </w:r>
          </w:p>
        </w:tc>
      </w:tr>
      <w:tr w:rsidR="000C4F6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20" w:type="dxa"/>
              <w:bottom w:w="60" w:type="dxa"/>
              <w:right w:w="120" w:type="dxa"/>
            </w:tcMar>
          </w:tcPr>
          <w:p w:rsidR="000C4F62" w:rsidRDefault="00D325E6">
            <w:r>
              <w:rPr>
                <w:sz w:val="17"/>
                <w:szCs w:val="17"/>
              </w:rPr>
              <w:t>SPI-30 (derived from ERA5)</w:t>
            </w:r>
          </w:p>
        </w:tc>
        <w:tc>
          <w:tcPr>
            <w:tcW w:w="368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20" w:type="dxa"/>
              <w:bottom w:w="60" w:type="dxa"/>
              <w:right w:w="120" w:type="dxa"/>
            </w:tcMar>
          </w:tcPr>
          <w:p w:rsidR="000C4F62" w:rsidRDefault="00D325E6">
            <w:r>
              <w:rPr>
                <w:sz w:val="17"/>
                <w:szCs w:val="17"/>
              </w:rPr>
              <w:t>30-day SPI computed from ERA5 precipitation using 1981–2010 gamma baseline</w:t>
            </w:r>
          </w:p>
        </w:tc>
        <w:tc>
          <w:tcPr>
            <w:tcW w:w="200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20" w:type="dxa"/>
              <w:bottom w:w="60" w:type="dxa"/>
              <w:right w:w="120" w:type="dxa"/>
            </w:tcMar>
          </w:tcPr>
          <w:p w:rsidR="000C4F62" w:rsidRDefault="00D325E6">
            <w:r>
              <w:rPr>
                <w:sz w:val="17"/>
                <w:szCs w:val="17"/>
              </w:rPr>
              <w:t>Derived — public domain inputs</w:t>
            </w:r>
          </w:p>
        </w:tc>
        <w:tc>
          <w:tcPr>
            <w:tcW w:w="200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20" w:type="dxa"/>
              <w:bottom w:w="60" w:type="dxa"/>
              <w:right w:w="120" w:type="dxa"/>
            </w:tcMar>
          </w:tcPr>
          <w:p w:rsidR="000C4F62" w:rsidRDefault="00D325E6">
            <w:r>
              <w:rPr>
                <w:sz w:val="17"/>
                <w:szCs w:val="17"/>
              </w:rPr>
              <w:t>CDHW indicator</w:t>
            </w:r>
          </w:p>
        </w:tc>
      </w:tr>
      <w:tr w:rsidR="000C4F6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17"/>
                <w:szCs w:val="17"/>
              </w:rPr>
              <w:t>FAO-56 ET₀ (derived from ERA5)</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17"/>
                <w:szCs w:val="17"/>
              </w:rPr>
              <w:t>Reference evapotranspiration via Penman-Monteith from ERA5 temperature, radiation, wind, humidity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17"/>
                <w:szCs w:val="17"/>
              </w:rPr>
              <w:t>Derived — public domain inputs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17"/>
                <w:szCs w:val="17"/>
              </w:rPr>
              <w:t>ET deficit computation</w:t>
            </w:r>
          </w:p>
        </w:tc>
      </w:tr>
      <w:tr w:rsidR="000C4F6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20" w:type="dxa"/>
              <w:bottom w:w="60" w:type="dxa"/>
              <w:right w:w="120" w:type="dxa"/>
            </w:tcMar>
          </w:tcPr>
          <w:p w:rsidR="000C4F62" w:rsidRDefault="00D325E6">
            <w:r>
              <w:rPr>
                <w:sz w:val="17"/>
                <w:szCs w:val="17"/>
              </w:rPr>
              <w:t>Sentinel-2 / MODIS NDVI (ESA / NASA)</w:t>
            </w:r>
          </w:p>
        </w:tc>
        <w:tc>
          <w:tcPr>
            <w:tcW w:w="368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20" w:type="dxa"/>
              <w:bottom w:w="60" w:type="dxa"/>
              <w:right w:w="120" w:type="dxa"/>
            </w:tcMar>
          </w:tcPr>
          <w:p w:rsidR="000C4F62" w:rsidRDefault="00D325E6">
            <w:r>
              <w:rPr>
                <w:sz w:val="17"/>
                <w:szCs w:val="17"/>
              </w:rPr>
              <w:t>NDVI time series for growing season; used to anchor phenological stages</w:t>
            </w:r>
          </w:p>
        </w:tc>
        <w:tc>
          <w:tcPr>
            <w:tcW w:w="200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20" w:type="dxa"/>
              <w:bottom w:w="60" w:type="dxa"/>
              <w:right w:w="120" w:type="dxa"/>
            </w:tcMar>
          </w:tcPr>
          <w:p w:rsidR="000C4F62" w:rsidRDefault="00D325E6">
            <w:r>
              <w:rPr>
                <w:sz w:val="17"/>
                <w:szCs w:val="17"/>
              </w:rPr>
              <w:t>Public domain</w:t>
            </w:r>
          </w:p>
        </w:tc>
        <w:tc>
          <w:tcPr>
            <w:tcW w:w="200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20" w:type="dxa"/>
              <w:bottom w:w="60" w:type="dxa"/>
              <w:right w:w="120" w:type="dxa"/>
            </w:tcMar>
          </w:tcPr>
          <w:p w:rsidR="000C4F62" w:rsidRDefault="00D325E6">
            <w:r>
              <w:rPr>
                <w:sz w:val="17"/>
                <w:szCs w:val="17"/>
              </w:rPr>
              <w:t>PhenoFormer input</w:t>
            </w:r>
          </w:p>
        </w:tc>
      </w:tr>
      <w:tr w:rsidR="000C4F6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17"/>
                <w:szCs w:val="17"/>
              </w:rPr>
              <w:t>USDA NASS County Yield Surveys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17"/>
                <w:szCs w:val="17"/>
              </w:rPr>
              <w:t>Annual corn and soybean yield (t/ha) per county; ground-truth labels for PICP evaluation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17"/>
                <w:szCs w:val="17"/>
              </w:rPr>
              <w:t>Public domain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17"/>
                <w:szCs w:val="17"/>
              </w:rPr>
              <w:t>Labels + PICP eval</w:t>
            </w:r>
          </w:p>
        </w:tc>
      </w:tr>
      <w:tr w:rsidR="000C4F6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20" w:type="dxa"/>
              <w:bottom w:w="60" w:type="dxa"/>
              <w:right w:w="120" w:type="dxa"/>
            </w:tcMar>
          </w:tcPr>
          <w:p w:rsidR="000C4F62" w:rsidRDefault="00D325E6">
            <w:r>
              <w:rPr>
                <w:sz w:val="17"/>
                <w:szCs w:val="17"/>
              </w:rPr>
              <w:t>NOAA Drought Monitor / ENSO Records</w:t>
            </w:r>
          </w:p>
        </w:tc>
        <w:tc>
          <w:tcPr>
            <w:tcW w:w="368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20" w:type="dxa"/>
              <w:bottom w:w="60" w:type="dxa"/>
              <w:right w:w="120" w:type="dxa"/>
            </w:tcMar>
          </w:tcPr>
          <w:p w:rsidR="000C4F62" w:rsidRDefault="00D325E6">
            <w:r>
              <w:rPr>
                <w:sz w:val="17"/>
                <w:szCs w:val="17"/>
              </w:rPr>
              <w:t>Historical drought and ENSO event classifications; used to identify anomalous test years</w:t>
            </w:r>
          </w:p>
        </w:tc>
        <w:tc>
          <w:tcPr>
            <w:tcW w:w="200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20" w:type="dxa"/>
              <w:bottom w:w="60" w:type="dxa"/>
              <w:right w:w="120" w:type="dxa"/>
            </w:tcMar>
          </w:tcPr>
          <w:p w:rsidR="000C4F62" w:rsidRDefault="00D325E6">
            <w:r>
              <w:rPr>
                <w:sz w:val="17"/>
                <w:szCs w:val="17"/>
              </w:rPr>
              <w:t>Public domain</w:t>
            </w:r>
          </w:p>
        </w:tc>
        <w:tc>
          <w:tcPr>
            <w:tcW w:w="200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20" w:type="dxa"/>
              <w:bottom w:w="60" w:type="dxa"/>
              <w:right w:w="120" w:type="dxa"/>
            </w:tcMar>
          </w:tcPr>
          <w:p w:rsidR="000C4F62" w:rsidRDefault="00D325E6">
            <w:r>
              <w:rPr>
                <w:sz w:val="17"/>
                <w:szCs w:val="17"/>
              </w:rPr>
              <w:t>Year stratification</w:t>
            </w:r>
          </w:p>
        </w:tc>
      </w:tr>
      <w:tr w:rsidR="000C4F6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17"/>
                <w:szCs w:val="17"/>
              </w:rPr>
              <w:t>FAO Ky Crop Response Factors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17"/>
                <w:szCs w:val="17"/>
              </w:rPr>
              <w:t>Corn: Ky = 1.25; Soybean: Ky = 0.85; used in ET deficit → yield loss scaling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17"/>
                <w:szCs w:val="17"/>
              </w:rPr>
              <w:t>FAO technical report (public)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17"/>
                <w:szCs w:val="17"/>
              </w:rPr>
              <w:t>Physics bias in PICA</w:t>
            </w:r>
          </w:p>
        </w:tc>
      </w:tr>
      <w:tr w:rsidR="000C4F6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20" w:type="dxa"/>
              <w:bottom w:w="60" w:type="dxa"/>
              <w:right w:w="120" w:type="dxa"/>
            </w:tcMar>
          </w:tcPr>
          <w:p w:rsidR="000C4F62" w:rsidRDefault="00D325E6">
            <w:r>
              <w:rPr>
                <w:sz w:val="17"/>
                <w:szCs w:val="17"/>
              </w:rPr>
              <w:t>DSSAT Soft-Target Predictions</w:t>
            </w:r>
          </w:p>
        </w:tc>
        <w:tc>
          <w:tcPr>
            <w:tcW w:w="368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20" w:type="dxa"/>
              <w:bottom w:w="60" w:type="dxa"/>
              <w:right w:w="120" w:type="dxa"/>
            </w:tcMar>
          </w:tcPr>
          <w:p w:rsidR="000C4F62" w:rsidRDefault="00D325E6">
            <w:r>
              <w:rPr>
                <w:sz w:val="17"/>
                <w:szCs w:val="17"/>
              </w:rPr>
              <w:t>Random Forest meta-model trained on 100,000+ DSSAT simulations; used as L_phys soft target</w:t>
            </w:r>
          </w:p>
        </w:tc>
        <w:tc>
          <w:tcPr>
            <w:tcW w:w="200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20" w:type="dxa"/>
              <w:bottom w:w="60" w:type="dxa"/>
              <w:right w:w="120" w:type="dxa"/>
            </w:tcMar>
          </w:tcPr>
          <w:p w:rsidR="000C4F62" w:rsidRDefault="00D325E6">
            <w:r>
              <w:rPr>
                <w:sz w:val="17"/>
                <w:szCs w:val="17"/>
              </w:rPr>
              <w:t>Research licence (DSSAT)</w:t>
            </w:r>
          </w:p>
        </w:tc>
        <w:tc>
          <w:tcPr>
            <w:tcW w:w="200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20" w:type="dxa"/>
              <w:bottom w:w="60" w:type="dxa"/>
              <w:right w:w="120" w:type="dxa"/>
            </w:tcMar>
          </w:tcPr>
          <w:p w:rsidR="000C4F62" w:rsidRDefault="00D325E6">
            <w:r>
              <w:rPr>
                <w:sz w:val="17"/>
                <w:szCs w:val="17"/>
              </w:rPr>
              <w:t>Loss function</w:t>
            </w:r>
          </w:p>
        </w:tc>
      </w:tr>
      <w:tr w:rsidR="000C4F6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17"/>
                <w:szCs w:val="17"/>
              </w:rPr>
              <w:t>GDD Accumulation (derived)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17"/>
                <w:szCs w:val="17"/>
              </w:rPr>
              <w:t>Growing degree days from ERA5 Tmax/Tmin; base 10°C, cap 30°C for corn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17"/>
                <w:szCs w:val="17"/>
              </w:rPr>
              <w:t>Derived — public domain inputs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17"/>
                <w:szCs w:val="17"/>
              </w:rPr>
              <w:t>Phenological stage encoding</w:t>
            </w:r>
          </w:p>
        </w:tc>
      </w:tr>
    </w:tbl>
    <w:p w:rsidR="000C4F62" w:rsidRDefault="000C4F62"/>
    <w:p w:rsidR="000C4F62" w:rsidRDefault="00D325E6">
      <w:pPr>
        <w:pStyle w:val="Heading2"/>
      </w:pPr>
      <w:r>
        <w:rPr>
          <w:sz w:val="24"/>
          <w:szCs w:val="24"/>
        </w:rPr>
        <w:lastRenderedPageBreak/>
        <w:t>5.2 Complete Dataset Checklist</w:t>
      </w:r>
    </w:p>
    <w:p w:rsidR="000C4F62" w:rsidRDefault="00D325E6">
      <w:pPr>
        <w:spacing w:before="80" w:after="80"/>
      </w:pPr>
      <w:r>
        <w:rPr>
          <w:b/>
          <w:bCs/>
          <w:color w:val="375623"/>
          <w:sz w:val="20"/>
          <w:szCs w:val="20"/>
        </w:rPr>
        <w:t>Study Period  —  Training: 1985–2015  |  Validation: 2016–2018  |  Testing: 2019–2023</w:t>
      </w:r>
    </w:p>
    <w:p w:rsidR="000C4F62" w:rsidRDefault="000C4F62"/>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2"/>
        <w:gridCol w:w="2664"/>
        <w:gridCol w:w="1776"/>
        <w:gridCol w:w="1887"/>
        <w:gridCol w:w="1421"/>
      </w:tblGrid>
      <w:tr w:rsidR="000C4F62">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375623"/>
            <w:tcMar>
              <w:top w:w="60" w:type="dxa"/>
              <w:left w:w="120" w:type="dxa"/>
              <w:bottom w:w="60" w:type="dxa"/>
              <w:right w:w="120" w:type="dxa"/>
            </w:tcMar>
          </w:tcPr>
          <w:p w:rsidR="000C4F62" w:rsidRDefault="00D325E6">
            <w:pPr>
              <w:jc w:val="center"/>
            </w:pPr>
            <w:r>
              <w:rPr>
                <w:b/>
                <w:bCs/>
                <w:color w:val="FFFFFF"/>
                <w:sz w:val="18"/>
                <w:szCs w:val="18"/>
              </w:rPr>
              <w:t>Dataset</w:t>
            </w:r>
          </w:p>
        </w:tc>
        <w:tc>
          <w:tcPr>
            <w:tcW w:w="2400" w:type="dxa"/>
            <w:tcBorders>
              <w:top w:val="single" w:sz="1" w:space="0" w:color="CCCCCC"/>
              <w:left w:val="single" w:sz="1" w:space="0" w:color="CCCCCC"/>
              <w:bottom w:val="single" w:sz="1" w:space="0" w:color="CCCCCC"/>
              <w:right w:val="single" w:sz="1" w:space="0" w:color="CCCCCC"/>
            </w:tcBorders>
            <w:shd w:val="clear" w:color="auto" w:fill="375623"/>
            <w:tcMar>
              <w:top w:w="60" w:type="dxa"/>
              <w:left w:w="120" w:type="dxa"/>
              <w:bottom w:w="60" w:type="dxa"/>
              <w:right w:w="120" w:type="dxa"/>
            </w:tcMar>
          </w:tcPr>
          <w:p w:rsidR="000C4F62" w:rsidRDefault="00D325E6">
            <w:pPr>
              <w:jc w:val="center"/>
            </w:pPr>
            <w:r>
              <w:rPr>
                <w:b/>
                <w:bCs/>
                <w:color w:val="FFFFFF"/>
                <w:sz w:val="18"/>
                <w:szCs w:val="18"/>
              </w:rPr>
              <w:t>Source</w:t>
            </w:r>
          </w:p>
        </w:tc>
        <w:tc>
          <w:tcPr>
            <w:tcW w:w="1600" w:type="dxa"/>
            <w:tcBorders>
              <w:top w:val="single" w:sz="1" w:space="0" w:color="CCCCCC"/>
              <w:left w:val="single" w:sz="1" w:space="0" w:color="CCCCCC"/>
              <w:bottom w:val="single" w:sz="1" w:space="0" w:color="CCCCCC"/>
              <w:right w:val="single" w:sz="1" w:space="0" w:color="CCCCCC"/>
            </w:tcBorders>
            <w:shd w:val="clear" w:color="auto" w:fill="375623"/>
            <w:tcMar>
              <w:top w:w="60" w:type="dxa"/>
              <w:left w:w="120" w:type="dxa"/>
              <w:bottom w:w="60" w:type="dxa"/>
              <w:right w:w="120" w:type="dxa"/>
            </w:tcMar>
          </w:tcPr>
          <w:p w:rsidR="000C4F62" w:rsidRDefault="00D325E6">
            <w:pPr>
              <w:jc w:val="center"/>
            </w:pPr>
            <w:r>
              <w:rPr>
                <w:b/>
                <w:bCs/>
                <w:color w:val="FFFFFF"/>
                <w:sz w:val="18"/>
                <w:szCs w:val="18"/>
              </w:rPr>
              <w:t>Years</w:t>
            </w:r>
          </w:p>
        </w:tc>
        <w:tc>
          <w:tcPr>
            <w:tcW w:w="1700" w:type="dxa"/>
            <w:tcBorders>
              <w:top w:val="single" w:sz="1" w:space="0" w:color="CCCCCC"/>
              <w:left w:val="single" w:sz="1" w:space="0" w:color="CCCCCC"/>
              <w:bottom w:val="single" w:sz="1" w:space="0" w:color="CCCCCC"/>
              <w:right w:val="single" w:sz="1" w:space="0" w:color="CCCCCC"/>
            </w:tcBorders>
            <w:shd w:val="clear" w:color="auto" w:fill="375623"/>
            <w:tcMar>
              <w:top w:w="60" w:type="dxa"/>
              <w:left w:w="120" w:type="dxa"/>
              <w:bottom w:w="60" w:type="dxa"/>
              <w:right w:w="120" w:type="dxa"/>
            </w:tcMar>
          </w:tcPr>
          <w:p w:rsidR="000C4F62" w:rsidRDefault="00D325E6">
            <w:pPr>
              <w:jc w:val="center"/>
            </w:pPr>
            <w:r>
              <w:rPr>
                <w:b/>
                <w:bCs/>
                <w:color w:val="FFFFFF"/>
                <w:sz w:val="18"/>
                <w:szCs w:val="18"/>
              </w:rPr>
              <w:t>Resolution</w:t>
            </w:r>
          </w:p>
        </w:tc>
        <w:tc>
          <w:tcPr>
            <w:tcW w:w="1280" w:type="dxa"/>
            <w:tcBorders>
              <w:top w:val="single" w:sz="1" w:space="0" w:color="CCCCCC"/>
              <w:left w:val="single" w:sz="1" w:space="0" w:color="CCCCCC"/>
              <w:bottom w:val="single" w:sz="1" w:space="0" w:color="CCCCCC"/>
              <w:right w:val="single" w:sz="1" w:space="0" w:color="CCCCCC"/>
            </w:tcBorders>
            <w:shd w:val="clear" w:color="auto" w:fill="375623"/>
            <w:tcMar>
              <w:top w:w="60" w:type="dxa"/>
              <w:left w:w="120" w:type="dxa"/>
              <w:bottom w:w="60" w:type="dxa"/>
              <w:right w:w="120" w:type="dxa"/>
            </w:tcMar>
          </w:tcPr>
          <w:p w:rsidR="000C4F62" w:rsidRDefault="00D325E6">
            <w:pPr>
              <w:jc w:val="center"/>
            </w:pPr>
            <w:r>
              <w:rPr>
                <w:b/>
                <w:bCs/>
                <w:color w:val="FFFFFF"/>
                <w:sz w:val="18"/>
                <w:szCs w:val="18"/>
              </w:rPr>
              <w:t>Required</w:t>
            </w:r>
          </w:p>
        </w:tc>
      </w:tr>
      <w:tr w:rsidR="000C4F62">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17"/>
                <w:szCs w:val="17"/>
              </w:rPr>
              <w:t>ERA5 Weather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17"/>
                <w:szCs w:val="17"/>
              </w:rPr>
              <w:t>Copernicus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0C4F62" w:rsidRDefault="00D325E6">
            <w:r>
              <w:rPr>
                <w:sz w:val="17"/>
                <w:szCs w:val="17"/>
              </w:rPr>
              <w:t>1985–2023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0C4F62" w:rsidRDefault="00D325E6">
            <w:r>
              <w:rPr>
                <w:sz w:val="17"/>
                <w:szCs w:val="17"/>
              </w:rPr>
              <w:t>Daily</w:t>
            </w:r>
          </w:p>
        </w:tc>
        <w:tc>
          <w:tcPr>
            <w:tcW w:w="1280" w:type="dxa"/>
            <w:tcBorders>
              <w:top w:val="single" w:sz="1" w:space="0" w:color="CCCCCC"/>
              <w:left w:val="single" w:sz="1" w:space="0" w:color="CCCCCC"/>
              <w:bottom w:val="single" w:sz="1" w:space="0" w:color="CCCCCC"/>
              <w:right w:val="single" w:sz="1" w:space="0" w:color="CCCCCC"/>
            </w:tcBorders>
            <w:shd w:val="clear" w:color="auto" w:fill="E8F4E8"/>
            <w:tcMar>
              <w:top w:w="60" w:type="dxa"/>
              <w:left w:w="100" w:type="dxa"/>
              <w:bottom w:w="60" w:type="dxa"/>
              <w:right w:w="100" w:type="dxa"/>
            </w:tcMar>
          </w:tcPr>
          <w:p w:rsidR="000C4F62" w:rsidRDefault="00D325E6">
            <w:pPr>
              <w:jc w:val="center"/>
            </w:pPr>
            <w:r>
              <w:rPr>
                <w:b/>
                <w:bCs/>
                <w:sz w:val="17"/>
                <w:szCs w:val="17"/>
              </w:rPr>
              <w:t>✅</w:t>
            </w:r>
          </w:p>
        </w:tc>
      </w:tr>
      <w:tr w:rsidR="000C4F62">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20" w:type="dxa"/>
              <w:bottom w:w="60" w:type="dxa"/>
              <w:right w:w="120" w:type="dxa"/>
            </w:tcMar>
          </w:tcPr>
          <w:p w:rsidR="000C4F62" w:rsidRDefault="00D325E6">
            <w:r>
              <w:rPr>
                <w:sz w:val="17"/>
                <w:szCs w:val="17"/>
              </w:rPr>
              <w:t>Corn Yield</w:t>
            </w:r>
          </w:p>
        </w:tc>
        <w:tc>
          <w:tcPr>
            <w:tcW w:w="240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20" w:type="dxa"/>
              <w:bottom w:w="60" w:type="dxa"/>
              <w:right w:w="120" w:type="dxa"/>
            </w:tcMar>
          </w:tcPr>
          <w:p w:rsidR="000C4F62" w:rsidRDefault="00D325E6">
            <w:r>
              <w:rPr>
                <w:sz w:val="17"/>
                <w:szCs w:val="17"/>
              </w:rPr>
              <w:t>USDA NASS</w:t>
            </w:r>
          </w:p>
        </w:tc>
        <w:tc>
          <w:tcPr>
            <w:tcW w:w="160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00" w:type="dxa"/>
              <w:bottom w:w="60" w:type="dxa"/>
              <w:right w:w="100" w:type="dxa"/>
            </w:tcMar>
          </w:tcPr>
          <w:p w:rsidR="000C4F62" w:rsidRDefault="00D325E6">
            <w:r>
              <w:rPr>
                <w:sz w:val="17"/>
                <w:szCs w:val="17"/>
              </w:rPr>
              <w:t>1985–2023</w:t>
            </w:r>
          </w:p>
        </w:tc>
        <w:tc>
          <w:tcPr>
            <w:tcW w:w="170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00" w:type="dxa"/>
              <w:bottom w:w="60" w:type="dxa"/>
              <w:right w:w="100" w:type="dxa"/>
            </w:tcMar>
          </w:tcPr>
          <w:p w:rsidR="000C4F62" w:rsidRDefault="00D325E6">
            <w:r>
              <w:rPr>
                <w:sz w:val="17"/>
                <w:szCs w:val="17"/>
              </w:rPr>
              <w:t>County</w:t>
            </w:r>
          </w:p>
        </w:tc>
        <w:tc>
          <w:tcPr>
            <w:tcW w:w="1280" w:type="dxa"/>
            <w:tcBorders>
              <w:top w:val="single" w:sz="1" w:space="0" w:color="CCCCCC"/>
              <w:left w:val="single" w:sz="1" w:space="0" w:color="CCCCCC"/>
              <w:bottom w:val="single" w:sz="1" w:space="0" w:color="CCCCCC"/>
              <w:right w:val="single" w:sz="1" w:space="0" w:color="CCCCCC"/>
            </w:tcBorders>
            <w:shd w:val="clear" w:color="auto" w:fill="E8F4E8"/>
            <w:tcMar>
              <w:top w:w="60" w:type="dxa"/>
              <w:left w:w="100" w:type="dxa"/>
              <w:bottom w:w="60" w:type="dxa"/>
              <w:right w:w="100" w:type="dxa"/>
            </w:tcMar>
          </w:tcPr>
          <w:p w:rsidR="000C4F62" w:rsidRDefault="00D325E6">
            <w:pPr>
              <w:jc w:val="center"/>
            </w:pPr>
            <w:r>
              <w:rPr>
                <w:b/>
                <w:bCs/>
                <w:sz w:val="17"/>
                <w:szCs w:val="17"/>
              </w:rPr>
              <w:t>✅</w:t>
            </w:r>
          </w:p>
        </w:tc>
      </w:tr>
      <w:tr w:rsidR="000C4F62">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17"/>
                <w:szCs w:val="17"/>
              </w:rPr>
              <w:t>Soybean Yield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17"/>
                <w:szCs w:val="17"/>
              </w:rPr>
              <w:t>USDA NASS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0C4F62" w:rsidRDefault="00D325E6">
            <w:r>
              <w:rPr>
                <w:sz w:val="17"/>
                <w:szCs w:val="17"/>
              </w:rPr>
              <w:t>1985–2023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0C4F62" w:rsidRDefault="00D325E6">
            <w:r>
              <w:rPr>
                <w:sz w:val="17"/>
                <w:szCs w:val="17"/>
              </w:rPr>
              <w:t>County</w:t>
            </w:r>
          </w:p>
        </w:tc>
        <w:tc>
          <w:tcPr>
            <w:tcW w:w="1280" w:type="dxa"/>
            <w:tcBorders>
              <w:top w:val="single" w:sz="1" w:space="0" w:color="CCCCCC"/>
              <w:left w:val="single" w:sz="1" w:space="0" w:color="CCCCCC"/>
              <w:bottom w:val="single" w:sz="1" w:space="0" w:color="CCCCCC"/>
              <w:right w:val="single" w:sz="1" w:space="0" w:color="CCCCCC"/>
            </w:tcBorders>
            <w:shd w:val="clear" w:color="auto" w:fill="E8F4E8"/>
            <w:tcMar>
              <w:top w:w="60" w:type="dxa"/>
              <w:left w:w="100" w:type="dxa"/>
              <w:bottom w:w="60" w:type="dxa"/>
              <w:right w:w="100" w:type="dxa"/>
            </w:tcMar>
          </w:tcPr>
          <w:p w:rsidR="000C4F62" w:rsidRDefault="00D325E6">
            <w:pPr>
              <w:jc w:val="center"/>
            </w:pPr>
            <w:r>
              <w:rPr>
                <w:b/>
                <w:bCs/>
                <w:sz w:val="17"/>
                <w:szCs w:val="17"/>
              </w:rPr>
              <w:t>✅</w:t>
            </w:r>
          </w:p>
        </w:tc>
      </w:tr>
      <w:tr w:rsidR="000C4F62">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20" w:type="dxa"/>
              <w:bottom w:w="60" w:type="dxa"/>
              <w:right w:w="120" w:type="dxa"/>
            </w:tcMar>
          </w:tcPr>
          <w:p w:rsidR="000C4F62" w:rsidRDefault="00D325E6">
            <w:r>
              <w:rPr>
                <w:sz w:val="17"/>
                <w:szCs w:val="17"/>
              </w:rPr>
              <w:t>Drought Monitor</w:t>
            </w:r>
          </w:p>
        </w:tc>
        <w:tc>
          <w:tcPr>
            <w:tcW w:w="240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20" w:type="dxa"/>
              <w:bottom w:w="60" w:type="dxa"/>
              <w:right w:w="120" w:type="dxa"/>
            </w:tcMar>
          </w:tcPr>
          <w:p w:rsidR="000C4F62" w:rsidRDefault="00D325E6">
            <w:r>
              <w:rPr>
                <w:sz w:val="17"/>
                <w:szCs w:val="17"/>
              </w:rPr>
              <w:t>U.S. Drought Monitor</w:t>
            </w:r>
          </w:p>
        </w:tc>
        <w:tc>
          <w:tcPr>
            <w:tcW w:w="160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00" w:type="dxa"/>
              <w:bottom w:w="60" w:type="dxa"/>
              <w:right w:w="100" w:type="dxa"/>
            </w:tcMar>
          </w:tcPr>
          <w:p w:rsidR="000C4F62" w:rsidRDefault="00D325E6">
            <w:r>
              <w:rPr>
                <w:sz w:val="17"/>
                <w:szCs w:val="17"/>
              </w:rPr>
              <w:t>2000–2023</w:t>
            </w:r>
          </w:p>
        </w:tc>
        <w:tc>
          <w:tcPr>
            <w:tcW w:w="170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00" w:type="dxa"/>
              <w:bottom w:w="60" w:type="dxa"/>
              <w:right w:w="100" w:type="dxa"/>
            </w:tcMar>
          </w:tcPr>
          <w:p w:rsidR="000C4F62" w:rsidRDefault="00D325E6">
            <w:r>
              <w:rPr>
                <w:sz w:val="17"/>
                <w:szCs w:val="17"/>
              </w:rPr>
              <w:t>Weekly</w:t>
            </w:r>
          </w:p>
        </w:tc>
        <w:tc>
          <w:tcPr>
            <w:tcW w:w="1280" w:type="dxa"/>
            <w:tcBorders>
              <w:top w:val="single" w:sz="1" w:space="0" w:color="CCCCCC"/>
              <w:left w:val="single" w:sz="1" w:space="0" w:color="CCCCCC"/>
              <w:bottom w:val="single" w:sz="1" w:space="0" w:color="CCCCCC"/>
              <w:right w:val="single" w:sz="1" w:space="0" w:color="CCCCCC"/>
            </w:tcBorders>
            <w:shd w:val="clear" w:color="auto" w:fill="E8F4E8"/>
            <w:tcMar>
              <w:top w:w="60" w:type="dxa"/>
              <w:left w:w="100" w:type="dxa"/>
              <w:bottom w:w="60" w:type="dxa"/>
              <w:right w:w="100" w:type="dxa"/>
            </w:tcMar>
          </w:tcPr>
          <w:p w:rsidR="000C4F62" w:rsidRDefault="00D325E6">
            <w:pPr>
              <w:jc w:val="center"/>
            </w:pPr>
            <w:r>
              <w:rPr>
                <w:b/>
                <w:bCs/>
                <w:sz w:val="17"/>
                <w:szCs w:val="17"/>
              </w:rPr>
              <w:t>✅</w:t>
            </w:r>
          </w:p>
        </w:tc>
      </w:tr>
      <w:tr w:rsidR="000C4F62">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17"/>
                <w:szCs w:val="17"/>
              </w:rPr>
              <w:t>Storm Events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17"/>
                <w:szCs w:val="17"/>
              </w:rPr>
              <w:t>NOAA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0C4F62" w:rsidRDefault="00D325E6">
            <w:r>
              <w:rPr>
                <w:sz w:val="17"/>
                <w:szCs w:val="17"/>
              </w:rPr>
              <w:t>1985–2023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0C4F62" w:rsidRDefault="00D325E6">
            <w:r>
              <w:rPr>
                <w:sz w:val="17"/>
                <w:szCs w:val="17"/>
              </w:rPr>
              <w:t>Event</w:t>
            </w:r>
          </w:p>
        </w:tc>
        <w:tc>
          <w:tcPr>
            <w:tcW w:w="1280" w:type="dxa"/>
            <w:tcBorders>
              <w:top w:val="single" w:sz="1" w:space="0" w:color="CCCCCC"/>
              <w:left w:val="single" w:sz="1" w:space="0" w:color="CCCCCC"/>
              <w:bottom w:val="single" w:sz="1" w:space="0" w:color="CCCCCC"/>
              <w:right w:val="single" w:sz="1" w:space="0" w:color="CCCCCC"/>
            </w:tcBorders>
            <w:shd w:val="clear" w:color="auto" w:fill="E8F4E8"/>
            <w:tcMar>
              <w:top w:w="60" w:type="dxa"/>
              <w:left w:w="100" w:type="dxa"/>
              <w:bottom w:w="60" w:type="dxa"/>
              <w:right w:w="100" w:type="dxa"/>
            </w:tcMar>
          </w:tcPr>
          <w:p w:rsidR="000C4F62" w:rsidRDefault="00D325E6">
            <w:pPr>
              <w:jc w:val="center"/>
            </w:pPr>
            <w:r>
              <w:rPr>
                <w:b/>
                <w:bCs/>
                <w:sz w:val="17"/>
                <w:szCs w:val="17"/>
              </w:rPr>
              <w:t>✅</w:t>
            </w:r>
          </w:p>
        </w:tc>
      </w:tr>
      <w:tr w:rsidR="000C4F62">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20" w:type="dxa"/>
              <w:bottom w:w="60" w:type="dxa"/>
              <w:right w:w="120" w:type="dxa"/>
            </w:tcMar>
          </w:tcPr>
          <w:p w:rsidR="000C4F62" w:rsidRDefault="00D325E6">
            <w:r>
              <w:rPr>
                <w:sz w:val="17"/>
                <w:szCs w:val="17"/>
              </w:rPr>
              <w:t>ENSO (Oceanic Niño Index)</w:t>
            </w:r>
          </w:p>
        </w:tc>
        <w:tc>
          <w:tcPr>
            <w:tcW w:w="240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20" w:type="dxa"/>
              <w:bottom w:w="60" w:type="dxa"/>
              <w:right w:w="120" w:type="dxa"/>
            </w:tcMar>
          </w:tcPr>
          <w:p w:rsidR="000C4F62" w:rsidRDefault="00D325E6">
            <w:r>
              <w:rPr>
                <w:sz w:val="17"/>
                <w:szCs w:val="17"/>
              </w:rPr>
              <w:t>NOAA CPC</w:t>
            </w:r>
          </w:p>
        </w:tc>
        <w:tc>
          <w:tcPr>
            <w:tcW w:w="160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00" w:type="dxa"/>
              <w:bottom w:w="60" w:type="dxa"/>
              <w:right w:w="100" w:type="dxa"/>
            </w:tcMar>
          </w:tcPr>
          <w:p w:rsidR="000C4F62" w:rsidRDefault="00D325E6">
            <w:r>
              <w:rPr>
                <w:sz w:val="17"/>
                <w:szCs w:val="17"/>
              </w:rPr>
              <w:t>1985–2023</w:t>
            </w:r>
          </w:p>
        </w:tc>
        <w:tc>
          <w:tcPr>
            <w:tcW w:w="170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00" w:type="dxa"/>
              <w:bottom w:w="60" w:type="dxa"/>
              <w:right w:w="100" w:type="dxa"/>
            </w:tcMar>
          </w:tcPr>
          <w:p w:rsidR="000C4F62" w:rsidRDefault="00D325E6">
            <w:r>
              <w:rPr>
                <w:sz w:val="17"/>
                <w:szCs w:val="17"/>
              </w:rPr>
              <w:t>Monthly</w:t>
            </w:r>
          </w:p>
        </w:tc>
        <w:tc>
          <w:tcPr>
            <w:tcW w:w="1280" w:type="dxa"/>
            <w:tcBorders>
              <w:top w:val="single" w:sz="1" w:space="0" w:color="CCCCCC"/>
              <w:left w:val="single" w:sz="1" w:space="0" w:color="CCCCCC"/>
              <w:bottom w:val="single" w:sz="1" w:space="0" w:color="CCCCCC"/>
              <w:right w:val="single" w:sz="1" w:space="0" w:color="CCCCCC"/>
            </w:tcBorders>
            <w:shd w:val="clear" w:color="auto" w:fill="E8F4E8"/>
            <w:tcMar>
              <w:top w:w="60" w:type="dxa"/>
              <w:left w:w="100" w:type="dxa"/>
              <w:bottom w:w="60" w:type="dxa"/>
              <w:right w:w="100" w:type="dxa"/>
            </w:tcMar>
          </w:tcPr>
          <w:p w:rsidR="000C4F62" w:rsidRDefault="00D325E6">
            <w:pPr>
              <w:jc w:val="center"/>
            </w:pPr>
            <w:r>
              <w:rPr>
                <w:b/>
                <w:bCs/>
                <w:sz w:val="17"/>
                <w:szCs w:val="17"/>
              </w:rPr>
              <w:t>✅</w:t>
            </w:r>
          </w:p>
        </w:tc>
      </w:tr>
      <w:tr w:rsidR="000C4F62">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17"/>
                <w:szCs w:val="17"/>
              </w:rPr>
              <w:t>DSSAT Simulations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sz w:val="17"/>
                <w:szCs w:val="17"/>
              </w:rPr>
              <w:t>DSSAT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0C4F62" w:rsidRDefault="00D325E6">
            <w:r>
              <w:rPr>
                <w:sz w:val="17"/>
                <w:szCs w:val="17"/>
              </w:rPr>
              <w:t>Match study period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0C4F62" w:rsidRDefault="00D325E6">
            <w:r>
              <w:rPr>
                <w:sz w:val="17"/>
                <w:szCs w:val="17"/>
              </w:rPr>
              <w:t>County</w:t>
            </w:r>
          </w:p>
        </w:tc>
        <w:tc>
          <w:tcPr>
            <w:tcW w:w="1280" w:type="dxa"/>
            <w:tcBorders>
              <w:top w:val="single" w:sz="1" w:space="0" w:color="CCCCCC"/>
              <w:left w:val="single" w:sz="1" w:space="0" w:color="CCCCCC"/>
              <w:bottom w:val="single" w:sz="1" w:space="0" w:color="CCCCCC"/>
              <w:right w:val="single" w:sz="1" w:space="0" w:color="CCCCCC"/>
            </w:tcBorders>
            <w:shd w:val="clear" w:color="auto" w:fill="FFFBE6"/>
            <w:tcMar>
              <w:top w:w="60" w:type="dxa"/>
              <w:left w:w="100" w:type="dxa"/>
              <w:bottom w:w="60" w:type="dxa"/>
              <w:right w:w="100" w:type="dxa"/>
            </w:tcMar>
          </w:tcPr>
          <w:p w:rsidR="000C4F62" w:rsidRDefault="00D325E6">
            <w:pPr>
              <w:jc w:val="center"/>
            </w:pPr>
            <w:r>
              <w:rPr>
                <w:sz w:val="17"/>
                <w:szCs w:val="17"/>
              </w:rPr>
              <w:t>Optional</w:t>
            </w:r>
          </w:p>
        </w:tc>
      </w:tr>
      <w:tr w:rsidR="000C4F62">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20" w:type="dxa"/>
              <w:bottom w:w="60" w:type="dxa"/>
              <w:right w:w="120" w:type="dxa"/>
            </w:tcMar>
          </w:tcPr>
          <w:p w:rsidR="000C4F62" w:rsidRDefault="00D325E6">
            <w:r>
              <w:rPr>
                <w:sz w:val="17"/>
                <w:szCs w:val="17"/>
              </w:rPr>
              <w:t>MODIS NDVI (MOD13Q1)</w:t>
            </w:r>
          </w:p>
        </w:tc>
        <w:tc>
          <w:tcPr>
            <w:tcW w:w="240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20" w:type="dxa"/>
              <w:bottom w:w="60" w:type="dxa"/>
              <w:right w:w="120" w:type="dxa"/>
            </w:tcMar>
          </w:tcPr>
          <w:p w:rsidR="000C4F62" w:rsidRDefault="00D325E6">
            <w:r>
              <w:rPr>
                <w:sz w:val="17"/>
                <w:szCs w:val="17"/>
              </w:rPr>
              <w:t>NASA LP DAAC</w:t>
            </w:r>
          </w:p>
        </w:tc>
        <w:tc>
          <w:tcPr>
            <w:tcW w:w="160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00" w:type="dxa"/>
              <w:bottom w:w="60" w:type="dxa"/>
              <w:right w:w="100" w:type="dxa"/>
            </w:tcMar>
          </w:tcPr>
          <w:p w:rsidR="000C4F62" w:rsidRDefault="00D325E6">
            <w:r>
              <w:rPr>
                <w:sz w:val="17"/>
                <w:szCs w:val="17"/>
              </w:rPr>
              <w:t>2000–2023</w:t>
            </w:r>
          </w:p>
        </w:tc>
        <w:tc>
          <w:tcPr>
            <w:tcW w:w="1700" w:type="dxa"/>
            <w:tcBorders>
              <w:top w:val="single" w:sz="1" w:space="0" w:color="CCCCCC"/>
              <w:left w:val="single" w:sz="1" w:space="0" w:color="CCCCCC"/>
              <w:bottom w:val="single" w:sz="1" w:space="0" w:color="CCCCCC"/>
              <w:right w:val="single" w:sz="1" w:space="0" w:color="CCCCCC"/>
            </w:tcBorders>
            <w:shd w:val="clear" w:color="auto" w:fill="F0F4F0"/>
            <w:tcMar>
              <w:top w:w="60" w:type="dxa"/>
              <w:left w:w="100" w:type="dxa"/>
              <w:bottom w:w="60" w:type="dxa"/>
              <w:right w:w="100" w:type="dxa"/>
            </w:tcMar>
          </w:tcPr>
          <w:p w:rsidR="000C4F62" w:rsidRDefault="00D325E6">
            <w:r>
              <w:rPr>
                <w:sz w:val="17"/>
                <w:szCs w:val="17"/>
              </w:rPr>
              <w:t>250 m (16-day)</w:t>
            </w:r>
          </w:p>
        </w:tc>
        <w:tc>
          <w:tcPr>
            <w:tcW w:w="1280" w:type="dxa"/>
            <w:tcBorders>
              <w:top w:val="single" w:sz="1" w:space="0" w:color="CCCCCC"/>
              <w:left w:val="single" w:sz="1" w:space="0" w:color="CCCCCC"/>
              <w:bottom w:val="single" w:sz="1" w:space="0" w:color="CCCCCC"/>
              <w:right w:val="single" w:sz="1" w:space="0" w:color="CCCCCC"/>
            </w:tcBorders>
            <w:shd w:val="clear" w:color="auto" w:fill="FFFBE6"/>
            <w:tcMar>
              <w:top w:w="60" w:type="dxa"/>
              <w:left w:w="100" w:type="dxa"/>
              <w:bottom w:w="60" w:type="dxa"/>
              <w:right w:w="100" w:type="dxa"/>
            </w:tcMar>
          </w:tcPr>
          <w:p w:rsidR="000C4F62" w:rsidRDefault="00D325E6">
            <w:pPr>
              <w:jc w:val="center"/>
            </w:pPr>
            <w:r>
              <w:rPr>
                <w:sz w:val="17"/>
                <w:szCs w:val="17"/>
              </w:rPr>
              <w:t>Optional</w:t>
            </w:r>
          </w:p>
        </w:tc>
      </w:tr>
    </w:tbl>
    <w:p w:rsidR="000C4F62" w:rsidRDefault="000C4F62"/>
    <w:p w:rsidR="000C4F62" w:rsidRDefault="00D325E6">
      <w:pPr>
        <w:pStyle w:val="Heading2"/>
      </w:pPr>
      <w:r>
        <w:rPr>
          <w:sz w:val="24"/>
          <w:szCs w:val="24"/>
        </w:rPr>
        <w:t>5.3 Datasets NOT Required for This Paper</w:t>
      </w:r>
    </w:p>
    <w:p w:rsidR="000C4F62" w:rsidRDefault="000C4F62"/>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0C4F62">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A50000"/>
            <w:tcMar>
              <w:top w:w="60" w:type="dxa"/>
              <w:left w:w="120" w:type="dxa"/>
              <w:bottom w:w="60" w:type="dxa"/>
              <w:right w:w="120" w:type="dxa"/>
            </w:tcMar>
          </w:tcPr>
          <w:p w:rsidR="000C4F62" w:rsidRDefault="00D325E6">
            <w:pPr>
              <w:jc w:val="center"/>
            </w:pPr>
            <w:r>
              <w:rPr>
                <w:b/>
                <w:bCs/>
                <w:color w:val="FFFFFF"/>
                <w:sz w:val="18"/>
                <w:szCs w:val="18"/>
              </w:rPr>
              <w:t>Excluded Datasets</w:t>
            </w:r>
          </w:p>
        </w:tc>
      </w:tr>
      <w:tr w:rsidR="000C4F62">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color w:val="A50000"/>
                <w:sz w:val="17"/>
                <w:szCs w:val="17"/>
              </w:rPr>
              <w:t>Sentinel-2</w:t>
            </w:r>
            <w:bookmarkStart w:id="0" w:name="_GoBack"/>
            <w:bookmarkEnd w:id="0"/>
            <w:r>
              <w:rPr>
                <w:color w:val="A50000"/>
                <w:sz w:val="17"/>
                <w:szCs w:val="17"/>
              </w:rPr>
              <w:t xml:space="preserve"> —  Not required for this paper</w:t>
            </w:r>
          </w:p>
        </w:tc>
      </w:tr>
      <w:tr w:rsidR="000C4F62">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DE8E8"/>
            <w:tcMar>
              <w:top w:w="60" w:type="dxa"/>
              <w:left w:w="120" w:type="dxa"/>
              <w:bottom w:w="60" w:type="dxa"/>
              <w:right w:w="120" w:type="dxa"/>
            </w:tcMar>
          </w:tcPr>
          <w:p w:rsidR="000C4F62" w:rsidRDefault="00D325E6">
            <w:r>
              <w:rPr>
                <w:color w:val="A50000"/>
                <w:sz w:val="17"/>
                <w:szCs w:val="17"/>
              </w:rPr>
              <w:t>Landsat (unless studying vegetation uncertainty)  —  Not required for this paper</w:t>
            </w:r>
          </w:p>
        </w:tc>
      </w:tr>
      <w:tr w:rsidR="000C4F62">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color w:val="A50000"/>
                <w:sz w:val="17"/>
                <w:szCs w:val="17"/>
              </w:rPr>
              <w:t>SSURGO Soil  —  Not required for this paper</w:t>
            </w:r>
          </w:p>
        </w:tc>
      </w:tr>
      <w:tr w:rsidR="000C4F62">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DE8E8"/>
            <w:tcMar>
              <w:top w:w="60" w:type="dxa"/>
              <w:left w:w="120" w:type="dxa"/>
              <w:bottom w:w="60" w:type="dxa"/>
              <w:right w:w="120" w:type="dxa"/>
            </w:tcMar>
          </w:tcPr>
          <w:p w:rsidR="000C4F62" w:rsidRDefault="00D325E6">
            <w:r>
              <w:rPr>
                <w:color w:val="A50000"/>
                <w:sz w:val="17"/>
                <w:szCs w:val="17"/>
              </w:rPr>
              <w:t>DEM  —  Not required for this paper</w:t>
            </w:r>
          </w:p>
        </w:tc>
      </w:tr>
      <w:tr w:rsidR="000C4F62">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color w:val="A50000"/>
                <w:sz w:val="17"/>
                <w:szCs w:val="17"/>
              </w:rPr>
              <w:t>CDL / Crop Mask  —  Not required for this paper</w:t>
            </w:r>
          </w:p>
        </w:tc>
      </w:tr>
      <w:tr w:rsidR="000C4F62">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DE8E8"/>
            <w:tcMar>
              <w:top w:w="60" w:type="dxa"/>
              <w:left w:w="120" w:type="dxa"/>
              <w:bottom w:w="60" w:type="dxa"/>
              <w:right w:w="120" w:type="dxa"/>
            </w:tcMar>
          </w:tcPr>
          <w:p w:rsidR="000C4F62" w:rsidRDefault="00D325E6">
            <w:r>
              <w:rPr>
                <w:color w:val="A50000"/>
                <w:sz w:val="17"/>
                <w:szCs w:val="17"/>
              </w:rPr>
              <w:t>Fertilizer  —  Not required for this paper</w:t>
            </w:r>
          </w:p>
        </w:tc>
      </w:tr>
      <w:tr w:rsidR="000C4F62">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0C4F62" w:rsidRDefault="00D325E6">
            <w:r>
              <w:rPr>
                <w:color w:val="A50000"/>
                <w:sz w:val="17"/>
                <w:szCs w:val="17"/>
              </w:rPr>
              <w:t>Irrigation  —  Not required for this paper</w:t>
            </w:r>
          </w:p>
        </w:tc>
      </w:tr>
    </w:tbl>
    <w:p w:rsidR="000C4F62" w:rsidRDefault="000C4F62"/>
    <w:p w:rsidR="000C4F62" w:rsidRDefault="00D325E6">
      <w:pPr>
        <w:pStyle w:val="Heading1"/>
      </w:pPr>
      <w:r>
        <w:rPr>
          <w:sz w:val="28"/>
          <w:szCs w:val="28"/>
        </w:rPr>
        <w:t>6. Recommended Paper Sequence</w:t>
      </w:r>
    </w:p>
    <w:p w:rsidR="000C4F62" w:rsidRDefault="00D325E6">
      <w:pPr>
        <w:spacing w:after="80"/>
      </w:pPr>
      <w:r>
        <w:t>The three papers are designed to be written and executed in the following order, reflecting increasing data and compute requirements:</w:t>
      </w:r>
    </w:p>
    <w:p w:rsidR="000C4F62" w:rsidRDefault="00D325E6">
      <w:pPr>
        <w:pStyle w:val="ListParagraph"/>
        <w:numPr>
          <w:ilvl w:val="0"/>
          <w:numId w:val="2"/>
        </w:numPr>
      </w:pPr>
      <w:r>
        <w:rPr>
          <w:sz w:val="21"/>
          <w:szCs w:val="21"/>
        </w:rPr>
        <w:t>Paper 3 first: Least data-heavy. Only requires ERA5 + NASS yield surveys. Can be completed before satellite data is processed. Validates the uncertainty framework independently.</w:t>
      </w:r>
    </w:p>
    <w:p w:rsidR="000C4F62" w:rsidRDefault="00D325E6">
      <w:pPr>
        <w:pStyle w:val="ListParagraph"/>
        <w:numPr>
          <w:ilvl w:val="0"/>
          <w:numId w:val="2"/>
        </w:numPr>
      </w:pPr>
      <w:r>
        <w:rPr>
          <w:sz w:val="21"/>
          <w:szCs w:val="21"/>
        </w:rPr>
        <w:t>Paper 2 second: Requires ERA5 + SSURGO + NASS yields. No satellite imagery. PCMCI+ can be pre-computed offline on a standard workstation. Validates the spatial graph component independently.</w:t>
      </w:r>
    </w:p>
    <w:p w:rsidR="000C4F62" w:rsidRDefault="00D325E6">
      <w:pPr>
        <w:pStyle w:val="ListParagraph"/>
        <w:numPr>
          <w:ilvl w:val="0"/>
          <w:numId w:val="2"/>
        </w:numPr>
      </w:pPr>
      <w:r>
        <w:rPr>
          <w:sz w:val="21"/>
          <w:szCs w:val="21"/>
        </w:rPr>
        <w:t>Paper 1 last: Requires all four data streams simultaneously. Builds on validated components from Papers 2 and 3. Highest compute requirement (single A100 GPU, ~6–8 hours).</w:t>
      </w:r>
    </w:p>
    <w:p w:rsidR="000C4F62" w:rsidRDefault="00D325E6">
      <w:pPr>
        <w:spacing w:after="80"/>
      </w:pPr>
      <w:r>
        <w:t>This sequencing allows incremental results and publication while the full CropFusion pipeline is being completed.</w:t>
      </w:r>
    </w:p>
    <w:p w:rsidR="000C4F62" w:rsidRDefault="000C4F62"/>
    <w:sectPr w:rsidR="000C4F62">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D15136"/>
    <w:multiLevelType w:val="hybridMultilevel"/>
    <w:tmpl w:val="A6AC97E0"/>
    <w:lvl w:ilvl="0" w:tplc="D31EC53E">
      <w:start w:val="1"/>
      <w:numFmt w:val="bullet"/>
      <w:lvlText w:val="•"/>
      <w:lvlJc w:val="left"/>
      <w:pPr>
        <w:ind w:left="720" w:hanging="360"/>
      </w:pPr>
    </w:lvl>
    <w:lvl w:ilvl="1" w:tplc="80BE83EA">
      <w:numFmt w:val="decimal"/>
      <w:lvlText w:val=""/>
      <w:lvlJc w:val="left"/>
    </w:lvl>
    <w:lvl w:ilvl="2" w:tplc="212AA4E2">
      <w:numFmt w:val="decimal"/>
      <w:lvlText w:val=""/>
      <w:lvlJc w:val="left"/>
    </w:lvl>
    <w:lvl w:ilvl="3" w:tplc="0A469A7A">
      <w:numFmt w:val="decimal"/>
      <w:lvlText w:val=""/>
      <w:lvlJc w:val="left"/>
    </w:lvl>
    <w:lvl w:ilvl="4" w:tplc="C8141F22">
      <w:numFmt w:val="decimal"/>
      <w:lvlText w:val=""/>
      <w:lvlJc w:val="left"/>
    </w:lvl>
    <w:lvl w:ilvl="5" w:tplc="C860802A">
      <w:numFmt w:val="decimal"/>
      <w:lvlText w:val=""/>
      <w:lvlJc w:val="left"/>
    </w:lvl>
    <w:lvl w:ilvl="6" w:tplc="70282950">
      <w:numFmt w:val="decimal"/>
      <w:lvlText w:val=""/>
      <w:lvlJc w:val="left"/>
    </w:lvl>
    <w:lvl w:ilvl="7" w:tplc="51E05822">
      <w:numFmt w:val="decimal"/>
      <w:lvlText w:val=""/>
      <w:lvlJc w:val="left"/>
    </w:lvl>
    <w:lvl w:ilvl="8" w:tplc="63DC55A2">
      <w:numFmt w:val="decimal"/>
      <w:lvlText w:val=""/>
      <w:lvlJc w:val="left"/>
    </w:lvl>
  </w:abstractNum>
  <w:abstractNum w:abstractNumId="1" w15:restartNumberingAfterBreak="0">
    <w:nsid w:val="1BC45BE1"/>
    <w:multiLevelType w:val="hybridMultilevel"/>
    <w:tmpl w:val="3F4A88E8"/>
    <w:lvl w:ilvl="0" w:tplc="D3A87660">
      <w:start w:val="1"/>
      <w:numFmt w:val="bullet"/>
      <w:lvlText w:val="●"/>
      <w:lvlJc w:val="left"/>
      <w:pPr>
        <w:ind w:left="720" w:hanging="360"/>
      </w:pPr>
    </w:lvl>
    <w:lvl w:ilvl="1" w:tplc="AE58EEB4">
      <w:start w:val="1"/>
      <w:numFmt w:val="bullet"/>
      <w:lvlText w:val="○"/>
      <w:lvlJc w:val="left"/>
      <w:pPr>
        <w:ind w:left="1440" w:hanging="360"/>
      </w:pPr>
    </w:lvl>
    <w:lvl w:ilvl="2" w:tplc="FBCC8C54">
      <w:start w:val="1"/>
      <w:numFmt w:val="bullet"/>
      <w:lvlText w:val="■"/>
      <w:lvlJc w:val="left"/>
      <w:pPr>
        <w:ind w:left="2160" w:hanging="360"/>
      </w:pPr>
    </w:lvl>
    <w:lvl w:ilvl="3" w:tplc="16F64F7A">
      <w:start w:val="1"/>
      <w:numFmt w:val="bullet"/>
      <w:lvlText w:val="●"/>
      <w:lvlJc w:val="left"/>
      <w:pPr>
        <w:ind w:left="2880" w:hanging="360"/>
      </w:pPr>
    </w:lvl>
    <w:lvl w:ilvl="4" w:tplc="588E930A">
      <w:start w:val="1"/>
      <w:numFmt w:val="bullet"/>
      <w:lvlText w:val="○"/>
      <w:lvlJc w:val="left"/>
      <w:pPr>
        <w:ind w:left="3600" w:hanging="360"/>
      </w:pPr>
    </w:lvl>
    <w:lvl w:ilvl="5" w:tplc="8B5A8CB4">
      <w:start w:val="1"/>
      <w:numFmt w:val="bullet"/>
      <w:lvlText w:val="■"/>
      <w:lvlJc w:val="left"/>
      <w:pPr>
        <w:ind w:left="4320" w:hanging="360"/>
      </w:pPr>
    </w:lvl>
    <w:lvl w:ilvl="6" w:tplc="54629CD6">
      <w:start w:val="1"/>
      <w:numFmt w:val="bullet"/>
      <w:lvlText w:val="●"/>
      <w:lvlJc w:val="left"/>
      <w:pPr>
        <w:ind w:left="5040" w:hanging="360"/>
      </w:pPr>
    </w:lvl>
    <w:lvl w:ilvl="7" w:tplc="614287F4">
      <w:start w:val="1"/>
      <w:numFmt w:val="bullet"/>
      <w:lvlText w:val="●"/>
      <w:lvlJc w:val="left"/>
      <w:pPr>
        <w:ind w:left="5760" w:hanging="360"/>
      </w:pPr>
    </w:lvl>
    <w:lvl w:ilvl="8" w:tplc="2DB84F5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F62"/>
    <w:rsid w:val="000C4F62"/>
    <w:rsid w:val="00D32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03672"/>
  <w15:docId w15:val="{759FD240-997E-43E8-9517-A0417EF8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00" w:after="100"/>
      <w:outlineLvl w:val="1"/>
    </w:pPr>
    <w:rPr>
      <w:b/>
      <w:bCs/>
      <w:color w:val="37562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1517</Words>
  <Characters>8648</Characters>
  <Application>Microsoft Office Word</Application>
  <DocSecurity>0</DocSecurity>
  <Lines>72</Lines>
  <Paragraphs>20</Paragraphs>
  <ScaleCrop>false</ScaleCrop>
  <Company>Montclair State University</Company>
  <LinksUpToDate>false</LinksUpToDate>
  <CharactersWithSpaces>10145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Karthik Reddy Duddukunta</cp:lastModifiedBy>
  <cp:revision>2</cp:revision>
  <dcterms:created xsi:type="dcterms:W3CDTF">2026-06-26T07:44:00Z</dcterms:created>
  <dcterms:modified xsi:type="dcterms:W3CDTF">2026-06-26T12:15:00Z</dcterms:modified>
</cp:coreProperties>
</file>