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4E79"/>
          <w:sz w:val="34"/>
          <w:szCs w:val="34"/>
        </w:rPr>
        <w:t xml:space="preserve">Paper 3 — Project Overview</w:t>
      </w:r>
    </w:p>
    <w:p>
      <w:pPr>
        <w:spacing w:after="240"/>
      </w:pPr>
      <w:r>
        <w:rPr>
          <w:rFonts w:ascii="Calibri" w:cs="Calibri" w:eastAsia="Calibri" w:hAnsi="Calibri"/>
          <w:i/>
          <w:iCs/>
          <w:color w:val="444444"/>
          <w:sz w:val="22"/>
          <w:szCs w:val="22"/>
        </w:rPr>
        <w:t xml:space="preserve">Marginal Calibration Is Not Enough: Conditional Coverage of Conformal Prediction Intervals for Corn Yield Under Compound Drought–Heat Stress</w:t>
      </w:r>
    </w:p>
    <w:p>
      <w:pPr>
        <w:pStyle w:val="Heading1"/>
        <w:pBdr>
          <w:bottom w:val="single" w:color="1F4E79" w:sz="8" w:space="4"/>
        </w:pBdr>
        <w:spacing w:after="140" w:before="300"/>
      </w:pPr>
      <w:r>
        <w:rPr>
          <w:rFonts w:ascii="Calibri" w:cs="Calibri" w:eastAsia="Calibri" w:hAnsi="Calibri"/>
          <w:b/>
          <w:bCs/>
          <w:color w:val="1F4E79"/>
          <w:sz w:val="26"/>
          <w:szCs w:val="26"/>
        </w:rPr>
        <w:t xml:space="preserve">1.  What the project does</w:t>
      </w:r>
    </w:p>
    <w:p>
      <w:pPr>
        <w:spacing w:after="120" w:line="276"/>
      </w:pPr>
      <w:r>
        <w:rPr>
          <w:rFonts w:ascii="Calibri" w:cs="Calibri" w:eastAsia="Calibri" w:hAnsi="Calibri"/>
          <w:sz w:val="21"/>
          <w:szCs w:val="21"/>
        </w:rPr>
        <w:t xml:space="preserve">County-level corn yield prediction with calibrated uncertainty across six US Corn Belt states, 1985–2023. The scientific focus is on how well prediction intervals behave during compound drought–heatwave (CDHW) events, not on squeezing out point accuracy.</w:t>
      </w:r>
    </w:p>
    <w:p>
      <w:pPr>
        <w:spacing w:after="120" w:line="276"/>
      </w:pPr>
      <w:r>
        <w:rPr>
          <w:rFonts w:ascii="Calibri" w:cs="Calibri" w:eastAsia="Calibri" w:hAnsi="Calibri"/>
          <w:sz w:val="21"/>
          <w:szCs w:val="21"/>
        </w:rPr>
        <w:t xml:space="preserve">The claim is not "our model predicts better." It is:</w:t>
      </w:r>
    </w:p>
    <w:p>
      <w:pPr>
        <w:pBdr>
          <w:left w:val="single" w:color="1F4E79" w:sz="12" w:space="8"/>
        </w:pBdr>
        <w:spacing w:after="160" w:line="276"/>
        <w:ind w:left="400"/>
      </w:pPr>
      <w:r>
        <w:rPr>
          <w:rFonts w:ascii="Calibri" w:cs="Calibri" w:eastAsia="Calibri" w:hAnsi="Calibri"/>
          <w:i/>
          <w:iCs/>
          <w:sz w:val="21"/>
          <w:szCs w:val="21"/>
        </w:rPr>
        <w:t xml:space="preserve">Conformal calibration methods in agricultural yield UQ are selected on marginal coverage, while the applications that motivate them are about extreme events — a conditional question. On this panel the two criteria rank methods in opposite orders.</w:t>
      </w:r>
    </w:p>
    <w:p>
      <w:pPr>
        <w:pStyle w:val="Heading1"/>
        <w:pBdr>
          <w:bottom w:val="single" w:color="1F4E79" w:sz="8" w:space="4"/>
        </w:pBdr>
        <w:spacing w:after="140" w:before="300"/>
      </w:pPr>
      <w:r>
        <w:rPr>
          <w:rFonts w:ascii="Calibri" w:cs="Calibri" w:eastAsia="Calibri" w:hAnsi="Calibri"/>
          <w:b/>
          <w:bCs/>
          <w:color w:val="1F4E79"/>
          <w:sz w:val="26"/>
          <w:szCs w:val="26"/>
        </w:rPr>
        <w:t xml:space="preserve">2.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DCE6F1" w:color="auto" w:val="clear"/>
            <w:tcMar>
              <w:top w:type="dxa" w:w="60"/>
              <w:left w:type="dxa" w:w="100"/>
              <w:bottom w:type="dxa" w:w="60"/>
              <w:right w:type="dxa" w:w="100"/>
            </w:tcMar>
          </w:tcPr>
          <w:p>
            <w:pPr>
              <w:spacing w:after="0" w:line="240"/>
            </w:pPr>
            <w:r>
              <w:rPr>
                <w:rFonts w:ascii="Calibri" w:cs="Calibri" w:eastAsia="Calibri" w:hAnsi="Calibri"/>
                <w:b/>
                <w:bCs/>
                <w:sz w:val="19"/>
                <w:szCs w:val="19"/>
              </w:rPr>
              <w:t xml:space="preserve">Property</w:t>
            </w:r>
          </w:p>
        </w:tc>
        <w:tc>
          <w:tcPr>
            <w:tcW w:type="dxa" w:w="6760"/>
            <w:shd w:fill="DCE6F1" w:color="auto" w:val="clear"/>
            <w:tcMar>
              <w:top w:type="dxa" w:w="60"/>
              <w:left w:type="dxa" w:w="100"/>
              <w:bottom w:type="dxa" w:w="60"/>
              <w:right w:type="dxa" w:w="100"/>
            </w:tcMar>
          </w:tcPr>
          <w:p>
            <w:pPr>
              <w:spacing w:after="0" w:line="240"/>
              <w:jc w:val="center"/>
            </w:pPr>
            <w:r>
              <w:rPr>
                <w:rFonts w:ascii="Calibri" w:cs="Calibri" w:eastAsia="Calibri" w:hAnsi="Calibri"/>
                <w:b/>
                <w:bCs/>
                <w:sz w:val="19"/>
                <w:szCs w:val="19"/>
              </w:rPr>
              <w:t xml:space="preserve">Value</w:t>
            </w:r>
          </w:p>
        </w:tc>
      </w:tr>
      <w:tr>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Unit of observation</w:t>
            </w:r>
          </w:p>
        </w:tc>
        <w:tc>
          <w:tcPr>
            <w:tcW w:type="dxa" w:w="6760"/>
            <w:tcMar>
              <w:top w:type="dxa" w:w="60"/>
              <w:left w:type="dxa" w:w="100"/>
              <w:bottom w:type="dxa" w:w="60"/>
              <w:right w:type="dxa" w:w="100"/>
            </w:tcMar>
          </w:tcPr>
          <w:p>
            <w:pPr>
              <w:spacing w:after="0" w:line="240"/>
              <w:jc w:val="center"/>
            </w:pPr>
            <w:r>
              <w:rPr>
                <w:rFonts w:ascii="Calibri" w:cs="Calibri" w:eastAsia="Calibri" w:hAnsi="Calibri"/>
                <w:b w:val="false"/>
                <w:bCs w:val="false"/>
                <w:sz w:val="19"/>
                <w:szCs w:val="19"/>
              </w:rPr>
              <w:t xml:space="preserve">county × year</w:t>
            </w:r>
          </w:p>
        </w:tc>
      </w:tr>
      <w:tr>
        <w:tc>
          <w:tcPr>
            <w:tcW w:type="dxa" w:w="2600"/>
            <w:shd w:fill="F4F7FB" w:color="auto" w:val="clear"/>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Rows</w:t>
            </w:r>
          </w:p>
        </w:tc>
        <w:tc>
          <w:tcPr>
            <w:tcW w:type="dxa" w:w="6760"/>
            <w:shd w:fill="F4F7FB" w:color="auto" w:val="clear"/>
            <w:tcMar>
              <w:top w:type="dxa" w:w="60"/>
              <w:left w:type="dxa" w:w="100"/>
              <w:bottom w:type="dxa" w:w="60"/>
              <w:right w:type="dxa" w:w="100"/>
            </w:tcMar>
          </w:tcPr>
          <w:p>
            <w:pPr>
              <w:spacing w:after="0" w:line="240"/>
              <w:jc w:val="center"/>
            </w:pPr>
            <w:r>
              <w:rPr>
                <w:rFonts w:ascii="Calibri" w:cs="Calibri" w:eastAsia="Calibri" w:hAnsi="Calibri"/>
                <w:b w:val="false"/>
                <w:bCs w:val="false"/>
                <w:sz w:val="19"/>
                <w:szCs w:val="19"/>
              </w:rPr>
              <w:t xml:space="preserve">26,364 raw → 22,737 after restricting to six states</w:t>
            </w:r>
          </w:p>
        </w:tc>
      </w:tr>
      <w:tr>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Years</w:t>
            </w:r>
          </w:p>
        </w:tc>
        <w:tc>
          <w:tcPr>
            <w:tcW w:type="dxa" w:w="6760"/>
            <w:tcMar>
              <w:top w:type="dxa" w:w="60"/>
              <w:left w:type="dxa" w:w="100"/>
              <w:bottom w:type="dxa" w:w="60"/>
              <w:right w:type="dxa" w:w="100"/>
            </w:tcMar>
          </w:tcPr>
          <w:p>
            <w:pPr>
              <w:spacing w:after="0" w:line="240"/>
              <w:jc w:val="center"/>
            </w:pPr>
            <w:r>
              <w:rPr>
                <w:rFonts w:ascii="Calibri" w:cs="Calibri" w:eastAsia="Calibri" w:hAnsi="Calibri"/>
                <w:b w:val="false"/>
                <w:bCs w:val="false"/>
                <w:sz w:val="19"/>
                <w:szCs w:val="19"/>
              </w:rPr>
              <w:t xml:space="preserve">1985–2023 (39 years)</w:t>
            </w:r>
          </w:p>
        </w:tc>
      </w:tr>
      <w:tr>
        <w:tc>
          <w:tcPr>
            <w:tcW w:type="dxa" w:w="2600"/>
            <w:shd w:fill="F4F7FB" w:color="auto" w:val="clear"/>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States</w:t>
            </w:r>
          </w:p>
        </w:tc>
        <w:tc>
          <w:tcPr>
            <w:tcW w:type="dxa" w:w="6760"/>
            <w:shd w:fill="F4F7FB" w:color="auto" w:val="clear"/>
            <w:tcMar>
              <w:top w:type="dxa" w:w="60"/>
              <w:left w:type="dxa" w:w="100"/>
              <w:bottom w:type="dxa" w:w="60"/>
              <w:right w:type="dxa" w:w="100"/>
            </w:tcMar>
          </w:tcPr>
          <w:p>
            <w:pPr>
              <w:spacing w:after="0" w:line="240"/>
              <w:jc w:val="center"/>
            </w:pPr>
            <w:r>
              <w:rPr>
                <w:rFonts w:ascii="Calibri" w:cs="Calibri" w:eastAsia="Calibri" w:hAnsi="Calibri"/>
                <w:b w:val="false"/>
                <w:bCs w:val="false"/>
                <w:sz w:val="19"/>
                <w:szCs w:val="19"/>
              </w:rPr>
              <w:t xml:space="preserve">Illinois, Indiana, Iowa, Minnesota, Missouri, Ohio</w:t>
            </w:r>
          </w:p>
        </w:tc>
      </w:tr>
      <w:tr>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Target</w:t>
            </w:r>
          </w:p>
        </w:tc>
        <w:tc>
          <w:tcPr>
            <w:tcW w:type="dxa" w:w="6760"/>
            <w:tcMar>
              <w:top w:type="dxa" w:w="60"/>
              <w:left w:type="dxa" w:w="100"/>
              <w:bottom w:type="dxa" w:w="60"/>
              <w:right w:type="dxa" w:w="100"/>
            </w:tcMar>
          </w:tcPr>
          <w:p>
            <w:pPr>
              <w:spacing w:after="0" w:line="240"/>
              <w:jc w:val="center"/>
            </w:pPr>
            <w:r>
              <w:rPr>
                <w:rFonts w:ascii="Calibri" w:cs="Calibri" w:eastAsia="Calibri" w:hAnsi="Calibri"/>
                <w:b w:val="false"/>
                <w:bCs w:val="false"/>
                <w:sz w:val="19"/>
                <w:szCs w:val="19"/>
              </w:rPr>
              <w:t xml:space="preserve">Corn_Yield_tha — corn yield, tonnes per hectare</w:t>
            </w:r>
          </w:p>
        </w:tc>
      </w:tr>
      <w:tr>
        <w:tc>
          <w:tcPr>
            <w:tcW w:type="dxa" w:w="2600"/>
            <w:shd w:fill="F4F7FB" w:color="auto" w:val="clear"/>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Columns</w:t>
            </w:r>
          </w:p>
        </w:tc>
        <w:tc>
          <w:tcPr>
            <w:tcW w:type="dxa" w:w="6760"/>
            <w:shd w:fill="F4F7FB" w:color="auto" w:val="clear"/>
            <w:tcMar>
              <w:top w:type="dxa" w:w="60"/>
              <w:left w:type="dxa" w:w="100"/>
              <w:bottom w:type="dxa" w:w="60"/>
              <w:right w:type="dxa" w:w="100"/>
            </w:tcMar>
          </w:tcPr>
          <w:p>
            <w:pPr>
              <w:spacing w:after="0" w:line="240"/>
              <w:jc w:val="center"/>
            </w:pPr>
            <w:r>
              <w:rPr>
                <w:rFonts w:ascii="Calibri" w:cs="Calibri" w:eastAsia="Calibri" w:hAnsi="Calibri"/>
                <w:b w:val="false"/>
                <w:bCs w:val="false"/>
                <w:sz w:val="19"/>
                <w:szCs w:val="19"/>
              </w:rPr>
              <w:t xml:space="preserve">85 raw → 100 engineered → 70 selected → 52 after pruning</w:t>
            </w:r>
          </w:p>
        </w:tc>
      </w:tr>
    </w:tbl>
    <w:p>
      <w:pPr>
        <w:spacing w:after="60" w:line="276"/>
      </w:pPr>
      <w:r>
        <w:rPr>
          <w:rFonts w:ascii="Calibri" w:cs="Calibri" w:eastAsia="Calibri" w:hAnsi="Calibri"/>
          <w:sz w:val="21"/>
          <w:szCs w:val="21"/>
        </w:rPr>
        <w:t xml:space="preserve">Nebraska is present in the raw file (3,627 rows) and is deliberately dropped. The six-state scope is fixed, and all claims are Corn Belt, never national.</w:t>
      </w:r>
    </w:p>
    <w:p>
      <w:pPr>
        <w:pStyle w:val="Heading1"/>
        <w:pBdr>
          <w:bottom w:val="single" w:color="1F4E79" w:sz="8" w:space="4"/>
        </w:pBdr>
        <w:spacing w:after="140" w:before="300"/>
      </w:pPr>
      <w:r>
        <w:rPr>
          <w:rFonts w:ascii="Calibri" w:cs="Calibri" w:eastAsia="Calibri" w:hAnsi="Calibri"/>
          <w:b/>
          <w:bCs/>
          <w:color w:val="1F4E79"/>
          <w:sz w:val="26"/>
          <w:szCs w:val="26"/>
        </w:rPr>
        <w:t xml:space="preserve">3.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950"/>
        <w:gridCol w:w="5310"/>
      </w:tblGrid>
      <w:tr>
        <w:trPr>
          <w:tblHeader/>
        </w:trPr>
        <w:tc>
          <w:tcPr>
            <w:tcW w:type="dxa" w:w="2200"/>
            <w:shd w:fill="DCE6F1" w:color="auto" w:val="clear"/>
            <w:tcMar>
              <w:top w:type="dxa" w:w="60"/>
              <w:left w:type="dxa" w:w="100"/>
              <w:bottom w:type="dxa" w:w="60"/>
              <w:right w:type="dxa" w:w="100"/>
            </w:tcMar>
          </w:tcPr>
          <w:p>
            <w:pPr>
              <w:spacing w:after="0" w:line="240"/>
            </w:pPr>
            <w:r>
              <w:rPr>
                <w:rFonts w:ascii="Calibri" w:cs="Calibri" w:eastAsia="Calibri" w:hAnsi="Calibri"/>
                <w:b/>
                <w:bCs/>
                <w:sz w:val="19"/>
                <w:szCs w:val="19"/>
              </w:rPr>
              <w:t xml:space="preserve">Family</w:t>
            </w:r>
          </w:p>
        </w:tc>
        <w:tc>
          <w:tcPr>
            <w:tcW w:type="dxa" w:w="900"/>
            <w:shd w:fill="DCE6F1" w:color="auto" w:val="clear"/>
            <w:tcMar>
              <w:top w:type="dxa" w:w="60"/>
              <w:left w:type="dxa" w:w="100"/>
              <w:bottom w:type="dxa" w:w="60"/>
              <w:right w:type="dxa" w:w="100"/>
            </w:tcMar>
          </w:tcPr>
          <w:p>
            <w:pPr>
              <w:spacing w:after="0" w:line="240"/>
              <w:jc w:val="center"/>
            </w:pPr>
            <w:r>
              <w:rPr>
                <w:rFonts w:ascii="Calibri" w:cs="Calibri" w:eastAsia="Calibri" w:hAnsi="Calibri"/>
                <w:b/>
                <w:bCs/>
                <w:sz w:val="19"/>
                <w:szCs w:val="19"/>
              </w:rPr>
              <w:t xml:space="preserve">In data</w:t>
            </w:r>
          </w:p>
        </w:tc>
        <w:tc>
          <w:tcPr>
            <w:tcW w:type="dxa" w:w="950"/>
            <w:shd w:fill="DCE6F1" w:color="auto" w:val="clear"/>
            <w:tcMar>
              <w:top w:type="dxa" w:w="60"/>
              <w:left w:type="dxa" w:w="100"/>
              <w:bottom w:type="dxa" w:w="60"/>
              <w:right w:type="dxa" w:w="100"/>
            </w:tcMar>
          </w:tcPr>
          <w:p>
            <w:pPr>
              <w:spacing w:after="0" w:line="240"/>
              <w:jc w:val="center"/>
            </w:pPr>
            <w:r>
              <w:rPr>
                <w:rFonts w:ascii="Calibri" w:cs="Calibri" w:eastAsia="Calibri" w:hAnsi="Calibri"/>
                <w:b/>
                <w:bCs/>
                <w:sz w:val="19"/>
                <w:szCs w:val="19"/>
              </w:rPr>
              <w:t xml:space="preserve">Selected</w:t>
            </w:r>
          </w:p>
        </w:tc>
        <w:tc>
          <w:tcPr>
            <w:tcW w:type="dxa" w:w="5310"/>
            <w:shd w:fill="DCE6F1" w:color="auto" w:val="clear"/>
            <w:tcMar>
              <w:top w:type="dxa" w:w="60"/>
              <w:left w:type="dxa" w:w="100"/>
              <w:bottom w:type="dxa" w:w="60"/>
              <w:right w:type="dxa" w:w="100"/>
            </w:tcMar>
          </w:tcPr>
          <w:p>
            <w:pPr>
              <w:spacing w:after="0" w:line="240"/>
              <w:jc w:val="center"/>
            </w:pPr>
            <w:r>
              <w:rPr>
                <w:rFonts w:ascii="Calibri" w:cs="Calibri" w:eastAsia="Calibri" w:hAnsi="Calibri"/>
                <w:b/>
                <w:bCs/>
                <w:sz w:val="19"/>
                <w:szCs w:val="19"/>
              </w:rPr>
              <w:t xml:space="preserve">Examples</w:t>
            </w:r>
          </w:p>
        </w:tc>
      </w:tr>
      <w:tr>
        <w:tc>
          <w:tcPr>
            <w:tcW w:type="dxa" w:w="220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CDHW (compound stress)</w:t>
            </w:r>
          </w:p>
        </w:tc>
        <w:tc>
          <w:tcPr>
            <w:tcW w:type="dxa" w:w="900"/>
            <w:tcMar>
              <w:top w:type="dxa" w:w="60"/>
              <w:left w:type="dxa" w:w="100"/>
              <w:bottom w:type="dxa" w:w="60"/>
              <w:right w:type="dxa" w:w="100"/>
            </w:tcMar>
          </w:tcPr>
          <w:p>
            <w:pPr>
              <w:spacing w:after="0" w:line="240"/>
              <w:jc w:val="center"/>
            </w:pPr>
            <w:r>
              <w:rPr>
                <w:rFonts w:ascii="Calibri" w:cs="Calibri" w:eastAsia="Calibri" w:hAnsi="Calibri"/>
                <w:b w:val="false"/>
                <w:bCs w:val="false"/>
                <w:sz w:val="19"/>
                <w:szCs w:val="19"/>
              </w:rPr>
              <w:t xml:space="preserve">13</w:t>
            </w:r>
          </w:p>
        </w:tc>
        <w:tc>
          <w:tcPr>
            <w:tcW w:type="dxa" w:w="950"/>
            <w:tcMar>
              <w:top w:type="dxa" w:w="60"/>
              <w:left w:type="dxa" w:w="100"/>
              <w:bottom w:type="dxa" w:w="60"/>
              <w:right w:type="dxa" w:w="100"/>
            </w:tcMar>
          </w:tcPr>
          <w:p>
            <w:pPr>
              <w:spacing w:after="0" w:line="240"/>
              <w:jc w:val="center"/>
            </w:pPr>
            <w:r>
              <w:rPr>
                <w:rFonts w:ascii="Calibri" w:cs="Calibri" w:eastAsia="Calibri" w:hAnsi="Calibri"/>
                <w:b w:val="false"/>
                <w:bCs w:val="false"/>
                <w:sz w:val="19"/>
                <w:szCs w:val="19"/>
              </w:rPr>
              <w:t xml:space="preserve">8</w:t>
            </w:r>
          </w:p>
        </w:tc>
        <w:tc>
          <w:tcPr>
            <w:tcW w:type="dxa" w:w="5310"/>
            <w:tcMar>
              <w:top w:type="dxa" w:w="60"/>
              <w:left w:type="dxa" w:w="100"/>
              <w:bottom w:type="dxa" w:w="60"/>
              <w:right w:type="dxa" w:w="100"/>
            </w:tcMar>
          </w:tcPr>
          <w:p>
            <w:pPr>
              <w:spacing w:after="0" w:line="240"/>
              <w:jc w:val="center"/>
            </w:pPr>
            <w:r>
              <w:rPr>
                <w:rFonts w:ascii="Calibri" w:cs="Calibri" w:eastAsia="Calibri" w:hAnsi="Calibri"/>
                <w:b w:val="false"/>
                <w:bCs w:val="false"/>
                <w:sz w:val="19"/>
                <w:szCs w:val="19"/>
              </w:rPr>
              <w:t xml:space="preserve">CDHW_Severity_Score, CDHW_Event_Count, stage severities</w:t>
            </w:r>
          </w:p>
        </w:tc>
      </w:tr>
      <w:tr>
        <w:tc>
          <w:tcPr>
            <w:tcW w:type="dxa" w:w="2200"/>
            <w:shd w:fill="F4F7FB" w:color="auto" w:val="clear"/>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Heat / temperature</w:t>
            </w:r>
          </w:p>
        </w:tc>
        <w:tc>
          <w:tcPr>
            <w:tcW w:type="dxa" w:w="900"/>
            <w:shd w:fill="F4F7FB" w:color="auto" w:val="clear"/>
            <w:tcMar>
              <w:top w:type="dxa" w:w="60"/>
              <w:left w:type="dxa" w:w="100"/>
              <w:bottom w:type="dxa" w:w="60"/>
              <w:right w:type="dxa" w:w="100"/>
            </w:tcMar>
          </w:tcPr>
          <w:p>
            <w:pPr>
              <w:spacing w:after="0" w:line="240"/>
              <w:jc w:val="center"/>
            </w:pPr>
            <w:r>
              <w:rPr>
                <w:rFonts w:ascii="Calibri" w:cs="Calibri" w:eastAsia="Calibri" w:hAnsi="Calibri"/>
                <w:b w:val="false"/>
                <w:bCs w:val="false"/>
                <w:sz w:val="19"/>
                <w:szCs w:val="19"/>
              </w:rPr>
              <w:t xml:space="preserve">10</w:t>
            </w:r>
          </w:p>
        </w:tc>
        <w:tc>
          <w:tcPr>
            <w:tcW w:type="dxa" w:w="950"/>
            <w:shd w:fill="F4F7FB" w:color="auto" w:val="clear"/>
            <w:tcMar>
              <w:top w:type="dxa" w:w="60"/>
              <w:left w:type="dxa" w:w="100"/>
              <w:bottom w:type="dxa" w:w="60"/>
              <w:right w:type="dxa" w:w="100"/>
            </w:tcMar>
          </w:tcPr>
          <w:p>
            <w:pPr>
              <w:spacing w:after="0" w:line="240"/>
              <w:jc w:val="center"/>
            </w:pPr>
            <w:r>
              <w:rPr>
                <w:rFonts w:ascii="Calibri" w:cs="Calibri" w:eastAsia="Calibri" w:hAnsi="Calibri"/>
                <w:b w:val="false"/>
                <w:bCs w:val="false"/>
                <w:sz w:val="19"/>
                <w:szCs w:val="19"/>
              </w:rPr>
              <w:t xml:space="preserve">8</w:t>
            </w:r>
          </w:p>
        </w:tc>
        <w:tc>
          <w:tcPr>
            <w:tcW w:type="dxa" w:w="5310"/>
            <w:shd w:fill="F4F7FB" w:color="auto" w:val="clear"/>
            <w:tcMar>
              <w:top w:type="dxa" w:w="60"/>
              <w:left w:type="dxa" w:w="100"/>
              <w:bottom w:type="dxa" w:w="60"/>
              <w:right w:type="dxa" w:w="100"/>
            </w:tcMar>
          </w:tcPr>
          <w:p>
            <w:pPr>
              <w:spacing w:after="0" w:line="240"/>
              <w:jc w:val="center"/>
            </w:pPr>
            <w:r>
              <w:rPr>
                <w:rFonts w:ascii="Calibri" w:cs="Calibri" w:eastAsia="Calibri" w:hAnsi="Calibri"/>
                <w:b w:val="false"/>
                <w:bCs w:val="false"/>
                <w:sz w:val="19"/>
                <w:szCs w:val="19"/>
              </w:rPr>
              <w:t xml:space="preserve">Tmax_Days_Above_35, ERA5d_Tmax_max_C, GDD_Accumulated</w:t>
            </w:r>
          </w:p>
        </w:tc>
      </w:tr>
      <w:tr>
        <w:tc>
          <w:tcPr>
            <w:tcW w:type="dxa" w:w="220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Drought / SPEI</w:t>
            </w:r>
          </w:p>
        </w:tc>
        <w:tc>
          <w:tcPr>
            <w:tcW w:type="dxa" w:w="900"/>
            <w:tcMar>
              <w:top w:type="dxa" w:w="60"/>
              <w:left w:type="dxa" w:w="100"/>
              <w:bottom w:type="dxa" w:w="60"/>
              <w:right w:type="dxa" w:w="100"/>
            </w:tcMar>
          </w:tcPr>
          <w:p>
            <w:pPr>
              <w:spacing w:after="0" w:line="240"/>
              <w:jc w:val="center"/>
            </w:pPr>
            <w:r>
              <w:rPr>
                <w:rFonts w:ascii="Calibri" w:cs="Calibri" w:eastAsia="Calibri" w:hAnsi="Calibri"/>
                <w:b w:val="false"/>
                <w:bCs w:val="false"/>
                <w:sz w:val="19"/>
                <w:szCs w:val="19"/>
              </w:rPr>
              <w:t xml:space="preserve">11</w:t>
            </w:r>
          </w:p>
        </w:tc>
        <w:tc>
          <w:tcPr>
            <w:tcW w:type="dxa" w:w="950"/>
            <w:tcMar>
              <w:top w:type="dxa" w:w="60"/>
              <w:left w:type="dxa" w:w="100"/>
              <w:bottom w:type="dxa" w:w="60"/>
              <w:right w:type="dxa" w:w="100"/>
            </w:tcMar>
          </w:tcPr>
          <w:p>
            <w:pPr>
              <w:spacing w:after="0" w:line="240"/>
              <w:jc w:val="center"/>
            </w:pPr>
            <w:r>
              <w:rPr>
                <w:rFonts w:ascii="Calibri" w:cs="Calibri" w:eastAsia="Calibri" w:hAnsi="Calibri"/>
                <w:b w:val="false"/>
                <w:bCs w:val="false"/>
                <w:sz w:val="19"/>
                <w:szCs w:val="19"/>
              </w:rPr>
              <w:t xml:space="preserve">5</w:t>
            </w:r>
          </w:p>
        </w:tc>
        <w:tc>
          <w:tcPr>
            <w:tcW w:type="dxa" w:w="5310"/>
            <w:tcMar>
              <w:top w:type="dxa" w:w="60"/>
              <w:left w:type="dxa" w:w="100"/>
              <w:bottom w:type="dxa" w:w="60"/>
              <w:right w:type="dxa" w:w="100"/>
            </w:tcMar>
          </w:tcPr>
          <w:p>
            <w:pPr>
              <w:spacing w:after="0" w:line="240"/>
              <w:jc w:val="center"/>
            </w:pPr>
            <w:r>
              <w:rPr>
                <w:rFonts w:ascii="Calibri" w:cs="Calibri" w:eastAsia="Calibri" w:hAnsi="Calibri"/>
                <w:b w:val="false"/>
                <w:bCs w:val="false"/>
                <w:sz w:val="19"/>
                <w:szCs w:val="19"/>
              </w:rPr>
              <w:t xml:space="preserve">SPEI_30_min, SPEI_30_mean, DSCI_growseason_max</w:t>
            </w:r>
          </w:p>
        </w:tc>
      </w:tr>
      <w:tr>
        <w:tc>
          <w:tcPr>
            <w:tcW w:type="dxa" w:w="2200"/>
            <w:shd w:fill="F4F7FB" w:color="auto" w:val="clear"/>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Land cover</w:t>
            </w:r>
          </w:p>
        </w:tc>
        <w:tc>
          <w:tcPr>
            <w:tcW w:type="dxa" w:w="900"/>
            <w:shd w:fill="F4F7FB" w:color="auto" w:val="clear"/>
            <w:tcMar>
              <w:top w:type="dxa" w:w="60"/>
              <w:left w:type="dxa" w:w="100"/>
              <w:bottom w:type="dxa" w:w="60"/>
              <w:right w:type="dxa" w:w="100"/>
            </w:tcMar>
          </w:tcPr>
          <w:p>
            <w:pPr>
              <w:spacing w:after="0" w:line="240"/>
              <w:jc w:val="center"/>
            </w:pPr>
            <w:r>
              <w:rPr>
                <w:rFonts w:ascii="Calibri" w:cs="Calibri" w:eastAsia="Calibri" w:hAnsi="Calibri"/>
                <w:b w:val="false"/>
                <w:bCs w:val="false"/>
                <w:sz w:val="19"/>
                <w:szCs w:val="19"/>
              </w:rPr>
              <w:t xml:space="preserve">15</w:t>
            </w:r>
          </w:p>
        </w:tc>
        <w:tc>
          <w:tcPr>
            <w:tcW w:type="dxa" w:w="950"/>
            <w:shd w:fill="F4F7FB" w:color="auto" w:val="clear"/>
            <w:tcMar>
              <w:top w:type="dxa" w:w="60"/>
              <w:left w:type="dxa" w:w="100"/>
              <w:bottom w:type="dxa" w:w="60"/>
              <w:right w:type="dxa" w:w="100"/>
            </w:tcMar>
          </w:tcPr>
          <w:p>
            <w:pPr>
              <w:spacing w:after="0" w:line="240"/>
              <w:jc w:val="center"/>
            </w:pPr>
            <w:r>
              <w:rPr>
                <w:rFonts w:ascii="Calibri" w:cs="Calibri" w:eastAsia="Calibri" w:hAnsi="Calibri"/>
                <w:b w:val="false"/>
                <w:bCs w:val="false"/>
                <w:sz w:val="19"/>
                <w:szCs w:val="19"/>
              </w:rPr>
              <w:t xml:space="preserve">10</w:t>
            </w:r>
          </w:p>
        </w:tc>
        <w:tc>
          <w:tcPr>
            <w:tcW w:type="dxa" w:w="5310"/>
            <w:shd w:fill="F4F7FB" w:color="auto" w:val="clear"/>
            <w:tcMar>
              <w:top w:type="dxa" w:w="60"/>
              <w:left w:type="dxa" w:w="100"/>
              <w:bottom w:type="dxa" w:w="60"/>
              <w:right w:type="dxa" w:w="100"/>
            </w:tcMar>
          </w:tcPr>
          <w:p>
            <w:pPr>
              <w:spacing w:after="0" w:line="240"/>
              <w:jc w:val="center"/>
            </w:pPr>
            <w:r>
              <w:rPr>
                <w:rFonts w:ascii="Calibri" w:cs="Calibri" w:eastAsia="Calibri" w:hAnsi="Calibri"/>
                <w:b w:val="false"/>
                <w:bCs w:val="false"/>
                <w:sz w:val="19"/>
                <w:szCs w:val="19"/>
              </w:rPr>
              <w:t xml:space="preserve">CultivatedCrops_frac, Pasture_frac</w:t>
            </w:r>
          </w:p>
        </w:tc>
      </w:tr>
      <w:tr>
        <w:tc>
          <w:tcPr>
            <w:tcW w:type="dxa" w:w="220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ENSO / teleconnection</w:t>
            </w:r>
          </w:p>
        </w:tc>
        <w:tc>
          <w:tcPr>
            <w:tcW w:type="dxa" w:w="900"/>
            <w:tcMar>
              <w:top w:type="dxa" w:w="60"/>
              <w:left w:type="dxa" w:w="100"/>
              <w:bottom w:type="dxa" w:w="60"/>
              <w:right w:type="dxa" w:w="100"/>
            </w:tcMar>
          </w:tcPr>
          <w:p>
            <w:pPr>
              <w:spacing w:after="0" w:line="240"/>
              <w:jc w:val="center"/>
            </w:pPr>
            <w:r>
              <w:rPr>
                <w:rFonts w:ascii="Calibri" w:cs="Calibri" w:eastAsia="Calibri" w:hAnsi="Calibri"/>
                <w:b w:val="false"/>
                <w:bCs w:val="false"/>
                <w:sz w:val="19"/>
                <w:szCs w:val="19"/>
              </w:rPr>
              <w:t xml:space="preserve">10</w:t>
            </w:r>
          </w:p>
        </w:tc>
        <w:tc>
          <w:tcPr>
            <w:tcW w:type="dxa" w:w="950"/>
            <w:tcMar>
              <w:top w:type="dxa" w:w="60"/>
              <w:left w:type="dxa" w:w="100"/>
              <w:bottom w:type="dxa" w:w="60"/>
              <w:right w:type="dxa" w:w="100"/>
            </w:tcMar>
          </w:tcPr>
          <w:p>
            <w:pPr>
              <w:spacing w:after="0" w:line="240"/>
              <w:jc w:val="center"/>
            </w:pPr>
            <w:r>
              <w:rPr>
                <w:rFonts w:ascii="Calibri" w:cs="Calibri" w:eastAsia="Calibri" w:hAnsi="Calibri"/>
                <w:b w:val="false"/>
                <w:bCs w:val="false"/>
                <w:sz w:val="19"/>
                <w:szCs w:val="19"/>
              </w:rPr>
              <w:t xml:space="preserve">7</w:t>
            </w:r>
          </w:p>
        </w:tc>
        <w:tc>
          <w:tcPr>
            <w:tcW w:type="dxa" w:w="5310"/>
            <w:tcMar>
              <w:top w:type="dxa" w:w="60"/>
              <w:left w:type="dxa" w:w="100"/>
              <w:bottom w:type="dxa" w:w="60"/>
              <w:right w:type="dxa" w:w="100"/>
            </w:tcMar>
          </w:tcPr>
          <w:p>
            <w:pPr>
              <w:spacing w:after="0" w:line="240"/>
              <w:jc w:val="center"/>
            </w:pPr>
            <w:r>
              <w:rPr>
                <w:rFonts w:ascii="Calibri" w:cs="Calibri" w:eastAsia="Calibri" w:hAnsi="Calibri"/>
                <w:b w:val="false"/>
                <w:bCs w:val="false"/>
                <w:sz w:val="19"/>
                <w:szCs w:val="19"/>
              </w:rPr>
              <w:t xml:space="preserve">ONI_growseason_mean, ONI_DJF, ENSO_Phase</w:t>
            </w:r>
          </w:p>
        </w:tc>
      </w:tr>
      <w:tr>
        <w:tc>
          <w:tcPr>
            <w:tcW w:type="dxa" w:w="2200"/>
            <w:shd w:fill="F4F7FB" w:color="auto" w:val="clear"/>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Soil / terrain</w:t>
            </w:r>
          </w:p>
        </w:tc>
        <w:tc>
          <w:tcPr>
            <w:tcW w:type="dxa" w:w="900"/>
            <w:shd w:fill="F4F7FB" w:color="auto" w:val="clear"/>
            <w:tcMar>
              <w:top w:type="dxa" w:w="60"/>
              <w:left w:type="dxa" w:w="100"/>
              <w:bottom w:type="dxa" w:w="60"/>
              <w:right w:type="dxa" w:w="100"/>
            </w:tcMar>
          </w:tcPr>
          <w:p>
            <w:pPr>
              <w:spacing w:after="0" w:line="240"/>
              <w:jc w:val="center"/>
            </w:pPr>
            <w:r>
              <w:rPr>
                <w:rFonts w:ascii="Calibri" w:cs="Calibri" w:eastAsia="Calibri" w:hAnsi="Calibri"/>
                <w:b w:val="false"/>
                <w:bCs w:val="false"/>
                <w:sz w:val="19"/>
                <w:szCs w:val="19"/>
              </w:rPr>
              <w:t xml:space="preserve">8</w:t>
            </w:r>
          </w:p>
        </w:tc>
        <w:tc>
          <w:tcPr>
            <w:tcW w:type="dxa" w:w="950"/>
            <w:shd w:fill="F4F7FB" w:color="auto" w:val="clear"/>
            <w:tcMar>
              <w:top w:type="dxa" w:w="60"/>
              <w:left w:type="dxa" w:w="100"/>
              <w:bottom w:type="dxa" w:w="60"/>
              <w:right w:type="dxa" w:w="100"/>
            </w:tcMar>
          </w:tcPr>
          <w:p>
            <w:pPr>
              <w:spacing w:after="0" w:line="240"/>
              <w:jc w:val="center"/>
            </w:pPr>
            <w:r>
              <w:rPr>
                <w:rFonts w:ascii="Calibri" w:cs="Calibri" w:eastAsia="Calibri" w:hAnsi="Calibri"/>
                <w:b w:val="false"/>
                <w:bCs w:val="false"/>
                <w:sz w:val="19"/>
                <w:szCs w:val="19"/>
              </w:rPr>
              <w:t xml:space="preserve">8</w:t>
            </w:r>
          </w:p>
        </w:tc>
        <w:tc>
          <w:tcPr>
            <w:tcW w:type="dxa" w:w="5310"/>
            <w:shd w:fill="F4F7FB" w:color="auto" w:val="clear"/>
            <w:tcMar>
              <w:top w:type="dxa" w:w="60"/>
              <w:left w:type="dxa" w:w="100"/>
              <w:bottom w:type="dxa" w:w="60"/>
              <w:right w:type="dxa" w:w="100"/>
            </w:tcMar>
          </w:tcPr>
          <w:p>
            <w:pPr>
              <w:spacing w:after="0" w:line="240"/>
              <w:jc w:val="center"/>
            </w:pPr>
            <w:r>
              <w:rPr>
                <w:rFonts w:ascii="Calibri" w:cs="Calibri" w:eastAsia="Calibri" w:hAnsi="Calibri"/>
                <w:b w:val="false"/>
                <w:bCs w:val="false"/>
                <w:sz w:val="19"/>
                <w:szCs w:val="19"/>
              </w:rPr>
              <w:t xml:space="preserve">Soil_AWC_Mean, Soil_Clay_Mean, DEM_Mean, Slope_Mean</w:t>
            </w:r>
          </w:p>
        </w:tc>
      </w:tr>
      <w:tr>
        <w:tc>
          <w:tcPr>
            <w:tcW w:type="dxa" w:w="220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Precipitation / water</w:t>
            </w:r>
          </w:p>
        </w:tc>
        <w:tc>
          <w:tcPr>
            <w:tcW w:type="dxa" w:w="900"/>
            <w:tcMar>
              <w:top w:type="dxa" w:w="60"/>
              <w:left w:type="dxa" w:w="100"/>
              <w:bottom w:type="dxa" w:w="60"/>
              <w:right w:type="dxa" w:w="100"/>
            </w:tcMar>
          </w:tcPr>
          <w:p>
            <w:pPr>
              <w:spacing w:after="0" w:line="240"/>
              <w:jc w:val="center"/>
            </w:pPr>
            <w:r>
              <w:rPr>
                <w:rFonts w:ascii="Calibri" w:cs="Calibri" w:eastAsia="Calibri" w:hAnsi="Calibri"/>
                <w:b w:val="false"/>
                <w:bCs w:val="false"/>
                <w:sz w:val="19"/>
                <w:szCs w:val="19"/>
              </w:rPr>
              <w:t xml:space="preserve">5</w:t>
            </w:r>
          </w:p>
        </w:tc>
        <w:tc>
          <w:tcPr>
            <w:tcW w:type="dxa" w:w="950"/>
            <w:tcMar>
              <w:top w:type="dxa" w:w="60"/>
              <w:left w:type="dxa" w:w="100"/>
              <w:bottom w:type="dxa" w:w="60"/>
              <w:right w:type="dxa" w:w="100"/>
            </w:tcMar>
          </w:tcPr>
          <w:p>
            <w:pPr>
              <w:spacing w:after="0" w:line="240"/>
              <w:jc w:val="center"/>
            </w:pPr>
            <w:r>
              <w:rPr>
                <w:rFonts w:ascii="Calibri" w:cs="Calibri" w:eastAsia="Calibri" w:hAnsi="Calibri"/>
                <w:b w:val="false"/>
                <w:bCs w:val="false"/>
                <w:sz w:val="19"/>
                <w:szCs w:val="19"/>
              </w:rPr>
              <w:t xml:space="preserve">5</w:t>
            </w:r>
          </w:p>
        </w:tc>
        <w:tc>
          <w:tcPr>
            <w:tcW w:type="dxa" w:w="5310"/>
            <w:tcMar>
              <w:top w:type="dxa" w:w="60"/>
              <w:left w:type="dxa" w:w="100"/>
              <w:bottom w:type="dxa" w:w="60"/>
              <w:right w:type="dxa" w:w="100"/>
            </w:tcMar>
          </w:tcPr>
          <w:p>
            <w:pPr>
              <w:spacing w:after="0" w:line="240"/>
              <w:jc w:val="center"/>
            </w:pPr>
            <w:r>
              <w:rPr>
                <w:rFonts w:ascii="Calibri" w:cs="Calibri" w:eastAsia="Calibri" w:hAnsi="Calibri"/>
                <w:b w:val="false"/>
                <w:bCs w:val="false"/>
                <w:sz w:val="19"/>
                <w:szCs w:val="19"/>
              </w:rPr>
              <w:t xml:space="preserve">Precip_growseason_mm, ET0_growseason_mm</w:t>
            </w:r>
          </w:p>
        </w:tc>
      </w:tr>
      <w:tr>
        <w:tc>
          <w:tcPr>
            <w:tcW w:type="dxa" w:w="2200"/>
            <w:shd w:fill="F4F7FB" w:color="auto" w:val="clear"/>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Storm events</w:t>
            </w:r>
          </w:p>
        </w:tc>
        <w:tc>
          <w:tcPr>
            <w:tcW w:type="dxa" w:w="900"/>
            <w:shd w:fill="F4F7FB" w:color="auto" w:val="clear"/>
            <w:tcMar>
              <w:top w:type="dxa" w:w="60"/>
              <w:left w:type="dxa" w:w="100"/>
              <w:bottom w:type="dxa" w:w="60"/>
              <w:right w:type="dxa" w:w="100"/>
            </w:tcMar>
          </w:tcPr>
          <w:p>
            <w:pPr>
              <w:spacing w:after="0" w:line="240"/>
              <w:jc w:val="center"/>
            </w:pPr>
            <w:r>
              <w:rPr>
                <w:rFonts w:ascii="Calibri" w:cs="Calibri" w:eastAsia="Calibri" w:hAnsi="Calibri"/>
                <w:b w:val="false"/>
                <w:bCs w:val="false"/>
                <w:sz w:val="19"/>
                <w:szCs w:val="19"/>
              </w:rPr>
              <w:t xml:space="preserve">8</w:t>
            </w:r>
          </w:p>
        </w:tc>
        <w:tc>
          <w:tcPr>
            <w:tcW w:type="dxa" w:w="950"/>
            <w:shd w:fill="F4F7FB" w:color="auto" w:val="clear"/>
            <w:tcMar>
              <w:top w:type="dxa" w:w="60"/>
              <w:left w:type="dxa" w:w="100"/>
              <w:bottom w:type="dxa" w:w="60"/>
              <w:right w:type="dxa" w:w="100"/>
            </w:tcMar>
          </w:tcPr>
          <w:p>
            <w:pPr>
              <w:spacing w:after="0" w:line="240"/>
              <w:jc w:val="center"/>
            </w:pPr>
            <w:r>
              <w:rPr>
                <w:rFonts w:ascii="Calibri" w:cs="Calibri" w:eastAsia="Calibri" w:hAnsi="Calibri"/>
                <w:b w:val="false"/>
                <w:bCs w:val="false"/>
                <w:sz w:val="19"/>
                <w:szCs w:val="19"/>
              </w:rPr>
              <w:t xml:space="preserve">5</w:t>
            </w:r>
          </w:p>
        </w:tc>
        <w:tc>
          <w:tcPr>
            <w:tcW w:type="dxa" w:w="5310"/>
            <w:shd w:fill="F4F7FB" w:color="auto" w:val="clear"/>
            <w:tcMar>
              <w:top w:type="dxa" w:w="60"/>
              <w:left w:type="dxa" w:w="100"/>
              <w:bottom w:type="dxa" w:w="60"/>
              <w:right w:type="dxa" w:w="100"/>
            </w:tcMar>
          </w:tcPr>
          <w:p>
            <w:pPr>
              <w:spacing w:after="0" w:line="240"/>
              <w:jc w:val="center"/>
            </w:pPr>
            <w:r>
              <w:rPr>
                <w:rFonts w:ascii="Calibri" w:cs="Calibri" w:eastAsia="Calibri" w:hAnsi="Calibri"/>
                <w:b w:val="false"/>
                <w:bCs w:val="false"/>
                <w:sz w:val="19"/>
                <w:szCs w:val="19"/>
              </w:rPr>
              <w:t xml:space="preserve">Storm_Hail_Count, Storm_Flood_Count</w:t>
            </w:r>
          </w:p>
        </w:tc>
      </w:tr>
      <w:tr>
        <w:tc>
          <w:tcPr>
            <w:tcW w:type="dxa" w:w="220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Temporal basis</w:t>
            </w:r>
          </w:p>
        </w:tc>
        <w:tc>
          <w:tcPr>
            <w:tcW w:type="dxa" w:w="900"/>
            <w:tcMar>
              <w:top w:type="dxa" w:w="60"/>
              <w:left w:type="dxa" w:w="100"/>
              <w:bottom w:type="dxa" w:w="60"/>
              <w:right w:type="dxa" w:w="100"/>
            </w:tcMar>
          </w:tcPr>
          <w:p>
            <w:pPr>
              <w:spacing w:after="0" w:line="240"/>
              <w:jc w:val="center"/>
            </w:pPr>
            <w:r>
              <w:rPr>
                <w:rFonts w:ascii="Calibri" w:cs="Calibri" w:eastAsia="Calibri" w:hAnsi="Calibri"/>
                <w:b w:val="false"/>
                <w:bCs w:val="false"/>
                <w:sz w:val="19"/>
                <w:szCs w:val="19"/>
              </w:rPr>
              <w:t xml:space="preserve">2</w:t>
            </w:r>
          </w:p>
        </w:tc>
        <w:tc>
          <w:tcPr>
            <w:tcW w:type="dxa" w:w="950"/>
            <w:tcMar>
              <w:top w:type="dxa" w:w="60"/>
              <w:left w:type="dxa" w:w="100"/>
              <w:bottom w:type="dxa" w:w="60"/>
              <w:right w:type="dxa" w:w="100"/>
            </w:tcMar>
          </w:tcPr>
          <w:p>
            <w:pPr>
              <w:spacing w:after="0" w:line="240"/>
              <w:jc w:val="center"/>
            </w:pPr>
            <w:r>
              <w:rPr>
                <w:rFonts w:ascii="Calibri" w:cs="Calibri" w:eastAsia="Calibri" w:hAnsi="Calibri"/>
                <w:b w:val="false"/>
                <w:bCs w:val="false"/>
                <w:sz w:val="19"/>
                <w:szCs w:val="19"/>
              </w:rPr>
              <w:t xml:space="preserve">2</w:t>
            </w:r>
          </w:p>
        </w:tc>
        <w:tc>
          <w:tcPr>
            <w:tcW w:type="dxa" w:w="5310"/>
            <w:tcMar>
              <w:top w:type="dxa" w:w="60"/>
              <w:left w:type="dxa" w:w="100"/>
              <w:bottom w:type="dxa" w:w="60"/>
              <w:right w:type="dxa" w:w="100"/>
            </w:tcMar>
          </w:tcPr>
          <w:p>
            <w:pPr>
              <w:spacing w:after="0" w:line="240"/>
              <w:jc w:val="center"/>
            </w:pPr>
            <w:r>
              <w:rPr>
                <w:rFonts w:ascii="Calibri" w:cs="Calibri" w:eastAsia="Calibri" w:hAnsi="Calibri"/>
                <w:b w:val="false"/>
                <w:bCs w:val="false"/>
                <w:sz w:val="19"/>
                <w:szCs w:val="19"/>
              </w:rPr>
              <w:t xml:space="preserve">Year_trend_linear, Year_trend_quad</w:t>
            </w:r>
          </w:p>
        </w:tc>
      </w:tr>
      <w:tr>
        <w:tc>
          <w:tcPr>
            <w:tcW w:type="dxa" w:w="2200"/>
            <w:shd w:fill="F4F7FB" w:color="auto" w:val="clear"/>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Yield history</w:t>
            </w:r>
          </w:p>
        </w:tc>
        <w:tc>
          <w:tcPr>
            <w:tcW w:type="dxa" w:w="900"/>
            <w:shd w:fill="F4F7FB" w:color="auto" w:val="clear"/>
            <w:tcMar>
              <w:top w:type="dxa" w:w="60"/>
              <w:left w:type="dxa" w:w="100"/>
              <w:bottom w:type="dxa" w:w="60"/>
              <w:right w:type="dxa" w:w="100"/>
            </w:tcMar>
          </w:tcPr>
          <w:p>
            <w:pPr>
              <w:spacing w:after="0" w:line="240"/>
              <w:jc w:val="center"/>
            </w:pPr>
            <w:r>
              <w:rPr>
                <w:rFonts w:ascii="Calibri" w:cs="Calibri" w:eastAsia="Calibri" w:hAnsi="Calibri"/>
                <w:b w:val="false"/>
                <w:bCs w:val="false"/>
                <w:sz w:val="19"/>
                <w:szCs w:val="19"/>
              </w:rPr>
              <w:t xml:space="preserve">—</w:t>
            </w:r>
          </w:p>
        </w:tc>
        <w:tc>
          <w:tcPr>
            <w:tcW w:type="dxa" w:w="950"/>
            <w:shd w:fill="F4F7FB" w:color="auto" w:val="clear"/>
            <w:tcMar>
              <w:top w:type="dxa" w:w="60"/>
              <w:left w:type="dxa" w:w="100"/>
              <w:bottom w:type="dxa" w:w="60"/>
              <w:right w:type="dxa" w:w="100"/>
            </w:tcMar>
          </w:tcPr>
          <w:p>
            <w:pPr>
              <w:spacing w:after="0" w:line="240"/>
              <w:jc w:val="center"/>
            </w:pPr>
            <w:r>
              <w:rPr>
                <w:rFonts w:ascii="Calibri" w:cs="Calibri" w:eastAsia="Calibri" w:hAnsi="Calibri"/>
                <w:b w:val="false"/>
                <w:bCs w:val="false"/>
                <w:sz w:val="19"/>
                <w:szCs w:val="19"/>
              </w:rPr>
              <w:t xml:space="preserve">—</w:t>
            </w:r>
          </w:p>
        </w:tc>
        <w:tc>
          <w:tcPr>
            <w:tcW w:type="dxa" w:w="5310"/>
            <w:shd w:fill="F4F7FB" w:color="auto" w:val="clear"/>
            <w:tcMar>
              <w:top w:type="dxa" w:w="60"/>
              <w:left w:type="dxa" w:w="100"/>
              <w:bottom w:type="dxa" w:w="60"/>
              <w:right w:type="dxa" w:w="100"/>
            </w:tcMar>
          </w:tcPr>
          <w:p>
            <w:pPr>
              <w:spacing w:after="0" w:line="240"/>
              <w:jc w:val="center"/>
            </w:pPr>
            <w:r>
              <w:rPr>
                <w:rFonts w:ascii="Calibri" w:cs="Calibri" w:eastAsia="Calibri" w:hAnsi="Calibri"/>
                <w:b w:val="false"/>
                <w:bCs w:val="false"/>
                <w:sz w:val="19"/>
                <w:szCs w:val="19"/>
              </w:rPr>
              <w:t xml:space="preserve">Yield_lag1, Yield_lag2, county_baseline (built per split)</w:t>
            </w:r>
          </w:p>
        </w:tc>
      </w:tr>
    </w:tbl>
    <w:p>
      <w:pPr>
        <w:spacing w:after="120" w:line="276"/>
      </w:pPr>
      <w:r>
        <w:rPr>
          <w:rFonts w:ascii="Calibri" w:cs="Calibri" w:eastAsia="Calibri" w:hAnsi="Calibri"/>
          <w:b/>
          <w:bCs/>
          <w:sz w:val="21"/>
          <w:szCs w:val="21"/>
        </w:rPr>
        <w:t xml:space="preserve">CDHW is the scientific centrepiece. </w:t>
      </w:r>
      <w:r>
        <w:rPr>
          <w:rFonts w:ascii="Calibri" w:cs="Calibri" w:eastAsia="Calibri" w:hAnsi="Calibri"/>
          <w:b w:val="false"/>
          <w:bCs w:val="false"/>
          <w:sz w:val="21"/>
          <w:szCs w:val="21"/>
        </w:rPr>
        <w:t xml:space="preserve">The stage-resolved severities (vegetative / silking / grain-fill) genuinely decompose the season total — verified: they sum to it in 22,729 of 22,737 rows, with near-zero cross-correlation (Veg↔Silking r = 0.035). They are not one scalar rescaled.</w:t>
      </w:r>
    </w:p>
    <w:p>
      <w:pPr>
        <w:spacing w:after="120" w:line="276"/>
      </w:pPr>
      <w:r>
        <w:rPr>
          <w:rFonts w:ascii="Calibri" w:cs="Calibri" w:eastAsia="Calibri" w:hAnsi="Calibri"/>
          <w:b/>
          <w:bCs/>
          <w:sz w:val="21"/>
          <w:szCs w:val="21"/>
        </w:rPr>
        <w:t xml:space="preserve">Caveat that must appear in the paper: </w:t>
      </w:r>
      <w:r>
        <w:rPr>
          <w:rFonts w:ascii="Calibri" w:cs="Calibri" w:eastAsia="Calibri" w:hAnsi="Calibri"/>
          <w:b w:val="false"/>
          <w:bCs w:val="false"/>
          <w:sz w:val="21"/>
          <w:szCs w:val="21"/>
        </w:rPr>
        <w:t xml:space="preserve">the upstream code that generated the CDHW columns is not in this repository, so the drought threshold, heat threshold, climatological baseline and stage-window delineation cannot be audited. Say "stage-resolved exposure, upstream delineation unaudited" — never "validated phenology-aligned."</w:t>
      </w:r>
    </w:p>
    <w:p>
      <w:pPr>
        <w:pStyle w:val="Heading1"/>
        <w:pBdr>
          <w:bottom w:val="single" w:color="1F4E79" w:sz="8" w:space="4"/>
        </w:pBdr>
        <w:spacing w:after="140" w:before="300"/>
      </w:pPr>
      <w:r>
        <w:rPr>
          <w:rFonts w:ascii="Calibri" w:cs="Calibri" w:eastAsia="Calibri" w:hAnsi="Calibri"/>
          <w:b/>
          <w:bCs/>
          <w:color w:val="1F4E79"/>
          <w:sz w:val="26"/>
          <w:szCs w:val="26"/>
        </w:rPr>
        <w:t xml:space="preserve">4.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100"/>
        <w:gridCol w:w="1400"/>
        <w:gridCol w:w="3660"/>
      </w:tblGrid>
      <w:tr>
        <w:trPr>
          <w:tblHeader/>
        </w:trPr>
        <w:tc>
          <w:tcPr>
            <w:tcW w:type="dxa" w:w="2200"/>
            <w:shd w:fill="DCE6F1" w:color="auto" w:val="clear"/>
            <w:tcMar>
              <w:top w:type="dxa" w:w="60"/>
              <w:left w:type="dxa" w:w="100"/>
              <w:bottom w:type="dxa" w:w="60"/>
              <w:right w:type="dxa" w:w="100"/>
            </w:tcMar>
          </w:tcPr>
          <w:p>
            <w:pPr>
              <w:spacing w:after="0" w:line="240"/>
            </w:pPr>
            <w:r>
              <w:rPr>
                <w:rFonts w:ascii="Calibri" w:cs="Calibri" w:eastAsia="Calibri" w:hAnsi="Calibri"/>
                <w:b/>
                <w:bCs/>
                <w:sz w:val="19"/>
                <w:szCs w:val="19"/>
              </w:rPr>
              <w:t xml:space="preserve">Split</w:t>
            </w:r>
          </w:p>
        </w:tc>
        <w:tc>
          <w:tcPr>
            <w:tcW w:type="dxa" w:w="2100"/>
            <w:shd w:fill="DCE6F1" w:color="auto" w:val="clear"/>
            <w:tcMar>
              <w:top w:type="dxa" w:w="60"/>
              <w:left w:type="dxa" w:w="100"/>
              <w:bottom w:type="dxa" w:w="60"/>
              <w:right w:type="dxa" w:w="100"/>
            </w:tcMar>
          </w:tcPr>
          <w:p>
            <w:pPr>
              <w:spacing w:after="0" w:line="240"/>
              <w:jc w:val="center"/>
            </w:pPr>
            <w:r>
              <w:rPr>
                <w:rFonts w:ascii="Calibri" w:cs="Calibri" w:eastAsia="Calibri" w:hAnsi="Calibri"/>
                <w:b/>
                <w:bCs/>
                <w:sz w:val="19"/>
                <w:szCs w:val="19"/>
              </w:rPr>
              <w:t xml:space="preserve">Years</w:t>
            </w:r>
          </w:p>
        </w:tc>
        <w:tc>
          <w:tcPr>
            <w:tcW w:type="dxa" w:w="1400"/>
            <w:shd w:fill="DCE6F1" w:color="auto" w:val="clear"/>
            <w:tcMar>
              <w:top w:type="dxa" w:w="60"/>
              <w:left w:type="dxa" w:w="100"/>
              <w:bottom w:type="dxa" w:w="60"/>
              <w:right w:type="dxa" w:w="100"/>
            </w:tcMar>
          </w:tcPr>
          <w:p>
            <w:pPr>
              <w:spacing w:after="0" w:line="240"/>
              <w:jc w:val="center"/>
            </w:pPr>
            <w:r>
              <w:rPr>
                <w:rFonts w:ascii="Calibri" w:cs="Calibri" w:eastAsia="Calibri" w:hAnsi="Calibri"/>
                <w:b/>
                <w:bCs/>
                <w:sz w:val="19"/>
                <w:szCs w:val="19"/>
              </w:rPr>
              <w:t xml:space="preserve">Rows</w:t>
            </w:r>
          </w:p>
        </w:tc>
        <w:tc>
          <w:tcPr>
            <w:tcW w:type="dxa" w:w="3660"/>
            <w:shd w:fill="DCE6F1" w:color="auto" w:val="clear"/>
            <w:tcMar>
              <w:top w:type="dxa" w:w="60"/>
              <w:left w:type="dxa" w:w="100"/>
              <w:bottom w:type="dxa" w:w="60"/>
              <w:right w:type="dxa" w:w="100"/>
            </w:tcMar>
          </w:tcPr>
          <w:p>
            <w:pPr>
              <w:spacing w:after="0" w:line="240"/>
              <w:jc w:val="center"/>
            </w:pPr>
            <w:r>
              <w:rPr>
                <w:rFonts w:ascii="Calibri" w:cs="Calibri" w:eastAsia="Calibri" w:hAnsi="Calibri"/>
                <w:b/>
                <w:bCs/>
                <w:sz w:val="19"/>
                <w:szCs w:val="19"/>
              </w:rPr>
              <w:t xml:space="preserve">Purpose</w:t>
            </w:r>
          </w:p>
        </w:tc>
      </w:tr>
      <w:tr>
        <w:tc>
          <w:tcPr>
            <w:tcW w:type="dxa" w:w="220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Fit</w:t>
            </w:r>
          </w:p>
        </w:tc>
        <w:tc>
          <w:tcPr>
            <w:tcW w:type="dxa" w:w="2100"/>
            <w:tcMar>
              <w:top w:type="dxa" w:w="60"/>
              <w:left w:type="dxa" w:w="100"/>
              <w:bottom w:type="dxa" w:w="60"/>
              <w:right w:type="dxa" w:w="100"/>
            </w:tcMar>
          </w:tcPr>
          <w:p>
            <w:pPr>
              <w:spacing w:after="0" w:line="240"/>
              <w:jc w:val="center"/>
            </w:pPr>
            <w:r>
              <w:rPr>
                <w:rFonts w:ascii="Calibri" w:cs="Calibri" w:eastAsia="Calibri" w:hAnsi="Calibri"/>
                <w:b w:val="false"/>
                <w:bCs w:val="false"/>
                <w:sz w:val="19"/>
                <w:szCs w:val="19"/>
              </w:rPr>
              <w:t xml:space="preserve">1985–2013</w:t>
            </w:r>
          </w:p>
        </w:tc>
        <w:tc>
          <w:tcPr>
            <w:tcW w:type="dxa" w:w="1400"/>
            <w:tcMar>
              <w:top w:type="dxa" w:w="60"/>
              <w:left w:type="dxa" w:w="100"/>
              <w:bottom w:type="dxa" w:w="60"/>
              <w:right w:type="dxa" w:w="100"/>
            </w:tcMar>
          </w:tcPr>
          <w:p>
            <w:pPr>
              <w:spacing w:after="0" w:line="240"/>
              <w:jc w:val="center"/>
            </w:pPr>
            <w:r>
              <w:rPr>
                <w:rFonts w:ascii="Calibri" w:cs="Calibri" w:eastAsia="Calibri" w:hAnsi="Calibri"/>
                <w:b w:val="false"/>
                <w:bCs w:val="false"/>
                <w:sz w:val="19"/>
                <w:szCs w:val="19"/>
              </w:rPr>
              <w:t xml:space="preserve">15,749</w:t>
            </w:r>
          </w:p>
        </w:tc>
        <w:tc>
          <w:tcPr>
            <w:tcW w:type="dxa" w:w="3660"/>
            <w:tcMar>
              <w:top w:type="dxa" w:w="60"/>
              <w:left w:type="dxa" w:w="100"/>
              <w:bottom w:type="dxa" w:w="60"/>
              <w:right w:type="dxa" w:w="100"/>
            </w:tcMar>
          </w:tcPr>
          <w:p>
            <w:pPr>
              <w:spacing w:after="0" w:line="240"/>
              <w:jc w:val="center"/>
            </w:pPr>
            <w:r>
              <w:rPr>
                <w:rFonts w:ascii="Calibri" w:cs="Calibri" w:eastAsia="Calibri" w:hAnsi="Calibri"/>
                <w:b w:val="false"/>
                <w:bCs w:val="false"/>
                <w:sz w:val="19"/>
                <w:szCs w:val="19"/>
              </w:rPr>
              <w:t xml:space="preserve">model fitting</w:t>
            </w:r>
          </w:p>
        </w:tc>
      </w:tr>
      <w:tr>
        <w:tc>
          <w:tcPr>
            <w:tcW w:type="dxa" w:w="2200"/>
            <w:shd w:fill="F4F7FB" w:color="auto" w:val="clear"/>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Model selection</w:t>
            </w:r>
          </w:p>
        </w:tc>
        <w:tc>
          <w:tcPr>
            <w:tcW w:type="dxa" w:w="2100"/>
            <w:shd w:fill="F4F7FB" w:color="auto" w:val="clear"/>
            <w:tcMar>
              <w:top w:type="dxa" w:w="60"/>
              <w:left w:type="dxa" w:w="100"/>
              <w:bottom w:type="dxa" w:w="60"/>
              <w:right w:type="dxa" w:w="100"/>
            </w:tcMar>
          </w:tcPr>
          <w:p>
            <w:pPr>
              <w:spacing w:after="0" w:line="240"/>
              <w:jc w:val="center"/>
            </w:pPr>
            <w:r>
              <w:rPr>
                <w:rFonts w:ascii="Calibri" w:cs="Calibri" w:eastAsia="Calibri" w:hAnsi="Calibri"/>
                <w:b w:val="false"/>
                <w:bCs w:val="false"/>
                <w:sz w:val="19"/>
                <w:szCs w:val="19"/>
              </w:rPr>
              <w:t xml:space="preserve">2014–2015</w:t>
            </w:r>
          </w:p>
        </w:tc>
        <w:tc>
          <w:tcPr>
            <w:tcW w:type="dxa" w:w="1400"/>
            <w:shd w:fill="F4F7FB" w:color="auto" w:val="clear"/>
            <w:tcMar>
              <w:top w:type="dxa" w:w="60"/>
              <w:left w:type="dxa" w:w="100"/>
              <w:bottom w:type="dxa" w:w="60"/>
              <w:right w:type="dxa" w:w="100"/>
            </w:tcMar>
          </w:tcPr>
          <w:p>
            <w:pPr>
              <w:spacing w:after="0" w:line="240"/>
              <w:jc w:val="center"/>
            </w:pPr>
            <w:r>
              <w:rPr>
                <w:rFonts w:ascii="Calibri" w:cs="Calibri" w:eastAsia="Calibri" w:hAnsi="Calibri"/>
                <w:b w:val="false"/>
                <w:bCs w:val="false"/>
                <w:sz w:val="19"/>
                <w:szCs w:val="19"/>
              </w:rPr>
              <w:t xml:space="preserve">978</w:t>
            </w:r>
          </w:p>
        </w:tc>
        <w:tc>
          <w:tcPr>
            <w:tcW w:type="dxa" w:w="3660"/>
            <w:shd w:fill="F4F7FB" w:color="auto" w:val="clear"/>
            <w:tcMar>
              <w:top w:type="dxa" w:w="60"/>
              <w:left w:type="dxa" w:w="100"/>
              <w:bottom w:type="dxa" w:w="60"/>
              <w:right w:type="dxa" w:w="100"/>
            </w:tcMar>
          </w:tcPr>
          <w:p>
            <w:pPr>
              <w:spacing w:after="0" w:line="240"/>
              <w:jc w:val="center"/>
            </w:pPr>
            <w:r>
              <w:rPr>
                <w:rFonts w:ascii="Calibri" w:cs="Calibri" w:eastAsia="Calibri" w:hAnsi="Calibri"/>
                <w:b w:val="false"/>
                <w:bCs w:val="false"/>
                <w:sz w:val="19"/>
                <w:szCs w:val="19"/>
              </w:rPr>
              <w:t xml:space="preserve">early stopping + ensemble weight</w:t>
            </w:r>
          </w:p>
        </w:tc>
      </w:tr>
      <w:tr>
        <w:tc>
          <w:tcPr>
            <w:tcW w:type="dxa" w:w="220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Calibration</w:t>
            </w:r>
          </w:p>
        </w:tc>
        <w:tc>
          <w:tcPr>
            <w:tcW w:type="dxa" w:w="2100"/>
            <w:tcMar>
              <w:top w:type="dxa" w:w="60"/>
              <w:left w:type="dxa" w:w="100"/>
              <w:bottom w:type="dxa" w:w="60"/>
              <w:right w:type="dxa" w:w="100"/>
            </w:tcMar>
          </w:tcPr>
          <w:p>
            <w:pPr>
              <w:spacing w:after="0" w:line="240"/>
              <w:jc w:val="center"/>
            </w:pPr>
            <w:r>
              <w:rPr>
                <w:rFonts w:ascii="Calibri" w:cs="Calibri" w:eastAsia="Calibri" w:hAnsi="Calibri"/>
                <w:b w:val="false"/>
                <w:bCs w:val="false"/>
                <w:sz w:val="19"/>
                <w:szCs w:val="19"/>
              </w:rPr>
              <w:t xml:space="preserve">2016–2018</w:t>
            </w:r>
          </w:p>
        </w:tc>
        <w:tc>
          <w:tcPr>
            <w:tcW w:type="dxa" w:w="1400"/>
            <w:tcMar>
              <w:top w:type="dxa" w:w="60"/>
              <w:left w:type="dxa" w:w="100"/>
              <w:bottom w:type="dxa" w:w="60"/>
              <w:right w:type="dxa" w:w="100"/>
            </w:tcMar>
          </w:tcPr>
          <w:p>
            <w:pPr>
              <w:spacing w:after="0" w:line="240"/>
              <w:jc w:val="center"/>
            </w:pPr>
            <w:r>
              <w:rPr>
                <w:rFonts w:ascii="Calibri" w:cs="Calibri" w:eastAsia="Calibri" w:hAnsi="Calibri"/>
                <w:b w:val="false"/>
                <w:bCs w:val="false"/>
                <w:sz w:val="19"/>
                <w:szCs w:val="19"/>
              </w:rPr>
              <w:t xml:space="preserve">1,433</w:t>
            </w:r>
          </w:p>
        </w:tc>
        <w:tc>
          <w:tcPr>
            <w:tcW w:type="dxa" w:w="3660"/>
            <w:tcMar>
              <w:top w:type="dxa" w:w="60"/>
              <w:left w:type="dxa" w:w="100"/>
              <w:bottom w:type="dxa" w:w="60"/>
              <w:right w:type="dxa" w:w="100"/>
            </w:tcMar>
          </w:tcPr>
          <w:p>
            <w:pPr>
              <w:spacing w:after="0" w:line="240"/>
              <w:jc w:val="center"/>
            </w:pPr>
            <w:r>
              <w:rPr>
                <w:rFonts w:ascii="Calibri" w:cs="Calibri" w:eastAsia="Calibri" w:hAnsi="Calibri"/>
                <w:b w:val="false"/>
                <w:bCs w:val="false"/>
                <w:sz w:val="19"/>
                <w:szCs w:val="19"/>
              </w:rPr>
              <w:t xml:space="preserve">conformal scores ONLY</w:t>
            </w:r>
          </w:p>
        </w:tc>
      </w:tr>
      <w:tr>
        <w:tc>
          <w:tcPr>
            <w:tcW w:type="dxa" w:w="2200"/>
            <w:shd w:fill="F4F7FB" w:color="auto" w:val="clear"/>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Test</w:t>
            </w:r>
          </w:p>
        </w:tc>
        <w:tc>
          <w:tcPr>
            <w:tcW w:type="dxa" w:w="2100"/>
            <w:shd w:fill="F4F7FB" w:color="auto" w:val="clear"/>
            <w:tcMar>
              <w:top w:type="dxa" w:w="60"/>
              <w:left w:type="dxa" w:w="100"/>
              <w:bottom w:type="dxa" w:w="60"/>
              <w:right w:type="dxa" w:w="100"/>
            </w:tcMar>
          </w:tcPr>
          <w:p>
            <w:pPr>
              <w:spacing w:after="0" w:line="240"/>
              <w:jc w:val="center"/>
            </w:pPr>
            <w:r>
              <w:rPr>
                <w:rFonts w:ascii="Calibri" w:cs="Calibri" w:eastAsia="Calibri" w:hAnsi="Calibri"/>
                <w:b w:val="false"/>
                <w:bCs w:val="false"/>
                <w:sz w:val="19"/>
                <w:szCs w:val="19"/>
              </w:rPr>
              <w:t xml:space="preserve">2019–2023</w:t>
            </w:r>
          </w:p>
        </w:tc>
        <w:tc>
          <w:tcPr>
            <w:tcW w:type="dxa" w:w="1400"/>
            <w:shd w:fill="F4F7FB" w:color="auto" w:val="clear"/>
            <w:tcMar>
              <w:top w:type="dxa" w:w="60"/>
              <w:left w:type="dxa" w:w="100"/>
              <w:bottom w:type="dxa" w:w="60"/>
              <w:right w:type="dxa" w:w="100"/>
            </w:tcMar>
          </w:tcPr>
          <w:p>
            <w:pPr>
              <w:spacing w:after="0" w:line="240"/>
              <w:jc w:val="center"/>
            </w:pPr>
            <w:r>
              <w:rPr>
                <w:rFonts w:ascii="Calibri" w:cs="Calibri" w:eastAsia="Calibri" w:hAnsi="Calibri"/>
                <w:b w:val="false"/>
                <w:bCs w:val="false"/>
                <w:sz w:val="19"/>
                <w:szCs w:val="19"/>
              </w:rPr>
              <w:t xml:space="preserve">2,345</w:t>
            </w:r>
          </w:p>
        </w:tc>
        <w:tc>
          <w:tcPr>
            <w:tcW w:type="dxa" w:w="3660"/>
            <w:shd w:fill="F4F7FB" w:color="auto" w:val="clear"/>
            <w:tcMar>
              <w:top w:type="dxa" w:w="60"/>
              <w:left w:type="dxa" w:w="100"/>
              <w:bottom w:type="dxa" w:w="60"/>
              <w:right w:type="dxa" w:w="100"/>
            </w:tcMar>
          </w:tcPr>
          <w:p>
            <w:pPr>
              <w:spacing w:after="0" w:line="240"/>
              <w:jc w:val="center"/>
            </w:pPr>
            <w:r>
              <w:rPr>
                <w:rFonts w:ascii="Calibri" w:cs="Calibri" w:eastAsia="Calibri" w:hAnsi="Calibri"/>
                <w:b w:val="false"/>
                <w:bCs w:val="false"/>
                <w:sz w:val="19"/>
                <w:szCs w:val="19"/>
              </w:rPr>
              <w:t xml:space="preserve">final evaluation, one use</w:t>
            </w:r>
          </w:p>
        </w:tc>
      </w:tr>
    </w:tbl>
    <w:p>
      <w:pPr>
        <w:spacing w:after="120" w:line="276"/>
      </w:pPr>
      <w:r>
        <w:rPr>
          <w:rFonts w:ascii="Calibri" w:cs="Calibri" w:eastAsia="Calibri" w:hAnsi="Calibri"/>
          <w:sz w:val="21"/>
          <w:szCs w:val="21"/>
        </w:rPr>
        <w:t xml:space="preserve">Plus six-state Leave-One-State-Out for spatial generalization, with per-fold feature selection, scaler, preprocessing and calibration.</w:t>
      </w:r>
    </w:p>
    <w:p>
      <w:pPr>
        <w:spacing w:after="120" w:line="276"/>
      </w:pPr>
      <w:r>
        <w:rPr>
          <w:rFonts w:ascii="Calibri" w:cs="Calibri" w:eastAsia="Calibri" w:hAnsi="Calibri"/>
          <w:sz w:val="21"/>
          <w:szCs w:val="21"/>
        </w:rPr>
        <w:t xml:space="preserve">The four-way split exists because split conformal requires the scoring model to be fixed independently of the calibration scores. It costs roughly 0.12 test R² versus training through 2018 — a stated price, not a hidden one.</w:t>
      </w:r>
    </w:p>
    <w:p>
      <w:pPr>
        <w:pStyle w:val="Heading1"/>
        <w:pBdr>
          <w:bottom w:val="single" w:color="1F4E79" w:sz="8" w:space="4"/>
        </w:pBdr>
        <w:spacing w:after="140" w:before="300"/>
      </w:pPr>
      <w:r>
        <w:rPr>
          <w:rFonts w:ascii="Calibri" w:cs="Calibri" w:eastAsia="Calibri" w:hAnsi="Calibri"/>
          <w:b/>
          <w:bCs/>
          <w:color w:val="1F4E79"/>
          <w:sz w:val="26"/>
          <w:szCs w:val="26"/>
        </w:rPr>
        <w:t xml:space="preserve">5.  Models</w:t>
      </w:r>
    </w:p>
    <w:p>
      <w:pPr>
        <w:pStyle w:val="ListParagraph"/>
        <w:numPr>
          <w:ilvl w:val="0"/>
          <w:numId w:val="2"/>
        </w:numPr>
        <w:spacing w:after="80" w:line="276"/>
      </w:pPr>
      <w:r>
        <w:rPr>
          <w:rFonts w:ascii="Calibri" w:cs="Calibri" w:eastAsia="Calibri" w:hAnsi="Calibri"/>
          <w:sz w:val="21"/>
          <w:szCs w:val="21"/>
        </w:rPr>
        <w:t xml:space="preserve">Point prediction: LightGBM, CatBoost, XGBoost, NeuralCQR (residual MLP with four heads — Huber mean plus q05/q50/q95), and a NeuralCQR + LightGBM blend.</w:t>
      </w:r>
    </w:p>
    <w:p>
      <w:pPr>
        <w:pStyle w:val="ListParagraph"/>
        <w:numPr>
          <w:ilvl w:val="0"/>
          <w:numId w:val="2"/>
        </w:numPr>
        <w:spacing w:after="80" w:line="276"/>
      </w:pPr>
      <w:r>
        <w:rPr>
          <w:rFonts w:ascii="Calibri" w:cs="Calibri" w:eastAsia="Calibri" w:hAnsi="Calibri"/>
          <w:sz w:val="21"/>
          <w:szCs w:val="21"/>
        </w:rPr>
        <w:t xml:space="preserve">Uncertainty: five conformal calibrators — static split, regime-stratified CQR, weighted/covariate-shift, locally adaptive, and ACI (online).</w:t>
      </w:r>
    </w:p>
    <w:p>
      <w:pPr>
        <w:spacing w:after="120" w:line="276"/>
      </w:pPr>
      <w:r>
        <w:rPr>
          <w:rFonts w:ascii="Calibri" w:cs="Calibri" w:eastAsia="Calibri" w:hAnsi="Calibri"/>
          <w:b w:val="false"/>
          <w:bCs w:val="false"/>
          <w:sz w:val="21"/>
          <w:szCs w:val="21"/>
        </w:rPr>
        <w:t xml:space="preserve">All five calibrators share </w:t>
      </w:r>
      <w:r>
        <w:rPr>
          <w:rFonts w:ascii="Calibri" w:cs="Calibri" w:eastAsia="Calibri" w:hAnsi="Calibri"/>
          <w:b/>
          <w:bCs/>
          <w:sz w:val="21"/>
          <w:szCs w:val="21"/>
        </w:rPr>
        <w:t xml:space="preserve">one base model and one set of point predictions</w:t>
      </w:r>
      <w:r>
        <w:rPr>
          <w:rFonts w:ascii="Calibri" w:cs="Calibri" w:eastAsia="Calibri" w:hAnsi="Calibri"/>
          <w:b w:val="false"/>
          <w:bCs w:val="false"/>
          <w:sz w:val="21"/>
          <w:szCs w:val="21"/>
        </w:rPr>
        <w:t xml:space="preserve">, so any coverage difference is attributable to calibration alone. Few applied papers can say that, and it is what makes the comparison clean.</w:t>
      </w:r>
    </w:p>
    <w:p>
      <w:pPr>
        <w:pageBreakBefore/>
        <w:spacing w:after="0"/>
      </w:pPr>
    </w:p>
    <w:p>
      <w:pPr>
        <w:pStyle w:val="Heading1"/>
        <w:pBdr>
          <w:bottom w:val="single" w:color="1F4E79" w:sz="8" w:space="4"/>
        </w:pBdr>
        <w:spacing w:after="140" w:before="300"/>
      </w:pPr>
      <w:r>
        <w:rPr>
          <w:rFonts w:ascii="Calibri" w:cs="Calibri" w:eastAsia="Calibri" w:hAnsi="Calibri"/>
          <w:b/>
          <w:bCs/>
          <w:color w:val="1F4E79"/>
          <w:sz w:val="26"/>
          <w:szCs w:val="26"/>
        </w:rPr>
        <w:t xml:space="preserve">6.  Headline results</w:t>
      </w:r>
    </w:p>
    <w:p>
      <w:pPr>
        <w:spacing w:after="100" w:line="276"/>
      </w:pPr>
      <w:r>
        <w:rPr>
          <w:rFonts w:ascii="Calibri" w:cs="Calibri" w:eastAsia="Calibri" w:hAnsi="Calibri"/>
          <w:b/>
          <w:bCs/>
          <w:sz w:val="21"/>
          <w:szCs w:val="21"/>
        </w:rPr>
        <w:t xml:space="preserve">Point prediction, test window 2019–2023: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800"/>
        <w:gridCol w:w="1800"/>
        <w:gridCol w:w="1800"/>
      </w:tblGrid>
      <w:tr>
        <w:trPr>
          <w:tblHeader/>
        </w:trPr>
        <w:tc>
          <w:tcPr>
            <w:tcW w:type="dxa" w:w="3960"/>
            <w:shd w:fill="DCE6F1" w:color="auto" w:val="clear"/>
            <w:tcMar>
              <w:top w:type="dxa" w:w="60"/>
              <w:left w:type="dxa" w:w="100"/>
              <w:bottom w:type="dxa" w:w="60"/>
              <w:right w:type="dxa" w:w="100"/>
            </w:tcMar>
          </w:tcPr>
          <w:p>
            <w:pPr>
              <w:spacing w:after="0" w:line="240"/>
            </w:pPr>
            <w:r>
              <w:rPr>
                <w:rFonts w:ascii="Calibri" w:cs="Calibri" w:eastAsia="Calibri" w:hAnsi="Calibri"/>
                <w:b/>
                <w:bCs/>
                <w:sz w:val="19"/>
                <w:szCs w:val="19"/>
              </w:rPr>
              <w:t xml:space="preserve">Model</w:t>
            </w:r>
          </w:p>
        </w:tc>
        <w:tc>
          <w:tcPr>
            <w:tcW w:type="dxa" w:w="1800"/>
            <w:shd w:fill="DCE6F1" w:color="auto" w:val="clear"/>
            <w:tcMar>
              <w:top w:type="dxa" w:w="60"/>
              <w:left w:type="dxa" w:w="100"/>
              <w:bottom w:type="dxa" w:w="60"/>
              <w:right w:type="dxa" w:w="100"/>
            </w:tcMar>
          </w:tcPr>
          <w:p>
            <w:pPr>
              <w:spacing w:after="0" w:line="240"/>
              <w:jc w:val="center"/>
            </w:pPr>
            <w:r>
              <w:rPr>
                <w:rFonts w:ascii="Calibri" w:cs="Calibri" w:eastAsia="Calibri" w:hAnsi="Calibri"/>
                <w:b/>
                <w:bCs/>
                <w:sz w:val="19"/>
                <w:szCs w:val="19"/>
              </w:rPr>
              <w:t xml:space="preserve">RMSE</w:t>
            </w:r>
          </w:p>
        </w:tc>
        <w:tc>
          <w:tcPr>
            <w:tcW w:type="dxa" w:w="1800"/>
            <w:shd w:fill="DCE6F1" w:color="auto" w:val="clear"/>
            <w:tcMar>
              <w:top w:type="dxa" w:w="60"/>
              <w:left w:type="dxa" w:w="100"/>
              <w:bottom w:type="dxa" w:w="60"/>
              <w:right w:type="dxa" w:w="100"/>
            </w:tcMar>
          </w:tcPr>
          <w:p>
            <w:pPr>
              <w:spacing w:after="0" w:line="240"/>
              <w:jc w:val="center"/>
            </w:pPr>
            <w:r>
              <w:rPr>
                <w:rFonts w:ascii="Calibri" w:cs="Calibri" w:eastAsia="Calibri" w:hAnsi="Calibri"/>
                <w:b/>
                <w:bCs/>
                <w:sz w:val="19"/>
                <w:szCs w:val="19"/>
              </w:rPr>
              <w:t xml:space="preserve">MAE</w:t>
            </w:r>
          </w:p>
        </w:tc>
        <w:tc>
          <w:tcPr>
            <w:tcW w:type="dxa" w:w="1800"/>
            <w:shd w:fill="DCE6F1" w:color="auto" w:val="clear"/>
            <w:tcMar>
              <w:top w:type="dxa" w:w="60"/>
              <w:left w:type="dxa" w:w="100"/>
              <w:bottom w:type="dxa" w:w="60"/>
              <w:right w:type="dxa" w:w="100"/>
            </w:tcMar>
          </w:tcPr>
          <w:p>
            <w:pPr>
              <w:spacing w:after="0" w:line="240"/>
              <w:jc w:val="center"/>
            </w:pPr>
            <w:r>
              <w:rPr>
                <w:rFonts w:ascii="Calibri" w:cs="Calibri" w:eastAsia="Calibri" w:hAnsi="Calibri"/>
                <w:b/>
                <w:bCs/>
                <w:sz w:val="19"/>
                <w:szCs w:val="19"/>
              </w:rPr>
              <w:t xml:space="preserve">R²</w:t>
            </w:r>
          </w:p>
        </w:tc>
      </w:tr>
      <w:tr>
        <w:tc>
          <w:tcPr>
            <w:tcW w:type="dxa" w:w="396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CatBoost</w:t>
            </w:r>
          </w:p>
        </w:tc>
        <w:tc>
          <w:tcPr>
            <w:tcW w:type="dxa" w:w="1800"/>
            <w:tcMar>
              <w:top w:type="dxa" w:w="60"/>
              <w:left w:type="dxa" w:w="100"/>
              <w:bottom w:type="dxa" w:w="60"/>
              <w:right w:type="dxa" w:w="100"/>
            </w:tcMar>
          </w:tcPr>
          <w:p>
            <w:pPr>
              <w:spacing w:after="0" w:line="240"/>
              <w:jc w:val="center"/>
            </w:pPr>
            <w:r>
              <w:rPr>
                <w:rFonts w:ascii="Calibri" w:cs="Calibri" w:eastAsia="Calibri" w:hAnsi="Calibri"/>
                <w:b w:val="false"/>
                <w:bCs w:val="false"/>
                <w:sz w:val="19"/>
                <w:szCs w:val="19"/>
              </w:rPr>
              <w:t xml:space="preserve">1.1422</w:t>
            </w:r>
          </w:p>
        </w:tc>
        <w:tc>
          <w:tcPr>
            <w:tcW w:type="dxa" w:w="1800"/>
            <w:tcMar>
              <w:top w:type="dxa" w:w="60"/>
              <w:left w:type="dxa" w:w="100"/>
              <w:bottom w:type="dxa" w:w="60"/>
              <w:right w:type="dxa" w:w="100"/>
            </w:tcMar>
          </w:tcPr>
          <w:p>
            <w:pPr>
              <w:spacing w:after="0" w:line="240"/>
              <w:jc w:val="center"/>
            </w:pPr>
            <w:r>
              <w:rPr>
                <w:rFonts w:ascii="Calibri" w:cs="Calibri" w:eastAsia="Calibri" w:hAnsi="Calibri"/>
                <w:b w:val="false"/>
                <w:bCs w:val="false"/>
                <w:sz w:val="19"/>
                <w:szCs w:val="19"/>
              </w:rPr>
              <w:t xml:space="preserve">0.9193</w:t>
            </w:r>
          </w:p>
        </w:tc>
        <w:tc>
          <w:tcPr>
            <w:tcW w:type="dxa" w:w="1800"/>
            <w:tcMar>
              <w:top w:type="dxa" w:w="60"/>
              <w:left w:type="dxa" w:w="100"/>
              <w:bottom w:type="dxa" w:w="60"/>
              <w:right w:type="dxa" w:w="100"/>
            </w:tcMar>
          </w:tcPr>
          <w:p>
            <w:pPr>
              <w:spacing w:after="0" w:line="240"/>
              <w:jc w:val="center"/>
            </w:pPr>
            <w:r>
              <w:rPr>
                <w:rFonts w:ascii="Calibri" w:cs="Calibri" w:eastAsia="Calibri" w:hAnsi="Calibri"/>
                <w:b w:val="false"/>
                <w:bCs w:val="false"/>
                <w:sz w:val="19"/>
                <w:szCs w:val="19"/>
              </w:rPr>
              <w:t xml:space="preserve">0.5460</w:t>
            </w:r>
          </w:p>
        </w:tc>
      </w:tr>
      <w:tr>
        <w:tc>
          <w:tcPr>
            <w:tcW w:type="dxa" w:w="3960"/>
            <w:shd w:fill="F4F7FB" w:color="auto" w:val="clear"/>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XGBoost</w:t>
            </w:r>
          </w:p>
        </w:tc>
        <w:tc>
          <w:tcPr>
            <w:tcW w:type="dxa" w:w="1800"/>
            <w:shd w:fill="F4F7FB" w:color="auto" w:val="clear"/>
            <w:tcMar>
              <w:top w:type="dxa" w:w="60"/>
              <w:left w:type="dxa" w:w="100"/>
              <w:bottom w:type="dxa" w:w="60"/>
              <w:right w:type="dxa" w:w="100"/>
            </w:tcMar>
          </w:tcPr>
          <w:p>
            <w:pPr>
              <w:spacing w:after="0" w:line="240"/>
              <w:jc w:val="center"/>
            </w:pPr>
            <w:r>
              <w:rPr>
                <w:rFonts w:ascii="Calibri" w:cs="Calibri" w:eastAsia="Calibri" w:hAnsi="Calibri"/>
                <w:b w:val="false"/>
                <w:bCs w:val="false"/>
                <w:sz w:val="19"/>
                <w:szCs w:val="19"/>
              </w:rPr>
              <w:t xml:space="preserve">1.1836</w:t>
            </w:r>
          </w:p>
        </w:tc>
        <w:tc>
          <w:tcPr>
            <w:tcW w:type="dxa" w:w="1800"/>
            <w:shd w:fill="F4F7FB" w:color="auto" w:val="clear"/>
            <w:tcMar>
              <w:top w:type="dxa" w:w="60"/>
              <w:left w:type="dxa" w:w="100"/>
              <w:bottom w:type="dxa" w:w="60"/>
              <w:right w:type="dxa" w:w="100"/>
            </w:tcMar>
          </w:tcPr>
          <w:p>
            <w:pPr>
              <w:spacing w:after="0" w:line="240"/>
              <w:jc w:val="center"/>
            </w:pPr>
            <w:r>
              <w:rPr>
                <w:rFonts w:ascii="Calibri" w:cs="Calibri" w:eastAsia="Calibri" w:hAnsi="Calibri"/>
                <w:b w:val="false"/>
                <w:bCs w:val="false"/>
                <w:sz w:val="19"/>
                <w:szCs w:val="19"/>
              </w:rPr>
              <w:t xml:space="preserve">0.9512</w:t>
            </w:r>
          </w:p>
        </w:tc>
        <w:tc>
          <w:tcPr>
            <w:tcW w:type="dxa" w:w="1800"/>
            <w:shd w:fill="F4F7FB" w:color="auto" w:val="clear"/>
            <w:tcMar>
              <w:top w:type="dxa" w:w="60"/>
              <w:left w:type="dxa" w:w="100"/>
              <w:bottom w:type="dxa" w:w="60"/>
              <w:right w:type="dxa" w:w="100"/>
            </w:tcMar>
          </w:tcPr>
          <w:p>
            <w:pPr>
              <w:spacing w:after="0" w:line="240"/>
              <w:jc w:val="center"/>
            </w:pPr>
            <w:r>
              <w:rPr>
                <w:rFonts w:ascii="Calibri" w:cs="Calibri" w:eastAsia="Calibri" w:hAnsi="Calibri"/>
                <w:b w:val="false"/>
                <w:bCs w:val="false"/>
                <w:sz w:val="19"/>
                <w:szCs w:val="19"/>
              </w:rPr>
              <w:t xml:space="preserve">0.5124</w:t>
            </w:r>
          </w:p>
        </w:tc>
      </w:tr>
      <w:tr>
        <w:tc>
          <w:tcPr>
            <w:tcW w:type="dxa" w:w="396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NeuralCQR + LightGBM blend</w:t>
            </w:r>
          </w:p>
        </w:tc>
        <w:tc>
          <w:tcPr>
            <w:tcW w:type="dxa" w:w="1800"/>
            <w:tcMar>
              <w:top w:type="dxa" w:w="60"/>
              <w:left w:type="dxa" w:w="100"/>
              <w:bottom w:type="dxa" w:w="60"/>
              <w:right w:type="dxa" w:w="100"/>
            </w:tcMar>
          </w:tcPr>
          <w:p>
            <w:pPr>
              <w:spacing w:after="0" w:line="240"/>
              <w:jc w:val="center"/>
            </w:pPr>
            <w:r>
              <w:rPr>
                <w:rFonts w:ascii="Calibri" w:cs="Calibri" w:eastAsia="Calibri" w:hAnsi="Calibri"/>
                <w:b w:val="false"/>
                <w:bCs w:val="false"/>
                <w:sz w:val="19"/>
                <w:szCs w:val="19"/>
              </w:rPr>
              <w:t xml:space="preserve">1.2041</w:t>
            </w:r>
          </w:p>
        </w:tc>
        <w:tc>
          <w:tcPr>
            <w:tcW w:type="dxa" w:w="1800"/>
            <w:tcMar>
              <w:top w:type="dxa" w:w="60"/>
              <w:left w:type="dxa" w:w="100"/>
              <w:bottom w:type="dxa" w:w="60"/>
              <w:right w:type="dxa" w:w="100"/>
            </w:tcMar>
          </w:tcPr>
          <w:p>
            <w:pPr>
              <w:spacing w:after="0" w:line="240"/>
              <w:jc w:val="center"/>
            </w:pPr>
            <w:r>
              <w:rPr>
                <w:rFonts w:ascii="Calibri" w:cs="Calibri" w:eastAsia="Calibri" w:hAnsi="Calibri"/>
                <w:b w:val="false"/>
                <w:bCs w:val="false"/>
                <w:sz w:val="19"/>
                <w:szCs w:val="19"/>
              </w:rPr>
              <w:t xml:space="preserve">0.9672</w:t>
            </w:r>
          </w:p>
        </w:tc>
        <w:tc>
          <w:tcPr>
            <w:tcW w:type="dxa" w:w="1800"/>
            <w:tcMar>
              <w:top w:type="dxa" w:w="60"/>
              <w:left w:type="dxa" w:w="100"/>
              <w:bottom w:type="dxa" w:w="60"/>
              <w:right w:type="dxa" w:w="100"/>
            </w:tcMar>
          </w:tcPr>
          <w:p>
            <w:pPr>
              <w:spacing w:after="0" w:line="240"/>
              <w:jc w:val="center"/>
            </w:pPr>
            <w:r>
              <w:rPr>
                <w:rFonts w:ascii="Calibri" w:cs="Calibri" w:eastAsia="Calibri" w:hAnsi="Calibri"/>
                <w:b w:val="false"/>
                <w:bCs w:val="false"/>
                <w:sz w:val="19"/>
                <w:szCs w:val="19"/>
              </w:rPr>
              <w:t xml:space="preserve">0.4954</w:t>
            </w:r>
          </w:p>
        </w:tc>
      </w:tr>
      <w:tr>
        <w:tc>
          <w:tcPr>
            <w:tcW w:type="dxa" w:w="3960"/>
            <w:shd w:fill="F4F7FB" w:color="auto" w:val="clear"/>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LightGBM</w:t>
            </w:r>
          </w:p>
        </w:tc>
        <w:tc>
          <w:tcPr>
            <w:tcW w:type="dxa" w:w="1800"/>
            <w:shd w:fill="F4F7FB" w:color="auto" w:val="clear"/>
            <w:tcMar>
              <w:top w:type="dxa" w:w="60"/>
              <w:left w:type="dxa" w:w="100"/>
              <w:bottom w:type="dxa" w:w="60"/>
              <w:right w:type="dxa" w:w="100"/>
            </w:tcMar>
          </w:tcPr>
          <w:p>
            <w:pPr>
              <w:spacing w:after="0" w:line="240"/>
              <w:jc w:val="center"/>
            </w:pPr>
            <w:r>
              <w:rPr>
                <w:rFonts w:ascii="Calibri" w:cs="Calibri" w:eastAsia="Calibri" w:hAnsi="Calibri"/>
                <w:b w:val="false"/>
                <w:bCs w:val="false"/>
                <w:sz w:val="19"/>
                <w:szCs w:val="19"/>
              </w:rPr>
              <w:t xml:space="preserve">1.2149</w:t>
            </w:r>
          </w:p>
        </w:tc>
        <w:tc>
          <w:tcPr>
            <w:tcW w:type="dxa" w:w="1800"/>
            <w:shd w:fill="F4F7FB" w:color="auto" w:val="clear"/>
            <w:tcMar>
              <w:top w:type="dxa" w:w="60"/>
              <w:left w:type="dxa" w:w="100"/>
              <w:bottom w:type="dxa" w:w="60"/>
              <w:right w:type="dxa" w:w="100"/>
            </w:tcMar>
          </w:tcPr>
          <w:p>
            <w:pPr>
              <w:spacing w:after="0" w:line="240"/>
              <w:jc w:val="center"/>
            </w:pPr>
            <w:r>
              <w:rPr>
                <w:rFonts w:ascii="Calibri" w:cs="Calibri" w:eastAsia="Calibri" w:hAnsi="Calibri"/>
                <w:b w:val="false"/>
                <w:bCs w:val="false"/>
                <w:sz w:val="19"/>
                <w:szCs w:val="19"/>
              </w:rPr>
              <w:t xml:space="preserve">0.9773</w:t>
            </w:r>
          </w:p>
        </w:tc>
        <w:tc>
          <w:tcPr>
            <w:tcW w:type="dxa" w:w="1800"/>
            <w:shd w:fill="F4F7FB" w:color="auto" w:val="clear"/>
            <w:tcMar>
              <w:top w:type="dxa" w:w="60"/>
              <w:left w:type="dxa" w:w="100"/>
              <w:bottom w:type="dxa" w:w="60"/>
              <w:right w:type="dxa" w:w="100"/>
            </w:tcMar>
          </w:tcPr>
          <w:p>
            <w:pPr>
              <w:spacing w:after="0" w:line="240"/>
              <w:jc w:val="center"/>
            </w:pPr>
            <w:r>
              <w:rPr>
                <w:rFonts w:ascii="Calibri" w:cs="Calibri" w:eastAsia="Calibri" w:hAnsi="Calibri"/>
                <w:b w:val="false"/>
                <w:bCs w:val="false"/>
                <w:sz w:val="19"/>
                <w:szCs w:val="19"/>
              </w:rPr>
              <w:t xml:space="preserve">0.4863</w:t>
            </w:r>
          </w:p>
        </w:tc>
      </w:tr>
      <w:tr>
        <w:tc>
          <w:tcPr>
            <w:tcW w:type="dxa" w:w="396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NeuralCQR</w:t>
            </w:r>
          </w:p>
        </w:tc>
        <w:tc>
          <w:tcPr>
            <w:tcW w:type="dxa" w:w="1800"/>
            <w:tcMar>
              <w:top w:type="dxa" w:w="60"/>
              <w:left w:type="dxa" w:w="100"/>
              <w:bottom w:type="dxa" w:w="60"/>
              <w:right w:type="dxa" w:w="100"/>
            </w:tcMar>
          </w:tcPr>
          <w:p>
            <w:pPr>
              <w:spacing w:after="0" w:line="240"/>
              <w:jc w:val="center"/>
            </w:pPr>
            <w:r>
              <w:rPr>
                <w:rFonts w:ascii="Calibri" w:cs="Calibri" w:eastAsia="Calibri" w:hAnsi="Calibri"/>
                <w:b w:val="false"/>
                <w:bCs w:val="false"/>
                <w:sz w:val="19"/>
                <w:szCs w:val="19"/>
              </w:rPr>
              <w:t xml:space="preserve">1.3203</w:t>
            </w:r>
          </w:p>
        </w:tc>
        <w:tc>
          <w:tcPr>
            <w:tcW w:type="dxa" w:w="1800"/>
            <w:tcMar>
              <w:top w:type="dxa" w:w="60"/>
              <w:left w:type="dxa" w:w="100"/>
              <w:bottom w:type="dxa" w:w="60"/>
              <w:right w:type="dxa" w:w="100"/>
            </w:tcMar>
          </w:tcPr>
          <w:p>
            <w:pPr>
              <w:spacing w:after="0" w:line="240"/>
              <w:jc w:val="center"/>
            </w:pPr>
            <w:r>
              <w:rPr>
                <w:rFonts w:ascii="Calibri" w:cs="Calibri" w:eastAsia="Calibri" w:hAnsi="Calibri"/>
                <w:b w:val="false"/>
                <w:bCs w:val="false"/>
                <w:sz w:val="19"/>
                <w:szCs w:val="19"/>
              </w:rPr>
              <w:t xml:space="preserve">1.0374</w:t>
            </w:r>
          </w:p>
        </w:tc>
        <w:tc>
          <w:tcPr>
            <w:tcW w:type="dxa" w:w="1800"/>
            <w:tcMar>
              <w:top w:type="dxa" w:w="60"/>
              <w:left w:type="dxa" w:w="100"/>
              <w:bottom w:type="dxa" w:w="60"/>
              <w:right w:type="dxa" w:w="100"/>
            </w:tcMar>
          </w:tcPr>
          <w:p>
            <w:pPr>
              <w:spacing w:after="0" w:line="240"/>
              <w:jc w:val="center"/>
            </w:pPr>
            <w:r>
              <w:rPr>
                <w:rFonts w:ascii="Calibri" w:cs="Calibri" w:eastAsia="Calibri" w:hAnsi="Calibri"/>
                <w:b w:val="false"/>
                <w:bCs w:val="false"/>
                <w:sz w:val="19"/>
                <w:szCs w:val="19"/>
              </w:rPr>
              <w:t xml:space="preserve">0.3933</w:t>
            </w:r>
          </w:p>
        </w:tc>
      </w:tr>
    </w:tbl>
    <w:p>
      <w:pPr>
        <w:spacing w:after="120" w:line="276"/>
      </w:pPr>
      <w:r>
        <w:rPr>
          <w:rFonts w:ascii="Calibri" w:cs="Calibri" w:eastAsia="Calibri" w:hAnsi="Calibri"/>
          <w:b/>
          <w:bCs/>
          <w:sz w:val="21"/>
          <w:szCs w:val="21"/>
        </w:rPr>
        <w:t xml:space="preserve">LOSO: </w:t>
      </w:r>
      <w:r>
        <w:rPr>
          <w:rFonts w:ascii="Calibri" w:cs="Calibri" w:eastAsia="Calibri" w:hAnsi="Calibri"/>
          <w:b w:val="false"/>
          <w:bCs w:val="false"/>
          <w:sz w:val="21"/>
          <w:szCs w:val="21"/>
        </w:rPr>
        <w:t xml:space="preserve">R² 0.5029 ± 0.0627, RMSE 1.5523 (six folds, leakage-corrected).</w:t>
      </w:r>
    </w:p>
    <w:p>
      <w:pPr>
        <w:spacing w:after="100" w:line="276"/>
      </w:pPr>
      <w:r>
        <w:rPr>
          <w:rFonts w:ascii="Calibri" w:cs="Calibri" w:eastAsia="Calibri" w:hAnsi="Calibri"/>
          <w:b/>
          <w:bCs/>
          <w:sz w:val="21"/>
          <w:szCs w:val="21"/>
        </w:rPr>
        <w:t xml:space="preserve">The finding: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60"/>
        <w:gridCol w:w="2600"/>
        <w:gridCol w:w="2600"/>
      </w:tblGrid>
      <w:tr>
        <w:trPr>
          <w:tblHeader/>
        </w:trPr>
        <w:tc>
          <w:tcPr>
            <w:tcW w:type="dxa" w:w="4160"/>
            <w:shd w:fill="DCE6F1" w:color="auto" w:val="clear"/>
            <w:tcMar>
              <w:top w:type="dxa" w:w="60"/>
              <w:left w:type="dxa" w:w="100"/>
              <w:bottom w:type="dxa" w:w="60"/>
              <w:right w:type="dxa" w:w="100"/>
            </w:tcMar>
          </w:tcPr>
          <w:p>
            <w:pPr>
              <w:spacing w:after="0" w:line="240"/>
            </w:pPr>
            <w:r>
              <w:rPr>
                <w:rFonts w:ascii="Calibri" w:cs="Calibri" w:eastAsia="Calibri" w:hAnsi="Calibri"/>
                <w:b/>
                <w:bCs/>
                <w:sz w:val="19"/>
                <w:szCs w:val="19"/>
              </w:rPr>
              <w:t xml:space="preserve">Calibration method</w:t>
            </w:r>
          </w:p>
        </w:tc>
        <w:tc>
          <w:tcPr>
            <w:tcW w:type="dxa" w:w="2600"/>
            <w:shd w:fill="DCE6F1" w:color="auto" w:val="clear"/>
            <w:tcMar>
              <w:top w:type="dxa" w:w="60"/>
              <w:left w:type="dxa" w:w="100"/>
              <w:bottom w:type="dxa" w:w="60"/>
              <w:right w:type="dxa" w:w="100"/>
            </w:tcMar>
          </w:tcPr>
          <w:p>
            <w:pPr>
              <w:spacing w:after="0" w:line="240"/>
              <w:jc w:val="center"/>
            </w:pPr>
            <w:r>
              <w:rPr>
                <w:rFonts w:ascii="Calibri" w:cs="Calibri" w:eastAsia="Calibri" w:hAnsi="Calibri"/>
                <w:b/>
                <w:bCs/>
                <w:sz w:val="19"/>
                <w:szCs w:val="19"/>
              </w:rPr>
              <w:t xml:space="preserve">Marginal ACE</w:t>
            </w:r>
          </w:p>
        </w:tc>
        <w:tc>
          <w:tcPr>
            <w:tcW w:type="dxa" w:w="2600"/>
            <w:shd w:fill="DCE6F1" w:color="auto" w:val="clear"/>
            <w:tcMar>
              <w:top w:type="dxa" w:w="60"/>
              <w:left w:type="dxa" w:w="100"/>
              <w:bottom w:type="dxa" w:w="60"/>
              <w:right w:type="dxa" w:w="100"/>
            </w:tcMar>
          </w:tcPr>
          <w:p>
            <w:pPr>
              <w:spacing w:after="0" w:line="240"/>
              <w:jc w:val="center"/>
            </w:pPr>
            <w:r>
              <w:rPr>
                <w:rFonts w:ascii="Calibri" w:cs="Calibri" w:eastAsia="Calibri" w:hAnsi="Calibri"/>
                <w:b/>
                <w:bCs/>
                <w:sz w:val="19"/>
                <w:szCs w:val="19"/>
              </w:rPr>
              <w:t xml:space="preserve">Worst-stratum PICP</w:t>
            </w:r>
          </w:p>
        </w:tc>
      </w:tr>
      <w:tr>
        <w:tc>
          <w:tcPr>
            <w:tcW w:type="dxa" w:w="416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Regime-stratified CQR</w:t>
            </w:r>
          </w:p>
        </w:tc>
        <w:tc>
          <w:tcPr>
            <w:tcW w:type="dxa" w:w="2600"/>
            <w:tcMar>
              <w:top w:type="dxa" w:w="60"/>
              <w:left w:type="dxa" w:w="100"/>
              <w:bottom w:type="dxa" w:w="60"/>
              <w:right w:type="dxa" w:w="100"/>
            </w:tcMar>
          </w:tcPr>
          <w:p>
            <w:pPr>
              <w:spacing w:after="0" w:line="240"/>
              <w:jc w:val="center"/>
            </w:pPr>
            <w:r>
              <w:rPr>
                <w:rFonts w:ascii="Calibri" w:cs="Calibri" w:eastAsia="Calibri" w:hAnsi="Calibri"/>
                <w:b w:val="false"/>
                <w:bCs w:val="false"/>
                <w:sz w:val="19"/>
                <w:szCs w:val="19"/>
              </w:rPr>
              <w:t xml:space="preserve">0.0211</w:t>
            </w:r>
          </w:p>
        </w:tc>
        <w:tc>
          <w:tcPr>
            <w:tcW w:type="dxa" w:w="2600"/>
            <w:tcMar>
              <w:top w:type="dxa" w:w="60"/>
              <w:left w:type="dxa" w:w="100"/>
              <w:bottom w:type="dxa" w:w="60"/>
              <w:right w:type="dxa" w:w="100"/>
            </w:tcMar>
          </w:tcPr>
          <w:p>
            <w:pPr>
              <w:spacing w:after="0" w:line="240"/>
              <w:jc w:val="center"/>
            </w:pPr>
            <w:r>
              <w:rPr>
                <w:rFonts w:ascii="Calibri" w:cs="Calibri" w:eastAsia="Calibri" w:hAnsi="Calibri"/>
                <w:b w:val="false"/>
                <w:bCs w:val="false"/>
                <w:sz w:val="19"/>
                <w:szCs w:val="19"/>
              </w:rPr>
              <w:t xml:space="preserve">0.8792</w:t>
            </w:r>
          </w:p>
        </w:tc>
      </w:tr>
      <w:tr>
        <w:tc>
          <w:tcPr>
            <w:tcW w:type="dxa" w:w="4160"/>
            <w:shd w:fill="F4F7FB" w:color="auto" w:val="clear"/>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Weighted conformal</w:t>
            </w:r>
          </w:p>
        </w:tc>
        <w:tc>
          <w:tcPr>
            <w:tcW w:type="dxa" w:w="2600"/>
            <w:shd w:fill="F4F7FB" w:color="auto" w:val="clear"/>
            <w:tcMar>
              <w:top w:type="dxa" w:w="60"/>
              <w:left w:type="dxa" w:w="100"/>
              <w:bottom w:type="dxa" w:w="60"/>
              <w:right w:type="dxa" w:w="100"/>
            </w:tcMar>
          </w:tcPr>
          <w:p>
            <w:pPr>
              <w:spacing w:after="0" w:line="240"/>
              <w:jc w:val="center"/>
            </w:pPr>
            <w:r>
              <w:rPr>
                <w:rFonts w:ascii="Calibri" w:cs="Calibri" w:eastAsia="Calibri" w:hAnsi="Calibri"/>
                <w:b w:val="false"/>
                <w:bCs w:val="false"/>
                <w:sz w:val="19"/>
                <w:szCs w:val="19"/>
              </w:rPr>
              <w:t xml:space="preserve">0.0322</w:t>
            </w:r>
          </w:p>
        </w:tc>
        <w:tc>
          <w:tcPr>
            <w:tcW w:type="dxa" w:w="2600"/>
            <w:shd w:fill="F4F7FB" w:color="auto" w:val="clear"/>
            <w:tcMar>
              <w:top w:type="dxa" w:w="60"/>
              <w:left w:type="dxa" w:w="100"/>
              <w:bottom w:type="dxa" w:w="60"/>
              <w:right w:type="dxa" w:w="100"/>
            </w:tcMar>
          </w:tcPr>
          <w:p>
            <w:pPr>
              <w:spacing w:after="0" w:line="240"/>
              <w:jc w:val="center"/>
            </w:pPr>
            <w:r>
              <w:rPr>
                <w:rFonts w:ascii="Calibri" w:cs="Calibri" w:eastAsia="Calibri" w:hAnsi="Calibri"/>
                <w:b w:val="false"/>
                <w:bCs w:val="false"/>
                <w:sz w:val="19"/>
                <w:szCs w:val="19"/>
              </w:rPr>
              <w:t xml:space="preserve">0.8731</w:t>
            </w:r>
          </w:p>
        </w:tc>
      </w:tr>
      <w:tr>
        <w:tc>
          <w:tcPr>
            <w:tcW w:type="dxa" w:w="416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Static conformal</w:t>
            </w:r>
          </w:p>
        </w:tc>
        <w:tc>
          <w:tcPr>
            <w:tcW w:type="dxa" w:w="2600"/>
            <w:tcMar>
              <w:top w:type="dxa" w:w="60"/>
              <w:left w:type="dxa" w:w="100"/>
              <w:bottom w:type="dxa" w:w="60"/>
              <w:right w:type="dxa" w:w="100"/>
            </w:tcMar>
          </w:tcPr>
          <w:p>
            <w:pPr>
              <w:spacing w:after="0" w:line="240"/>
              <w:jc w:val="center"/>
            </w:pPr>
            <w:r>
              <w:rPr>
                <w:rFonts w:ascii="Calibri" w:cs="Calibri" w:eastAsia="Calibri" w:hAnsi="Calibri"/>
                <w:b w:val="false"/>
                <w:bCs w:val="false"/>
                <w:sz w:val="19"/>
                <w:szCs w:val="19"/>
              </w:rPr>
              <w:t xml:space="preserve">0.0160</w:t>
            </w:r>
          </w:p>
        </w:tc>
        <w:tc>
          <w:tcPr>
            <w:tcW w:type="dxa" w:w="2600"/>
            <w:tcMar>
              <w:top w:type="dxa" w:w="60"/>
              <w:left w:type="dxa" w:w="100"/>
              <w:bottom w:type="dxa" w:w="60"/>
              <w:right w:type="dxa" w:w="100"/>
            </w:tcMar>
          </w:tcPr>
          <w:p>
            <w:pPr>
              <w:spacing w:after="0" w:line="240"/>
              <w:jc w:val="center"/>
            </w:pPr>
            <w:r>
              <w:rPr>
                <w:rFonts w:ascii="Calibri" w:cs="Calibri" w:eastAsia="Calibri" w:hAnsi="Calibri"/>
                <w:b w:val="false"/>
                <w:bCs w:val="false"/>
                <w:sz w:val="19"/>
                <w:szCs w:val="19"/>
              </w:rPr>
              <w:t xml:space="preserve">0.8550</w:t>
            </w:r>
          </w:p>
        </w:tc>
      </w:tr>
      <w:tr>
        <w:tc>
          <w:tcPr>
            <w:tcW w:type="dxa" w:w="4160"/>
            <w:shd w:fill="F4F7FB" w:color="auto" w:val="clear"/>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Locally adaptive</w:t>
            </w:r>
          </w:p>
        </w:tc>
        <w:tc>
          <w:tcPr>
            <w:tcW w:type="dxa" w:w="2600"/>
            <w:shd w:fill="F4F7FB" w:color="auto" w:val="clear"/>
            <w:tcMar>
              <w:top w:type="dxa" w:w="60"/>
              <w:left w:type="dxa" w:w="100"/>
              <w:bottom w:type="dxa" w:w="60"/>
              <w:right w:type="dxa" w:w="100"/>
            </w:tcMar>
          </w:tcPr>
          <w:p>
            <w:pPr>
              <w:spacing w:after="0" w:line="240"/>
              <w:jc w:val="center"/>
            </w:pPr>
            <w:r>
              <w:rPr>
                <w:rFonts w:ascii="Calibri" w:cs="Calibri" w:eastAsia="Calibri" w:hAnsi="Calibri"/>
                <w:b w:val="false"/>
                <w:bCs w:val="false"/>
                <w:sz w:val="19"/>
                <w:szCs w:val="19"/>
              </w:rPr>
              <w:t xml:space="preserve">0.0194</w:t>
            </w:r>
          </w:p>
        </w:tc>
        <w:tc>
          <w:tcPr>
            <w:tcW w:type="dxa" w:w="2600"/>
            <w:shd w:fill="F4F7FB" w:color="auto" w:val="clear"/>
            <w:tcMar>
              <w:top w:type="dxa" w:w="60"/>
              <w:left w:type="dxa" w:w="100"/>
              <w:bottom w:type="dxa" w:w="60"/>
              <w:right w:type="dxa" w:w="100"/>
            </w:tcMar>
          </w:tcPr>
          <w:p>
            <w:pPr>
              <w:spacing w:after="0" w:line="240"/>
              <w:jc w:val="center"/>
            </w:pPr>
            <w:r>
              <w:rPr>
                <w:rFonts w:ascii="Calibri" w:cs="Calibri" w:eastAsia="Calibri" w:hAnsi="Calibri"/>
                <w:b w:val="false"/>
                <w:bCs w:val="false"/>
                <w:sz w:val="19"/>
                <w:szCs w:val="19"/>
              </w:rPr>
              <w:t xml:space="preserve">0.8550</w:t>
            </w:r>
          </w:p>
        </w:tc>
      </w:tr>
      <w:tr>
        <w:tc>
          <w:tcPr>
            <w:tcW w:type="dxa" w:w="4160"/>
            <w:tcMar>
              <w:top w:type="dxa" w:w="60"/>
              <w:left w:type="dxa" w:w="100"/>
              <w:bottom w:type="dxa" w:w="60"/>
              <w:right w:type="dxa" w:w="100"/>
            </w:tcMar>
          </w:tcPr>
          <w:p>
            <w:pPr>
              <w:spacing w:after="0" w:line="240"/>
            </w:pPr>
            <w:r>
              <w:rPr>
                <w:rFonts w:ascii="Calibri" w:cs="Calibri" w:eastAsia="Calibri" w:hAnsi="Calibri"/>
                <w:b w:val="false"/>
                <w:bCs w:val="false"/>
                <w:sz w:val="19"/>
                <w:szCs w:val="19"/>
              </w:rPr>
              <w:t xml:space="preserve">ACI</w:t>
            </w:r>
          </w:p>
        </w:tc>
        <w:tc>
          <w:tcPr>
            <w:tcW w:type="dxa" w:w="2600"/>
            <w:tcMar>
              <w:top w:type="dxa" w:w="60"/>
              <w:left w:type="dxa" w:w="100"/>
              <w:bottom w:type="dxa" w:w="60"/>
              <w:right w:type="dxa" w:w="100"/>
            </w:tcMar>
          </w:tcPr>
          <w:p>
            <w:pPr>
              <w:spacing w:after="0" w:line="240"/>
              <w:jc w:val="center"/>
            </w:pPr>
            <w:r>
              <w:rPr>
                <w:rFonts w:ascii="Calibri" w:cs="Calibri" w:eastAsia="Calibri" w:hAnsi="Calibri"/>
                <w:b w:val="false"/>
                <w:bCs w:val="false"/>
                <w:sz w:val="19"/>
                <w:szCs w:val="19"/>
              </w:rPr>
              <w:t xml:space="preserve">0.0109  (best)</w:t>
            </w:r>
          </w:p>
        </w:tc>
        <w:tc>
          <w:tcPr>
            <w:tcW w:type="dxa" w:w="2600"/>
            <w:tcMar>
              <w:top w:type="dxa" w:w="60"/>
              <w:left w:type="dxa" w:w="100"/>
              <w:bottom w:type="dxa" w:w="60"/>
              <w:right w:type="dxa" w:w="100"/>
            </w:tcMar>
          </w:tcPr>
          <w:p>
            <w:pPr>
              <w:spacing w:after="0" w:line="240"/>
              <w:jc w:val="center"/>
            </w:pPr>
            <w:r>
              <w:rPr>
                <w:rFonts w:ascii="Calibri" w:cs="Calibri" w:eastAsia="Calibri" w:hAnsi="Calibri"/>
                <w:b w:val="false"/>
                <w:bCs w:val="false"/>
                <w:sz w:val="19"/>
                <w:szCs w:val="19"/>
              </w:rPr>
              <w:t xml:space="preserve">0.8006  (worst)</w:t>
            </w:r>
          </w:p>
        </w:tc>
      </w:tr>
    </w:tbl>
    <w:p>
      <w:pPr>
        <w:spacing w:after="120" w:line="276"/>
      </w:pPr>
      <w:r>
        <w:rPr>
          <w:rFonts w:ascii="Calibri" w:cs="Calibri" w:eastAsia="Calibri" w:hAnsi="Calibri"/>
          <w:sz w:val="21"/>
          <w:szCs w:val="21"/>
        </w:rPr>
        <w:t xml:space="preserve">ACI wins marginal calibration and is worst in all six stratum types — year, state, CDHW severity, drought, heat, yield regime — and is the only method below 0.85, in four strata. Four literature-recommended remedies were implemented and all failed: Mondrian (+0.0064 ± 0.0536), EnbPI (PICP 0.6336), asymmetric conformal (−0.0591), bias correction (+0.0140 ± 0.0510). The problem looks structural, consistent with the distribution-free impossibility result.</w:t>
      </w:r>
    </w:p>
    <w:p>
      <w:pPr>
        <w:pStyle w:val="Heading1"/>
        <w:pBdr>
          <w:bottom w:val="single" w:color="1F4E79" w:sz="8" w:space="4"/>
        </w:pBdr>
        <w:spacing w:after="140" w:before="300"/>
      </w:pPr>
      <w:r>
        <w:rPr>
          <w:rFonts w:ascii="Calibri" w:cs="Calibri" w:eastAsia="Calibri" w:hAnsi="Calibri"/>
          <w:b/>
          <w:bCs/>
          <w:color w:val="1F4E79"/>
          <w:sz w:val="26"/>
          <w:szCs w:val="26"/>
        </w:rPr>
        <w:t xml:space="preserve">7.  What must not be claimed</w:t>
      </w:r>
    </w:p>
    <w:p>
      <w:pPr>
        <w:pStyle w:val="ListParagraph"/>
        <w:numPr>
          <w:ilvl w:val="0"/>
          <w:numId w:val="2"/>
        </w:numPr>
        <w:spacing w:after="80" w:line="276"/>
      </w:pPr>
      <w:r>
        <w:rPr>
          <w:rFonts w:ascii="Calibri" w:cs="Calibri" w:eastAsia="Calibri" w:hAnsi="Calibri"/>
          <w:sz w:val="21"/>
          <w:szCs w:val="21"/>
        </w:rPr>
        <w:t xml:space="preserve">Not a five-year holdout. 71% of test rows use a previous test-year yield as a feature — it is a sequential one-year-ahead forecast. Not leakage, but a characterisation that must be stated.</w:t>
      </w:r>
    </w:p>
    <w:p>
      <w:pPr>
        <w:pStyle w:val="ListParagraph"/>
        <w:numPr>
          <w:ilvl w:val="0"/>
          <w:numId w:val="2"/>
        </w:numPr>
        <w:spacing w:after="80" w:line="276"/>
      </w:pPr>
      <w:r>
        <w:rPr>
          <w:rFonts w:ascii="Calibri" w:cs="Calibri" w:eastAsia="Calibri" w:hAnsi="Calibri"/>
          <w:sz w:val="21"/>
          <w:szCs w:val="21"/>
        </w:rPr>
        <w:t xml:space="preserve">Not "NeuralCQR is best." It is last of four point predictors under either temporal basis, and carries blend weight 0.05.</w:t>
      </w:r>
    </w:p>
    <w:p>
      <w:pPr>
        <w:pStyle w:val="ListParagraph"/>
        <w:numPr>
          <w:ilvl w:val="0"/>
          <w:numId w:val="2"/>
        </w:numPr>
        <w:spacing w:after="80" w:line="276"/>
      </w:pPr>
      <w:r>
        <w:rPr>
          <w:rFonts w:ascii="Calibri" w:cs="Calibri" w:eastAsia="Calibri" w:hAnsi="Calibri"/>
          <w:sz w:val="21"/>
          <w:szCs w:val="21"/>
        </w:rPr>
        <w:t xml:space="preserve">Not "CDHW improves prediction." Development data says +0.046; the test window said −0.055. Direction is not established.</w:t>
      </w:r>
    </w:p>
    <w:p>
      <w:pPr>
        <w:pStyle w:val="ListParagraph"/>
        <w:numPr>
          <w:ilvl w:val="0"/>
          <w:numId w:val="2"/>
        </w:numPr>
        <w:spacing w:after="80" w:line="276"/>
      </w:pPr>
      <w:r>
        <w:rPr>
          <w:rFonts w:ascii="Calibri" w:cs="Calibri" w:eastAsia="Calibri" w:hAnsi="Calibri"/>
          <w:sz w:val="21"/>
          <w:szCs w:val="21"/>
        </w:rPr>
        <w:t xml:space="preserve">Not guaranteed coverage. Exchangeability is violated on both axes: lag-1 residual ACF 0.6231, Moran’s I 0.2283. Report empirical coverage.</w:t>
      </w:r>
    </w:p>
    <w:p>
      <w:pPr>
        <w:pStyle w:val="ListParagraph"/>
        <w:numPr>
          <w:ilvl w:val="0"/>
          <w:numId w:val="2"/>
        </w:numPr>
        <w:spacing w:after="80" w:line="276"/>
      </w:pPr>
      <w:r>
        <w:rPr>
          <w:rFonts w:ascii="Calibri" w:cs="Calibri" w:eastAsia="Calibri" w:hAnsi="Calibri"/>
          <w:sz w:val="21"/>
          <w:szCs w:val="21"/>
        </w:rPr>
        <w:t xml:space="preserve">Not consistent SHAP drivers. Cross-model Spearman 0.2274.</w:t>
      </w:r>
    </w:p>
    <w:p>
      <w:pPr>
        <w:pStyle w:val="ListParagraph"/>
        <w:numPr>
          <w:ilvl w:val="0"/>
          <w:numId w:val="2"/>
        </w:numPr>
        <w:spacing w:after="80" w:line="276"/>
      </w:pPr>
      <w:r>
        <w:rPr>
          <w:rFonts w:ascii="Calibri" w:cs="Calibri" w:eastAsia="Calibri" w:hAnsi="Calibri"/>
          <w:sz w:val="21"/>
          <w:szCs w:val="21"/>
        </w:rPr>
        <w:t xml:space="preserve">No causal claims from predictive ablation, and no national generalization from six states.</w:t>
      </w:r>
    </w:p>
    <w:p>
      <w:pPr>
        <w:pStyle w:val="Heading1"/>
        <w:pBdr>
          <w:bottom w:val="single" w:color="1F4E79" w:sz="8" w:space="4"/>
        </w:pBdr>
        <w:spacing w:after="140" w:before="300"/>
      </w:pPr>
      <w:r>
        <w:rPr>
          <w:rFonts w:ascii="Calibri" w:cs="Calibri" w:eastAsia="Calibri" w:hAnsi="Calibri"/>
          <w:b/>
          <w:bCs/>
          <w:color w:val="1F4E79"/>
          <w:sz w:val="26"/>
          <w:szCs w:val="26"/>
        </w:rPr>
        <w:t xml:space="preserve">8.  The methodological through-line</w:t>
      </w:r>
    </w:p>
    <w:p>
      <w:pPr>
        <w:spacing w:after="120" w:line="276"/>
      </w:pPr>
      <w:r>
        <w:rPr>
          <w:rFonts w:ascii="Calibri" w:cs="Calibri" w:eastAsia="Calibri" w:hAnsi="Calibri"/>
          <w:sz w:val="21"/>
          <w:szCs w:val="21"/>
        </w:rPr>
        <w:t xml:space="preserve">Four separate times, a signal on the test window failed to replicate on validation: the Fourier basis, the CDHW contribution, the NeuralCQR hyperparameters, and LightGBM capacity.</w:t>
      </w:r>
    </w:p>
    <w:p>
      <w:pPr>
        <w:spacing w:after="120" w:line="276"/>
      </w:pPr>
      <w:r>
        <w:rPr>
          <w:rFonts w:ascii="Calibri" w:cs="Calibri" w:eastAsia="Calibri" w:hAnsi="Calibri"/>
          <w:b w:val="false"/>
          <w:bCs w:val="false"/>
          <w:sz w:val="21"/>
          <w:szCs w:val="21"/>
        </w:rPr>
        <w:t xml:space="preserve">That is the same failure mode as the paper’s central result, one level up — </w:t>
      </w:r>
      <w:r>
        <w:rPr>
          <w:rFonts w:ascii="Calibri" w:cs="Calibri" w:eastAsia="Calibri" w:hAnsi="Calibri"/>
          <w:b/>
          <w:bCs/>
          <w:sz w:val="21"/>
          <w:szCs w:val="21"/>
        </w:rPr>
        <w:t xml:space="preserve">marginal coverage misranks calibration methods; a single test number misranks modelling choices.</w:t>
      </w:r>
    </w:p>
    <w:p>
      <w:pPr>
        <w:spacing w:after="120" w:line="276"/>
      </w:pPr>
      <w:r>
        <w:rPr>
          <w:rFonts w:ascii="Calibri" w:cs="Calibri" w:eastAsia="Calibri" w:hAnsi="Calibri"/>
          <w:sz w:val="21"/>
          <w:szCs w:val="21"/>
        </w:rPr>
        <w:t xml:space="preserve">Reproducibility is established: two independent runs a day apart produced bit-identical output across feature selection, six LOSO folds, four backbones and five conformal methods.</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2026-09-09T23:58:24.834Z</dcterms:created>
  <dcterms:modified xsi:type="dcterms:W3CDTF">2026-09-09T23:58:24.835Z</dcterms:modified>
</cp:coreProperties>
</file>

<file path=docProps/custom.xml><?xml version="1.0" encoding="utf-8"?>
<Properties xmlns="http://schemas.openxmlformats.org/officeDocument/2006/custom-properties" xmlns:vt="http://schemas.openxmlformats.org/officeDocument/2006/docPropsVTypes"/>
</file>