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A29" w:rsidRDefault="002931FB">
      <w:pPr>
        <w:spacing w:before="1440" w:after="240"/>
        <w:jc w:val="center"/>
      </w:pPr>
      <w:r>
        <w:rPr>
          <w:b/>
          <w:bCs/>
          <w:color w:val="1A2A6C"/>
          <w:sz w:val="56"/>
          <w:szCs w:val="56"/>
        </w:rPr>
        <w:t>Electricity Cost Intelligence Platform</w:t>
      </w:r>
    </w:p>
    <w:p w:rsidR="003E0A29" w:rsidRDefault="002931FB">
      <w:pPr>
        <w:spacing w:after="120"/>
        <w:jc w:val="center"/>
      </w:pPr>
      <w:r>
        <w:rPr>
          <w:color w:val="1A5276"/>
          <w:sz w:val="32"/>
          <w:szCs w:val="32"/>
        </w:rPr>
        <w:t>Production-Grade AI System Blueprint</w:t>
      </w:r>
    </w:p>
    <w:p w:rsidR="003E0A29" w:rsidRDefault="002931FB">
      <w:pPr>
        <w:spacing w:after="480"/>
        <w:jc w:val="center"/>
      </w:pPr>
      <w:r>
        <w:rPr>
          <w:i/>
          <w:iCs/>
          <w:color w:val="555555"/>
        </w:rPr>
        <w:t>Causal Analysis · Time-Series Forecasting · Retail Plan Optimization</w:t>
      </w:r>
    </w:p>
    <w:p w:rsidR="003E0A29" w:rsidRDefault="002931FB">
      <w:r>
        <w:br w:type="page"/>
      </w:r>
    </w:p>
    <w:p w:rsidR="003E0A29" w:rsidRDefault="002931FB">
      <w:pPr>
        <w:pStyle w:val="Heading1"/>
      </w:pPr>
      <w:r>
        <w:lastRenderedPageBreak/>
        <w:t>1. Executive Summary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This document provides a complete technical blueprint for an AI-powered electricity cost intelligence platform. The system addresses six core analytical o</w:t>
      </w:r>
      <w:r w:rsidRPr="00F4698D">
        <w:rPr>
          <w:rFonts w:asciiTheme="minorHAnsi" w:hAnsiTheme="minorHAnsi" w:cstheme="minorHAnsi"/>
          <w:sz w:val="24"/>
          <w:szCs w:val="24"/>
        </w:rPr>
        <w:t>bjectives: bill component impact attribution (with strict causal, not just correlational, analysis), multi-horizon price forecasting, trend and anomaly detection, multi-state benchmarking, retail supply plan evaluation, and regulatory change monitoring.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Th</w:t>
      </w:r>
      <w:r w:rsidRPr="00F4698D">
        <w:rPr>
          <w:rFonts w:asciiTheme="minorHAnsi" w:hAnsiTheme="minorHAnsi" w:cstheme="minorHAnsi"/>
          <w:sz w:val="24"/>
          <w:szCs w:val="24"/>
        </w:rPr>
        <w:t xml:space="preserve">e architecture is decomposed into five horizontally-separated </w:t>
      </w:r>
      <w:r w:rsidR="00F4698D" w:rsidRPr="00F4698D">
        <w:rPr>
          <w:rFonts w:asciiTheme="minorHAnsi" w:hAnsiTheme="minorHAnsi" w:cstheme="minorHAnsi"/>
          <w:sz w:val="24"/>
          <w:szCs w:val="24"/>
        </w:rPr>
        <w:t>layers data</w:t>
      </w:r>
      <w:r w:rsidRPr="00F4698D">
        <w:rPr>
          <w:rFonts w:asciiTheme="minorHAnsi" w:hAnsiTheme="minorHAnsi" w:cstheme="minorHAnsi"/>
          <w:sz w:val="24"/>
          <w:szCs w:val="24"/>
        </w:rPr>
        <w:t xml:space="preserve"> ingestion, storage, ETL/ELT, modeling, and </w:t>
      </w:r>
      <w:r w:rsidR="00F4698D" w:rsidRPr="00F4698D">
        <w:rPr>
          <w:rFonts w:asciiTheme="minorHAnsi" w:hAnsiTheme="minorHAnsi" w:cstheme="minorHAnsi"/>
          <w:sz w:val="24"/>
          <w:szCs w:val="24"/>
        </w:rPr>
        <w:t>serving deployed</w:t>
      </w:r>
      <w:r w:rsidRPr="00F4698D">
        <w:rPr>
          <w:rFonts w:asciiTheme="minorHAnsi" w:hAnsiTheme="minorHAnsi" w:cstheme="minorHAnsi"/>
          <w:sz w:val="24"/>
          <w:szCs w:val="24"/>
        </w:rPr>
        <w:t xml:space="preserve"> on AWS with Terraform-managed infrastructure. Each modeling objective is served by a purpose-built model type: causal </w:t>
      </w:r>
      <w:r w:rsidRPr="00F4698D">
        <w:rPr>
          <w:rFonts w:asciiTheme="minorHAnsi" w:hAnsiTheme="minorHAnsi" w:cstheme="minorHAnsi"/>
          <w:sz w:val="24"/>
          <w:szCs w:val="24"/>
        </w:rPr>
        <w:t>forests and SHAP for attribution, Temporal Fusion Transformer (TFT) for forecasting, k-means clustering for benchmarking, and Monte Carlo simulation for plan evaluation. The system is designed for a 4–</w:t>
      </w:r>
      <w:r w:rsidR="00F4698D" w:rsidRPr="00F4698D">
        <w:rPr>
          <w:rFonts w:asciiTheme="minorHAnsi" w:hAnsiTheme="minorHAnsi" w:cstheme="minorHAnsi"/>
          <w:sz w:val="24"/>
          <w:szCs w:val="24"/>
        </w:rPr>
        <w:t>6-week</w:t>
      </w:r>
      <w:r w:rsidRPr="00F4698D">
        <w:rPr>
          <w:rFonts w:asciiTheme="minorHAnsi" w:hAnsiTheme="minorHAnsi" w:cstheme="minorHAnsi"/>
          <w:sz w:val="24"/>
          <w:szCs w:val="24"/>
        </w:rPr>
        <w:t xml:space="preserve"> MVP path followed by a full production build.</w:t>
      </w:r>
    </w:p>
    <w:p w:rsidR="002B40F3" w:rsidRDefault="002B40F3" w:rsidP="002B40F3"/>
    <w:p w:rsidR="003E0A29" w:rsidRDefault="002931FB" w:rsidP="002B40F3">
      <w:r>
        <w:rPr>
          <w:b/>
          <w:bCs/>
          <w:color w:val="1A2A6C"/>
          <w:sz w:val="32"/>
          <w:szCs w:val="32"/>
        </w:rPr>
        <w:t>2. Problem Context &amp; Delivery Components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New Jersey electricity delivery costs are composed of the following metered components, each subject to independent regulatory and market forces: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 xml:space="preserve">Customer Charge: </w:t>
      </w:r>
      <w:r w:rsidRPr="00F4698D">
        <w:rPr>
          <w:rFonts w:ascii="Calibri" w:hAnsi="Calibri" w:cs="Calibri"/>
          <w:sz w:val="24"/>
          <w:szCs w:val="24"/>
        </w:rPr>
        <w:t>Fixed monthly fee independent of consumption.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>Distri</w:t>
      </w:r>
      <w:r w:rsidRPr="00F4698D">
        <w:rPr>
          <w:rFonts w:ascii="Calibri" w:hAnsi="Calibri" w:cs="Calibri"/>
          <w:b/>
          <w:bCs/>
          <w:sz w:val="24"/>
          <w:szCs w:val="24"/>
        </w:rPr>
        <w:t xml:space="preserve">bution Charge: </w:t>
      </w:r>
      <w:r w:rsidRPr="00F4698D">
        <w:rPr>
          <w:rFonts w:ascii="Calibri" w:hAnsi="Calibri" w:cs="Calibri"/>
          <w:sz w:val="24"/>
          <w:szCs w:val="24"/>
        </w:rPr>
        <w:t>Volumetric kWh-based fee covering wire and distribution infrastructure.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 xml:space="preserve">Transition / Market Transition Charges: </w:t>
      </w:r>
      <w:r w:rsidRPr="00F4698D">
        <w:rPr>
          <w:rFonts w:ascii="Calibri" w:hAnsi="Calibri" w:cs="Calibri"/>
          <w:sz w:val="24"/>
          <w:szCs w:val="24"/>
        </w:rPr>
        <w:t>Stranded cost recovery from legacy supply contracts.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 xml:space="preserve">Societal Benefits Charge (SBC): </w:t>
      </w:r>
      <w:r w:rsidRPr="00F4698D">
        <w:rPr>
          <w:rFonts w:ascii="Calibri" w:hAnsi="Calibri" w:cs="Calibri"/>
          <w:sz w:val="24"/>
          <w:szCs w:val="24"/>
        </w:rPr>
        <w:t xml:space="preserve">Programs including clean energy, low-income </w:t>
      </w:r>
      <w:r w:rsidRPr="00F4698D">
        <w:rPr>
          <w:rFonts w:ascii="Calibri" w:hAnsi="Calibri" w:cs="Calibri"/>
          <w:sz w:val="24"/>
          <w:szCs w:val="24"/>
        </w:rPr>
        <w:t>assistance, and energy efficiency.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 xml:space="preserve">Transmission Charge: </w:t>
      </w:r>
      <w:r w:rsidRPr="00F4698D">
        <w:rPr>
          <w:rFonts w:ascii="Calibri" w:hAnsi="Calibri" w:cs="Calibri"/>
          <w:sz w:val="24"/>
          <w:szCs w:val="24"/>
        </w:rPr>
        <w:t>PJM-administered fee tied to wholesale transmission system costs (RTEP, NITS).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 xml:space="preserve">Rider Charges: </w:t>
      </w:r>
      <w:r w:rsidRPr="00F4698D">
        <w:rPr>
          <w:rFonts w:ascii="Calibri" w:hAnsi="Calibri" w:cs="Calibri"/>
          <w:sz w:val="24"/>
          <w:szCs w:val="24"/>
        </w:rPr>
        <w:t>Program-specific adjustments including GSMP, TRC, and demand response credits.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>Weather Normalization / Bal</w:t>
      </w:r>
      <w:r w:rsidRPr="00F4698D">
        <w:rPr>
          <w:rFonts w:ascii="Calibri" w:hAnsi="Calibri" w:cs="Calibri"/>
          <w:b/>
          <w:bCs/>
          <w:sz w:val="24"/>
          <w:szCs w:val="24"/>
        </w:rPr>
        <w:t xml:space="preserve">ancing Adjustments: </w:t>
      </w:r>
      <w:r w:rsidRPr="00F4698D">
        <w:rPr>
          <w:rFonts w:ascii="Calibri" w:hAnsi="Calibri" w:cs="Calibri"/>
          <w:sz w:val="24"/>
          <w:szCs w:val="24"/>
        </w:rPr>
        <w:t>Symmetrical monthly true-up for temperature-driven demand variance.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The modeling challenge is that these components are correlated in practice (e.g., cold winters drive both weather normalization and higher distribution charges) but hav</w:t>
      </w:r>
      <w:r w:rsidRPr="00F4698D">
        <w:rPr>
          <w:rFonts w:ascii="Calibri" w:hAnsi="Calibri" w:cs="Calibri"/>
          <w:sz w:val="24"/>
          <w:szCs w:val="24"/>
        </w:rPr>
        <w:t>e distinct causal drivers. A naive regression across components conflates correlation with causation. The platform explicitly separates these.</w:t>
      </w:r>
    </w:p>
    <w:p w:rsidR="003E0A29" w:rsidRPr="00F4698D" w:rsidRDefault="002931FB" w:rsidP="00F4698D">
      <w:pPr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br w:type="page"/>
      </w:r>
    </w:p>
    <w:p w:rsidR="003E0A29" w:rsidRDefault="002931FB">
      <w:pPr>
        <w:pStyle w:val="Heading1"/>
      </w:pPr>
      <w:r>
        <w:lastRenderedPageBreak/>
        <w:t>3. System Architecture</w:t>
      </w:r>
    </w:p>
    <w:p w:rsidR="003E0A29" w:rsidRDefault="002931FB">
      <w:pPr>
        <w:pStyle w:val="Heading2"/>
      </w:pPr>
      <w:r>
        <w:t>3.1 End-to-End Data Flow</w:t>
      </w:r>
    </w:p>
    <w:p w:rsidR="003E0A29" w:rsidRPr="00F4698D" w:rsidRDefault="002931FB">
      <w:pPr>
        <w:spacing w:before="80" w:after="8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The architecture follows a strictly layered, unidirectional data flow: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Data Sources → Ingestion Layer (Airflow DAGs + Kafka Streams)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Ingestion → Storage (S3 Data Lake + Snowflake DW + Feast Feature Store)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Storage → ETL/ELT (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dbt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+ Spark feature engineering)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ETL → Modeling Layer (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MLflow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>-tracked experiments)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Modeling → API Layer (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FastAPI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+ Redis cache)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API → Frontend (React dashboards +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Plotly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Dash)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Observability: Prometheus / Grafana + Great Expectations +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MLflow</w:t>
      </w:r>
      <w:proofErr w:type="spellEnd"/>
    </w:p>
    <w:p w:rsidR="003E0A29" w:rsidRDefault="002931FB">
      <w:pPr>
        <w:pStyle w:val="Heading2"/>
      </w:pPr>
      <w:r>
        <w:t>3.2 Ingestion Layer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Two ingestion modes operat</w:t>
      </w:r>
      <w:r w:rsidRPr="00F4698D">
        <w:rPr>
          <w:rFonts w:ascii="Calibri" w:hAnsi="Calibri" w:cs="Calibri"/>
          <w:sz w:val="24"/>
          <w:szCs w:val="24"/>
        </w:rPr>
        <w:t>e in parallel: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>Airflow DAGs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F4698D">
        <w:rPr>
          <w:rFonts w:ascii="Calibri" w:hAnsi="Calibri" w:cs="Calibri"/>
          <w:sz w:val="24"/>
          <w:szCs w:val="24"/>
        </w:rPr>
        <w:t>Batch (Airflow, daily/monthly): EIA tariff filings, BPU regulatory documents, retail plan scrapers, NJ utility billing exports, U.S. state price data from EIA Form 861.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>Kafka Streams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F4698D">
        <w:rPr>
          <w:rFonts w:ascii="Calibri" w:hAnsi="Calibri" w:cs="Calibri"/>
          <w:sz w:val="24"/>
          <w:szCs w:val="24"/>
        </w:rPr>
        <w:t xml:space="preserve">Streaming (Apache Kafka + </w:t>
      </w:r>
      <w:proofErr w:type="spellStart"/>
      <w:r w:rsidRPr="00F4698D">
        <w:rPr>
          <w:rFonts w:ascii="Calibri" w:hAnsi="Calibri" w:cs="Calibri"/>
          <w:sz w:val="24"/>
          <w:szCs w:val="24"/>
        </w:rPr>
        <w:t>Flink</w:t>
      </w:r>
      <w:proofErr w:type="spellEnd"/>
      <w:r w:rsidRPr="00F4698D">
        <w:rPr>
          <w:rFonts w:ascii="Calibri" w:hAnsi="Calibri" w:cs="Calibri"/>
          <w:sz w:val="24"/>
          <w:szCs w:val="24"/>
        </w:rPr>
        <w:t>, 5-minute</w:t>
      </w:r>
      <w:r w:rsidRPr="00F4698D">
        <w:rPr>
          <w:rFonts w:ascii="Calibri" w:hAnsi="Calibri" w:cs="Calibri"/>
          <w:sz w:val="24"/>
          <w:szCs w:val="24"/>
        </w:rPr>
        <w:t xml:space="preserve"> intervals): PJM LMP prices via PJM Data Min</w:t>
      </w:r>
      <w:r w:rsidRPr="00F4698D">
        <w:rPr>
          <w:rFonts w:ascii="Calibri" w:hAnsi="Calibri" w:cs="Calibri"/>
          <w:sz w:val="24"/>
          <w:szCs w:val="24"/>
        </w:rPr>
        <w:t>er 2 API, NOAA weather station feeds, real-time demand signals.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b/>
          <w:bCs/>
          <w:sz w:val="24"/>
          <w:szCs w:val="24"/>
        </w:rPr>
        <w:t>Data Quality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bookmarkStart w:id="0" w:name="_GoBack"/>
      <w:bookmarkEnd w:id="0"/>
      <w:r w:rsidRPr="00F4698D">
        <w:rPr>
          <w:rFonts w:ascii="Calibri" w:hAnsi="Calibri" w:cs="Calibri"/>
          <w:sz w:val="24"/>
          <w:szCs w:val="24"/>
        </w:rPr>
        <w:t>Schema validation at ingestion using Great Expectations. Failed records routed to a DLQ (Dead Letter Queue) in S3 with alerting via P</w:t>
      </w:r>
      <w:r w:rsidRPr="00F4698D">
        <w:rPr>
          <w:rFonts w:ascii="Calibri" w:hAnsi="Calibri" w:cs="Calibri"/>
          <w:sz w:val="24"/>
          <w:szCs w:val="24"/>
        </w:rPr>
        <w:t>agerDuty.</w:t>
      </w:r>
    </w:p>
    <w:p w:rsidR="003E0A29" w:rsidRDefault="002931FB">
      <w:pPr>
        <w:pStyle w:val="Heading2"/>
      </w:pPr>
      <w:r>
        <w:t>3.3 Storage Layer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S3 Data Lake (AWS): </w:t>
      </w:r>
      <w:r w:rsidRPr="00F4698D">
        <w:rPr>
          <w:rFonts w:asciiTheme="minorHAnsi" w:hAnsiTheme="minorHAnsi" w:cstheme="minorHAnsi"/>
          <w:sz w:val="24"/>
          <w:szCs w:val="24"/>
        </w:rPr>
        <w:t>Raw zone (unmodified), curated zone (validated parquet), consumption zone (feature tables). Partitioned by utility/year/month.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Snowflake Data Warehouse: </w:t>
      </w:r>
      <w:r w:rsidRPr="00F4698D">
        <w:rPr>
          <w:rFonts w:asciiTheme="minorHAnsi" w:hAnsiTheme="minorHAnsi" w:cstheme="minorHAnsi"/>
          <w:sz w:val="24"/>
          <w:szCs w:val="24"/>
        </w:rPr>
        <w:t>Aggregate billing tables, component-level cost breakdow</w:t>
      </w:r>
      <w:r w:rsidRPr="00F4698D">
        <w:rPr>
          <w:rFonts w:asciiTheme="minorHAnsi" w:hAnsiTheme="minorHAnsi" w:cstheme="minorHAnsi"/>
          <w:sz w:val="24"/>
          <w:szCs w:val="24"/>
        </w:rPr>
        <w:t xml:space="preserve">ns, benchmark price tables. Used by BI tools and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dbt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>.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Feast Feature Store: </w:t>
      </w:r>
      <w:r w:rsidRPr="00F4698D">
        <w:rPr>
          <w:rFonts w:asciiTheme="minorHAnsi" w:hAnsiTheme="minorHAnsi" w:cstheme="minorHAnsi"/>
          <w:sz w:val="24"/>
          <w:szCs w:val="24"/>
        </w:rPr>
        <w:t>Point-in-time correct feature serving for ML models. Entities: [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customer_id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utility_id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>, date]. Features: rolling HDD/CDD, 12-month lagged prices, component share ratios.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>Redis Cach</w:t>
      </w: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e: </w:t>
      </w:r>
      <w:r w:rsidRPr="00F4698D">
        <w:rPr>
          <w:rFonts w:asciiTheme="minorHAnsi" w:hAnsiTheme="minorHAnsi" w:cstheme="minorHAnsi"/>
          <w:sz w:val="24"/>
          <w:szCs w:val="24"/>
        </w:rPr>
        <w:t>Redis for sub-100ms API response caching (TTL: 1 hour for forecasts, 24 hours for benchmarks).</w:t>
      </w:r>
    </w:p>
    <w:p w:rsidR="003E0A29" w:rsidRDefault="002931FB">
      <w:pPr>
        <w:pStyle w:val="Heading2"/>
      </w:pPr>
      <w:r>
        <w:t>3.4 ETL / ELT Transform Layer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proofErr w:type="spellStart"/>
      <w:r w:rsidRPr="00F4698D">
        <w:rPr>
          <w:rFonts w:asciiTheme="minorHAnsi" w:hAnsiTheme="minorHAnsi" w:cstheme="minorHAnsi"/>
          <w:b/>
          <w:bCs/>
          <w:sz w:val="24"/>
          <w:szCs w:val="24"/>
        </w:rPr>
        <w:t>dbt</w:t>
      </w:r>
      <w:proofErr w:type="spellEnd"/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 (Snowflake-native):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dbt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models normalize raw billing CSVs into a star schema: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fact_bill_components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(one row per bill-month-c</w:t>
      </w:r>
      <w:r w:rsidRPr="00F4698D">
        <w:rPr>
          <w:rFonts w:asciiTheme="minorHAnsi" w:hAnsiTheme="minorHAnsi" w:cstheme="minorHAnsi"/>
          <w:sz w:val="24"/>
          <w:szCs w:val="24"/>
        </w:rPr>
        <w:t xml:space="preserve">omponent),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dim_utility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dim_tariff_period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dim_weather_zone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>.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Apache Spark (EMR):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jobs compute weather features (HDD/CDD rolling windows), price lag features (1, 3, 6, 12 months), component share fractions, and inflation-adjusted per-kWh prices usin</w:t>
      </w:r>
      <w:r w:rsidRPr="00F4698D">
        <w:rPr>
          <w:rFonts w:asciiTheme="minorHAnsi" w:hAnsiTheme="minorHAnsi" w:cstheme="minorHAnsi"/>
          <w:sz w:val="24"/>
          <w:szCs w:val="24"/>
        </w:rPr>
        <w:t>g BLS CPI-U series.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Price Normalization: </w:t>
      </w:r>
      <w:r w:rsidRPr="00F4698D">
        <w:rPr>
          <w:rFonts w:asciiTheme="minorHAnsi" w:hAnsiTheme="minorHAnsi" w:cstheme="minorHAnsi"/>
          <w:sz w:val="24"/>
          <w:szCs w:val="24"/>
        </w:rPr>
        <w:t>All prices normalized to 2024 real dollars using BLS CPI-U. Per-kWh normalization allows cross-state comparability despite tariff structure differences.</w:t>
      </w:r>
    </w:p>
    <w:p w:rsidR="003E0A29" w:rsidRDefault="002931FB">
      <w:pPr>
        <w:pStyle w:val="Heading2"/>
      </w:pPr>
      <w:r>
        <w:t>3.5 Infrastructure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AWS: S3 (data lake), MSK (managed Kafka), E</w:t>
      </w:r>
      <w:r w:rsidRPr="00F4698D">
        <w:rPr>
          <w:rFonts w:asciiTheme="minorHAnsi" w:hAnsiTheme="minorHAnsi" w:cstheme="minorHAnsi"/>
          <w:sz w:val="24"/>
          <w:szCs w:val="24"/>
        </w:rPr>
        <w:t xml:space="preserve">MR (Spark), EKS (model serving), RDS PostgreSQL (Airflow metadata),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ElastiCache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(Redis).</w:t>
      </w:r>
    </w:p>
    <w:p w:rsidR="003E0A29" w:rsidRPr="00F4698D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Terraform for all infrastructure-as-code. GitHub Actions for CI/CD (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dbt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test → model retrain trigger → API deploy).</w:t>
      </w:r>
    </w:p>
    <w:p w:rsidR="003E0A29" w:rsidRDefault="002931FB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  <w:sz w:val="24"/>
          <w:szCs w:val="24"/>
        </w:rPr>
      </w:pPr>
      <w:proofErr w:type="spellStart"/>
      <w:r w:rsidRPr="00F4698D">
        <w:rPr>
          <w:rFonts w:asciiTheme="minorHAnsi" w:hAnsiTheme="minorHAnsi" w:cstheme="minorHAnsi"/>
          <w:sz w:val="24"/>
          <w:szCs w:val="24"/>
        </w:rPr>
        <w:t>MLflow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on EC2 for experiment tracking and model reg</w:t>
      </w:r>
      <w:r w:rsidRPr="00F4698D">
        <w:rPr>
          <w:rFonts w:asciiTheme="minorHAnsi" w:hAnsiTheme="minorHAnsi" w:cstheme="minorHAnsi"/>
          <w:sz w:val="24"/>
          <w:szCs w:val="24"/>
        </w:rPr>
        <w:t>istry. Artifacts stored in S3.</w:t>
      </w:r>
    </w:p>
    <w:p w:rsidR="002B40F3" w:rsidRPr="00F4698D" w:rsidRDefault="002B40F3" w:rsidP="002B40F3">
      <w:pPr>
        <w:pStyle w:val="ListParagraph"/>
        <w:spacing w:before="60" w:after="60"/>
        <w:ind w:left="720"/>
        <w:rPr>
          <w:rFonts w:asciiTheme="minorHAnsi" w:hAnsiTheme="minorHAnsi" w:cstheme="minorHAnsi"/>
          <w:sz w:val="24"/>
          <w:szCs w:val="24"/>
        </w:rPr>
      </w:pPr>
    </w:p>
    <w:p w:rsidR="003E0A29" w:rsidRDefault="002931FB" w:rsidP="002B40F3">
      <w:r>
        <w:rPr>
          <w:b/>
          <w:bCs/>
          <w:color w:val="1A2A6C"/>
          <w:sz w:val="32"/>
          <w:szCs w:val="32"/>
        </w:rPr>
        <w:t>4. Data Requirements</w:t>
      </w:r>
    </w:p>
    <w:p w:rsidR="003E0A29" w:rsidRDefault="002931FB">
      <w:pPr>
        <w:pStyle w:val="Heading2"/>
      </w:pPr>
      <w:r>
        <w:t>4</w:t>
      </w:r>
      <w:r>
        <w:t>.1 Data Source Catalog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2160"/>
      </w:tblGrid>
      <w:tr w:rsidR="003E0A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Granularity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2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Billing component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NJ utility filings (JCP&amp;L, PSE&amp;G, ACE)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Monthly, customer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Customer, distribution, SBC, riders per kWh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OPRA requests may be needed for granular data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PJM LMP prices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PJM Data Miner 2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Hourly, node-level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Day-ahead, real-time, congestion component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Free API, ~2-year history in free tier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Weather (temp, HDD/CDD)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NOAA ISD, NWS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Hourly station-level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Dry-bulb temp, dewpoint, wind, precipitation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Free. Map stations to utility service territories.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U.S. state electricity prices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EIA Form 861, EIA-923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Annual / monthly by state, sector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Avg retail price (¢/kWh) by residential, commercial, industrial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Free. 1990–present. Download via EIA API.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Retail supply plans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NJ BPU Energy Choice site, supplier filings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Monthly plan snapshots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Fixed rate, variable rate, contract length, cancellation terms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Requires web scraping + manual verification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SBC / Rider regulatory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 xml:space="preserve">NJ BPU dockets, FERC </w:t>
            </w:r>
            <w:proofErr w:type="spellStart"/>
            <w:r>
              <w:rPr>
                <w:color w:val="222222"/>
                <w:sz w:val="20"/>
                <w:szCs w:val="20"/>
              </w:rPr>
              <w:t>eTariff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Per docket (irregular)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Effective date, rate change, program 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Manual extraction from PDF dockets. NLP parser recommended.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CPI-U (inflation)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BLS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Monthly series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All-items CPI for price deflation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Free. Required for real price normalization.</w:t>
            </w:r>
          </w:p>
        </w:tc>
      </w:tr>
    </w:tbl>
    <w:p w:rsidR="003E0A29" w:rsidRDefault="002931FB" w:rsidP="002B40F3">
      <w:r>
        <w:br w:type="page"/>
      </w:r>
      <w:r>
        <w:rPr>
          <w:b/>
          <w:bCs/>
          <w:color w:val="1A2A6C"/>
          <w:sz w:val="32"/>
          <w:szCs w:val="32"/>
        </w:rPr>
        <w:lastRenderedPageBreak/>
        <w:t>5. Modeling Strategy</w:t>
      </w:r>
    </w:p>
    <w:p w:rsidR="003E0A29" w:rsidRDefault="002931FB">
      <w:pPr>
        <w:pStyle w:val="Heading2"/>
      </w:pPr>
      <w:r>
        <w:t>5</w:t>
      </w:r>
      <w:r>
        <w:t>A. Bill Impact Model</w:t>
      </w:r>
      <w:r w:rsidR="00F4698D">
        <w:t>:</w:t>
      </w:r>
      <w:r>
        <w:t xml:space="preserve"> Causal Attribution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CRITICAL DESIGN DECISION: The bill impact model explicitly distinguishes causation from correlation. This is not optional </w:t>
      </w:r>
      <w:r w:rsidRPr="00F4698D">
        <w:rPr>
          <w:rFonts w:asciiTheme="minorHAnsi" w:hAnsiTheme="minorHAnsi" w:cstheme="minorHAnsi"/>
          <w:sz w:val="24"/>
          <w:szCs w:val="24"/>
        </w:rPr>
        <w:t>a standard OLS regression across correlated components will give misleading attribution.</w:t>
      </w:r>
    </w:p>
    <w:p w:rsidR="003E0A29" w:rsidRDefault="002931FB">
      <w:pPr>
        <w:pStyle w:val="Heading3"/>
      </w:pPr>
      <w:r>
        <w:t>Stage 1: SHAP Feature Attribution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Train a g</w:t>
      </w:r>
      <w:r w:rsidRPr="00F4698D">
        <w:rPr>
          <w:rFonts w:ascii="Calibri" w:hAnsi="Calibri" w:cs="Calibri"/>
          <w:sz w:val="24"/>
          <w:szCs w:val="24"/>
        </w:rPr>
        <w:t>radient boosting model (</w:t>
      </w:r>
      <w:proofErr w:type="spellStart"/>
      <w:r w:rsidRPr="00F4698D">
        <w:rPr>
          <w:rFonts w:ascii="Calibri" w:hAnsi="Calibri" w:cs="Calibri"/>
          <w:sz w:val="24"/>
          <w:szCs w:val="24"/>
        </w:rPr>
        <w:t>LightGBM</w:t>
      </w:r>
      <w:proofErr w:type="spellEnd"/>
      <w:r w:rsidRPr="00F4698D">
        <w:rPr>
          <w:rFonts w:ascii="Calibri" w:hAnsi="Calibri" w:cs="Calibri"/>
          <w:sz w:val="24"/>
          <w:szCs w:val="24"/>
        </w:rPr>
        <w:t>) on historical bill-component data with total bill as target. Apply SHAP (</w:t>
      </w:r>
      <w:proofErr w:type="spellStart"/>
      <w:r w:rsidRPr="00F4698D">
        <w:rPr>
          <w:rFonts w:ascii="Calibri" w:hAnsi="Calibri" w:cs="Calibri"/>
          <w:sz w:val="24"/>
          <w:szCs w:val="24"/>
        </w:rPr>
        <w:t>SHapley</w:t>
      </w:r>
      <w:proofErr w:type="spellEnd"/>
      <w:r w:rsidRPr="00F4698D">
        <w:rPr>
          <w:rFonts w:ascii="Calibri" w:hAnsi="Calibri" w:cs="Calibri"/>
          <w:sz w:val="24"/>
          <w:szCs w:val="24"/>
        </w:rPr>
        <w:t xml:space="preserve"> Additive </w:t>
      </w:r>
      <w:proofErr w:type="spellStart"/>
      <w:r w:rsidRPr="00F4698D">
        <w:rPr>
          <w:rFonts w:ascii="Calibri" w:hAnsi="Calibri" w:cs="Calibri"/>
          <w:sz w:val="24"/>
          <w:szCs w:val="24"/>
        </w:rPr>
        <w:t>exPlanations</w:t>
      </w:r>
      <w:proofErr w:type="spellEnd"/>
      <w:r w:rsidRPr="00F4698D">
        <w:rPr>
          <w:rFonts w:ascii="Calibri" w:hAnsi="Calibri" w:cs="Calibri"/>
          <w:sz w:val="24"/>
          <w:szCs w:val="24"/>
        </w:rPr>
        <w:t>) to decompose each prediction into per-component contributions. Output: a signed SHAP value per component per month, in</w:t>
      </w:r>
      <w:r w:rsidRPr="00F4698D">
        <w:rPr>
          <w:rFonts w:ascii="Calibri" w:hAnsi="Calibri" w:cs="Calibri"/>
          <w:sz w:val="24"/>
          <w:szCs w:val="24"/>
        </w:rPr>
        <w:t>terpretable as marginal contribution to total bill.</w:t>
      </w:r>
    </w:p>
    <w:p w:rsidR="003E0A29" w:rsidRDefault="002931FB" w:rsidP="00F4698D">
      <w:pPr>
        <w:spacing w:before="80" w:after="80"/>
        <w:jc w:val="both"/>
      </w:pPr>
      <w:r w:rsidRPr="00F4698D">
        <w:rPr>
          <w:rFonts w:ascii="Calibri" w:hAnsi="Calibri" w:cs="Calibri"/>
          <w:sz w:val="24"/>
          <w:szCs w:val="24"/>
        </w:rPr>
        <w:t>Limitation: SHAP attribution is correlational, not causal. Component charges are correlated (PJM transmission costs correlate with wholesale prices which correlate with weather demand). Stage 2 corrects t</w:t>
      </w:r>
      <w:r w:rsidRPr="00F4698D">
        <w:rPr>
          <w:rFonts w:ascii="Calibri" w:hAnsi="Calibri" w:cs="Calibri"/>
          <w:sz w:val="24"/>
          <w:szCs w:val="24"/>
        </w:rPr>
        <w:t>his.</w:t>
      </w:r>
    </w:p>
    <w:p w:rsidR="003E0A29" w:rsidRDefault="002931FB">
      <w:pPr>
        <w:pStyle w:val="Heading3"/>
      </w:pPr>
      <w:r>
        <w:t>Stage 2: Causal Inference (</w:t>
      </w:r>
      <w:proofErr w:type="spellStart"/>
      <w:r>
        <w:t>DoWhy</w:t>
      </w:r>
      <w:proofErr w:type="spellEnd"/>
      <w:r>
        <w:t xml:space="preserve"> + </w:t>
      </w:r>
      <w:proofErr w:type="spellStart"/>
      <w:r>
        <w:t>EconML</w:t>
      </w:r>
      <w:proofErr w:type="spellEnd"/>
      <w:r>
        <w:t>)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 xml:space="preserve">Use </w:t>
      </w:r>
      <w:proofErr w:type="spellStart"/>
      <w:r w:rsidRPr="00F4698D">
        <w:rPr>
          <w:rFonts w:ascii="Calibri" w:hAnsi="Calibri" w:cs="Calibri"/>
          <w:sz w:val="24"/>
          <w:szCs w:val="24"/>
        </w:rPr>
        <w:t>DoWhy</w:t>
      </w:r>
      <w:proofErr w:type="spellEnd"/>
      <w:r w:rsidRPr="00F4698D">
        <w:rPr>
          <w:rFonts w:ascii="Calibri" w:hAnsi="Calibri" w:cs="Calibri"/>
          <w:sz w:val="24"/>
          <w:szCs w:val="24"/>
        </w:rPr>
        <w:t xml:space="preserve"> (Microsoft) to formalize the causal graph: Weather → Demand → Wholesale Price → Transmission Charge → Total Bill, with SBC and Customer Charge as structural (policy-set) variables with no endogenous</w:t>
      </w:r>
      <w:r w:rsidRPr="00F4698D">
        <w:rPr>
          <w:rFonts w:ascii="Calibri" w:hAnsi="Calibri" w:cs="Calibri"/>
          <w:sz w:val="24"/>
          <w:szCs w:val="24"/>
        </w:rPr>
        <w:t xml:space="preserve"> path. Apply Causal Forests (</w:t>
      </w:r>
      <w:proofErr w:type="spellStart"/>
      <w:r w:rsidRPr="00F4698D">
        <w:rPr>
          <w:rFonts w:ascii="Calibri" w:hAnsi="Calibri" w:cs="Calibri"/>
          <w:sz w:val="24"/>
          <w:szCs w:val="24"/>
        </w:rPr>
        <w:t>EconML</w:t>
      </w:r>
      <w:proofErr w:type="spellEnd"/>
      <w:r w:rsidRPr="00F4698D">
        <w:rPr>
          <w:rFonts w:ascii="Calibri" w:hAnsi="Calibri" w:cs="Calibri"/>
          <w:sz w:val="24"/>
          <w:szCs w:val="24"/>
        </w:rPr>
        <w:t>) to estimate heterogeneous treatment effects: 'If distribution charge increased by $0.01/kWh, what is the isolated effect on total bill, controlling for weather and wholesale price confounders?'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Robustness checks: sensit</w:t>
      </w:r>
      <w:r w:rsidRPr="00F4698D">
        <w:rPr>
          <w:rFonts w:ascii="Calibri" w:hAnsi="Calibri" w:cs="Calibri"/>
          <w:sz w:val="24"/>
          <w:szCs w:val="24"/>
        </w:rPr>
        <w:t>ivity analysis (Rosenbaum bounds), placebo tests on non-causal paths, cross-validation of counterfactual estimates.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Output: per-component Average Treatment Effect (ATE) and distribution of Individual Treatment Effects (ITE) segmented by usage tier, season,</w:t>
      </w:r>
      <w:r w:rsidRPr="00F4698D">
        <w:rPr>
          <w:rFonts w:ascii="Calibri" w:hAnsi="Calibri" w:cs="Calibri"/>
          <w:sz w:val="24"/>
          <w:szCs w:val="24"/>
        </w:rPr>
        <w:t xml:space="preserve"> and customer class.</w:t>
      </w:r>
    </w:p>
    <w:p w:rsidR="003E0A29" w:rsidRDefault="002931FB">
      <w:pPr>
        <w:pStyle w:val="Heading2"/>
      </w:pPr>
      <w:r>
        <w:t>5B. Forecasting Model</w:t>
      </w:r>
    </w:p>
    <w:p w:rsidR="003E0A29" w:rsidRDefault="002931FB">
      <w:pPr>
        <w:spacing w:before="80" w:after="80"/>
      </w:pPr>
      <w:r>
        <w:t>Three model classes are evaluated and compared on a rolling 12-month holdout:</w:t>
      </w:r>
    </w:p>
    <w:p w:rsidR="003E0A29" w:rsidRDefault="002931FB">
      <w:pPr>
        <w:pStyle w:val="Heading3"/>
      </w:pPr>
      <w:r>
        <w:t>SARIMA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Baseline. Interpretable, fast. Appropriate for monthly aggregated data with clear seasonality. Limitation: cannot incorporate multivariate exogenous signals beyond SARIMAX extension.</w:t>
      </w:r>
    </w:p>
    <w:p w:rsidR="003E0A29" w:rsidRDefault="002931FB">
      <w:pPr>
        <w:pStyle w:val="Heading3"/>
      </w:pPr>
      <w:r>
        <w:t>Prophet (Meta)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 xml:space="preserve">Handles multiple </w:t>
      </w:r>
      <w:proofErr w:type="spellStart"/>
      <w:r w:rsidRPr="00F4698D">
        <w:rPr>
          <w:rFonts w:ascii="Calibri" w:hAnsi="Calibri" w:cs="Calibri"/>
          <w:sz w:val="24"/>
          <w:szCs w:val="24"/>
        </w:rPr>
        <w:t>seasonalities</w:t>
      </w:r>
      <w:proofErr w:type="spellEnd"/>
      <w:r w:rsidRPr="00F4698D">
        <w:rPr>
          <w:rFonts w:ascii="Calibri" w:hAnsi="Calibri" w:cs="Calibri"/>
          <w:sz w:val="24"/>
          <w:szCs w:val="24"/>
        </w:rPr>
        <w:t xml:space="preserve"> (monthly, annual, holiday e</w:t>
      </w:r>
      <w:r w:rsidRPr="00F4698D">
        <w:rPr>
          <w:rFonts w:ascii="Calibri" w:hAnsi="Calibri" w:cs="Calibri"/>
          <w:sz w:val="24"/>
          <w:szCs w:val="24"/>
        </w:rPr>
        <w:t>ffects) with built-in uncertainty intervals. Add regressors: HDD, CDD, PJM day-ahead price, industrial production index. Fast to iterate. Well-suited for monthly/weekly billing data. Known limitation: underperforms on high-frequency or structurally-changin</w:t>
      </w:r>
      <w:r w:rsidRPr="00F4698D">
        <w:rPr>
          <w:rFonts w:ascii="Calibri" w:hAnsi="Calibri" w:cs="Calibri"/>
          <w:sz w:val="24"/>
          <w:szCs w:val="24"/>
        </w:rPr>
        <w:t>g series.</w:t>
      </w:r>
    </w:p>
    <w:p w:rsidR="003E0A29" w:rsidRDefault="002931FB">
      <w:pPr>
        <w:pStyle w:val="Heading3"/>
      </w:pPr>
      <w:r>
        <w:t>Temporal Fusion Transformer (TFT) — Recommended for Production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Handles multiple entities (utilities), multi-horizon forecasting, and mixed-frequency inputs. Static covariates: utility ID, state, tariff class. Time-varying known inputs: HDD/CDD fo</w:t>
      </w:r>
      <w:r w:rsidRPr="00F4698D">
        <w:rPr>
          <w:rFonts w:ascii="Calibri" w:hAnsi="Calibri" w:cs="Calibri"/>
          <w:sz w:val="24"/>
          <w:szCs w:val="24"/>
        </w:rPr>
        <w:t xml:space="preserve">recast, PJM </w:t>
      </w:r>
      <w:r w:rsidRPr="00F4698D">
        <w:rPr>
          <w:rFonts w:ascii="Calibri" w:hAnsi="Calibri" w:cs="Calibri"/>
          <w:sz w:val="24"/>
          <w:szCs w:val="24"/>
        </w:rPr>
        <w:lastRenderedPageBreak/>
        <w:t xml:space="preserve">forward prices, calendar features. Time-varying observed inputs: lagged prices, component charges. Output: 12-month point forecast with P10/P50/P90 quantile bands. Train with </w:t>
      </w:r>
      <w:proofErr w:type="spellStart"/>
      <w:r w:rsidRPr="00F4698D">
        <w:rPr>
          <w:rFonts w:ascii="Calibri" w:hAnsi="Calibri" w:cs="Calibri"/>
          <w:sz w:val="24"/>
          <w:szCs w:val="24"/>
        </w:rPr>
        <w:t>PyTorch</w:t>
      </w:r>
      <w:proofErr w:type="spellEnd"/>
      <w:r w:rsidRPr="00F4698D">
        <w:rPr>
          <w:rFonts w:ascii="Calibri" w:hAnsi="Calibri" w:cs="Calibri"/>
          <w:sz w:val="24"/>
          <w:szCs w:val="24"/>
        </w:rPr>
        <w:t xml:space="preserve"> Forecasting library on GPU (p3.2xlarge).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Evaluation: RMSE (ab</w:t>
      </w:r>
      <w:r w:rsidRPr="00F4698D">
        <w:rPr>
          <w:rFonts w:ascii="Calibri" w:hAnsi="Calibri" w:cs="Calibri"/>
          <w:sz w:val="24"/>
          <w:szCs w:val="24"/>
        </w:rPr>
        <w:t>solute scale), MAPE (percentage scale), Coverage (% of actuals within P10–P90 band, target ≥80%), WAPE for weighted accuracy.</w:t>
      </w:r>
    </w:p>
    <w:p w:rsidR="003E0A29" w:rsidRDefault="002931FB">
      <w:pPr>
        <w:pStyle w:val="Heading2"/>
      </w:pPr>
      <w:r>
        <w:t>5C. Trend &amp; Anomaly Detection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Seasonal-Trend decomposition via LOESS (STL) to isolate trend, seasonal, and residual components for</w:t>
      </w:r>
      <w:r w:rsidRPr="00F4698D">
        <w:rPr>
          <w:rFonts w:ascii="Calibri" w:hAnsi="Calibri" w:cs="Calibri"/>
          <w:sz w:val="24"/>
          <w:szCs w:val="24"/>
        </w:rPr>
        <w:t xml:space="preserve"> each delivery charge over time.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BOCPD (Bayesian Online Change Point Detection) for structural breaks. Trigger: NJ BPU rate case approvals, PJM capacity auction results, legislation.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Isolation Forest on residuals for anomaly flagging (e.g., billing errors,</w:t>
      </w:r>
      <w:r w:rsidRPr="00F4698D">
        <w:rPr>
          <w:rFonts w:ascii="Calibri" w:hAnsi="Calibri" w:cs="Calibri"/>
          <w:sz w:val="24"/>
          <w:szCs w:val="24"/>
        </w:rPr>
        <w:t xml:space="preserve"> extreme weather normalization reversals). Threshold: top 1% of anomaly scores triggers human review queue.</w:t>
      </w:r>
    </w:p>
    <w:p w:rsidR="003E0A29" w:rsidRDefault="002931FB">
      <w:pPr>
        <w:pStyle w:val="Heading2"/>
      </w:pPr>
      <w:r>
        <w:t>5D. Benchmarking Model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U.S. state-level price data from EIA normalized to real 2024 ¢/kWh (CPI-deflated). NJ utility prices disaggregated by compone</w:t>
      </w:r>
      <w:r w:rsidRPr="00F4698D">
        <w:rPr>
          <w:rFonts w:ascii="Calibri" w:hAnsi="Calibri" w:cs="Calibri"/>
          <w:sz w:val="24"/>
          <w:szCs w:val="24"/>
        </w:rPr>
        <w:t>nt and compared against Mid-Atlantic peer states (PA, NY, CT, MD, DE) and national averages.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k-means clustering (k=5–8, elbow method) on features: avg residential rate, rate volatility (standard deviation over 5 years), renewable portfolio standard stringe</w:t>
      </w:r>
      <w:r w:rsidRPr="00F4698D">
        <w:rPr>
          <w:rFonts w:ascii="Calibri" w:hAnsi="Calibri" w:cs="Calibri"/>
          <w:sz w:val="24"/>
          <w:szCs w:val="24"/>
        </w:rPr>
        <w:t>ncy, transmission cost share. Labels clusters: low-cost/stable, high-cost/volatile, regulated-low, deregulated-high, etc.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 xml:space="preserve">NJ-specific drill-down: Compare JCP&amp;L, PSE&amp;G, and ACE component-level charges against each other and against ISO-NE and MISO averages </w:t>
      </w:r>
      <w:r w:rsidRPr="00F4698D">
        <w:rPr>
          <w:rFonts w:ascii="Calibri" w:hAnsi="Calibri" w:cs="Calibri"/>
          <w:sz w:val="24"/>
          <w:szCs w:val="24"/>
        </w:rPr>
        <w:t>as external reference.</w:t>
      </w:r>
    </w:p>
    <w:p w:rsidR="003E0A29" w:rsidRDefault="002931FB">
      <w:pPr>
        <w:pStyle w:val="Heading2"/>
      </w:pPr>
      <w:r>
        <w:t>5E. Retail Plan Evaluation Model</w:t>
      </w:r>
    </w:p>
    <w:p w:rsidR="003E0A29" w:rsidRPr="00F4698D" w:rsidRDefault="002931FB" w:rsidP="00F4698D">
      <w:p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F4698D">
        <w:rPr>
          <w:rFonts w:ascii="Calibri" w:hAnsi="Calibri" w:cs="Calibri"/>
          <w:sz w:val="24"/>
          <w:szCs w:val="24"/>
        </w:rPr>
        <w:t>Model objective: Simulate the expected 12-month total cost under fixed-rate vs variable-rate retail supply plans, accounting for forecast uncertainty.</w:t>
      </w:r>
    </w:p>
    <w:p w:rsidR="003E0A29" w:rsidRDefault="002931FB">
      <w:pPr>
        <w:pStyle w:val="Heading3"/>
      </w:pPr>
      <w:r>
        <w:t>Monte Carlo Simulation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Input: 12-month TFT price forecast (P10/P50/P90), customer usage profile (monthly kWh by month from billing history), retail plan terms (fixed rate, variable rate with floor/ceiling, contract length, cancellation fee). Simulation: 10,000 draws from the for</w:t>
      </w:r>
      <w:r w:rsidRPr="00F4698D">
        <w:rPr>
          <w:rFonts w:asciiTheme="minorHAnsi" w:hAnsiTheme="minorHAnsi" w:cstheme="minorHAnsi"/>
          <w:sz w:val="24"/>
          <w:szCs w:val="24"/>
        </w:rPr>
        <w:t>ecast distribution. Compute total supply cost under each plan per draw. Output: expected savings distribution, probability that fixed plan beats variable, break-even usage scenarios.</w:t>
      </w:r>
    </w:p>
    <w:p w:rsidR="003E0A29" w:rsidRDefault="002931FB">
      <w:pPr>
        <w:pStyle w:val="Heading3"/>
      </w:pPr>
      <w:r>
        <w:t>Scenario-Based Evaluation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Scenarios: price spike (winter 2023-24 analog),</w:t>
      </w:r>
      <w:r w:rsidRPr="00F4698D">
        <w:rPr>
          <w:rFonts w:asciiTheme="minorHAnsi" w:hAnsiTheme="minorHAnsi" w:cstheme="minorHAnsi"/>
          <w:sz w:val="24"/>
          <w:szCs w:val="24"/>
        </w:rPr>
        <w:t xml:space="preserve"> mild year, regulatory SBC increase (+20%). Each scenario maps to a different quantile draw from the forecast. Display as fan chart: fixed-rate flat line vs variable-rate with scenario bands.</w:t>
      </w:r>
    </w:p>
    <w:p w:rsidR="003E0A29" w:rsidRDefault="002931FB">
      <w:r>
        <w:br w:type="page"/>
      </w:r>
    </w:p>
    <w:p w:rsidR="003E0A29" w:rsidRDefault="002931FB">
      <w:pPr>
        <w:pStyle w:val="Heading1"/>
      </w:pPr>
      <w:r>
        <w:lastRenderedPageBreak/>
        <w:t>6. API Layer</w:t>
      </w:r>
    </w:p>
    <w:p w:rsidR="003E0A29" w:rsidRDefault="002931FB">
      <w:pPr>
        <w:spacing w:before="80" w:after="80"/>
      </w:pPr>
      <w:r>
        <w:t xml:space="preserve">All model outputs are served via a </w:t>
      </w:r>
      <w:proofErr w:type="spellStart"/>
      <w:r>
        <w:t>FastAPI</w:t>
      </w:r>
      <w:proofErr w:type="spellEnd"/>
      <w:r>
        <w:t xml:space="preserve"> applic</w:t>
      </w:r>
      <w:r>
        <w:t>ation deployed on AWS EKS. Redis caches responses with TTLs configured per endpoint volatility.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800"/>
        <w:gridCol w:w="1800"/>
        <w:gridCol w:w="3420"/>
      </w:tblGrid>
      <w:tr w:rsidR="003E0A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Cache TTL</w:t>
            </w:r>
          </w:p>
        </w:tc>
        <w:tc>
          <w:tcPr>
            <w:tcW w:w="34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POST /bill-impact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1 hour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SHAP values + ATE per component as JSON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GET /forecast/{</w:t>
            </w:r>
            <w:proofErr w:type="spellStart"/>
            <w:r>
              <w:rPr>
                <w:color w:val="222222"/>
                <w:sz w:val="20"/>
                <w:szCs w:val="20"/>
              </w:rPr>
              <w:t>utility_id</w:t>
            </w:r>
            <w:proofErr w:type="spellEnd"/>
            <w:r>
              <w:rPr>
                <w:color w:val="222222"/>
                <w:sz w:val="20"/>
                <w:szCs w:val="20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6 hours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12-month forecast with P10/P50/P90 bands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GET /benchmark/{state}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24 hours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Per-kWh price, cluster label, percentile rank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POST /plan-compare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None (live)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Monte Carlo distribution over 12-month cost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GET /anomalies/{</w:t>
            </w:r>
            <w:proofErr w:type="spellStart"/>
            <w:r>
              <w:rPr>
                <w:color w:val="222222"/>
                <w:sz w:val="20"/>
                <w:szCs w:val="20"/>
              </w:rPr>
              <w:t>utility_id</w:t>
            </w:r>
            <w:proofErr w:type="spellEnd"/>
            <w:r>
              <w:rPr>
                <w:color w:val="222222"/>
                <w:sz w:val="20"/>
                <w:szCs w:val="20"/>
              </w:rPr>
              <w:t>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1 hour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Flagged anomaly months with Isolation Forest score</w:t>
            </w:r>
          </w:p>
        </w:tc>
      </w:tr>
    </w:tbl>
    <w:p w:rsidR="003E0A29" w:rsidRDefault="002931FB">
      <w:r>
        <w:br w:type="page"/>
      </w:r>
    </w:p>
    <w:p w:rsidR="003E0A29" w:rsidRDefault="002931FB">
      <w:pPr>
        <w:pStyle w:val="Heading1"/>
      </w:pPr>
      <w:r>
        <w:lastRenderedPageBreak/>
        <w:t>7. Analytics &amp; Visualization</w:t>
      </w:r>
    </w:p>
    <w:p w:rsidR="003E0A29" w:rsidRDefault="002931FB">
      <w:pPr>
        <w:pStyle w:val="Heading2"/>
      </w:pPr>
      <w:r>
        <w:t>7.1 Dashboard Modules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Bill Component Breakdown: </w:t>
      </w:r>
      <w:r w:rsidRPr="00F4698D">
        <w:rPr>
          <w:rFonts w:asciiTheme="minorHAnsi" w:hAnsiTheme="minorHAnsi" w:cstheme="minorHAnsi"/>
          <w:sz w:val="24"/>
          <w:szCs w:val="24"/>
        </w:rPr>
        <w:t xml:space="preserve">Waterfall chart decomposing total bill into per-component contributions. SHAP values visualized as a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Plotly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waterfall. Toggle between nominal and real (CPI-adjusted) values. Drill down by customer class.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Forecast vs Actual: </w:t>
      </w:r>
      <w:r w:rsidRPr="00F4698D">
        <w:rPr>
          <w:rFonts w:asciiTheme="minorHAnsi" w:hAnsiTheme="minorHAnsi" w:cstheme="minorHAnsi"/>
          <w:sz w:val="24"/>
          <w:szCs w:val="24"/>
        </w:rPr>
        <w:t>Line chart: TFT 12-month forecas</w:t>
      </w:r>
      <w:r w:rsidRPr="00F4698D">
        <w:rPr>
          <w:rFonts w:asciiTheme="minorHAnsi" w:hAnsiTheme="minorHAnsi" w:cstheme="minorHAnsi"/>
          <w:sz w:val="24"/>
          <w:szCs w:val="24"/>
        </w:rPr>
        <w:t>t vs actuals. Shaded P10–P90 uncertainty band. Highlighted change points (vertical dashed lines). Retrain trigger indicator.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U.S. / NJ Benchmark Map: </w:t>
      </w:r>
      <w:r w:rsidRPr="00F4698D">
        <w:rPr>
          <w:rFonts w:asciiTheme="minorHAnsi" w:hAnsiTheme="minorHAnsi" w:cstheme="minorHAnsi"/>
          <w:sz w:val="24"/>
          <w:szCs w:val="24"/>
        </w:rPr>
        <w:t>D3 choropleth: U.S. state ¢/kWh heatmap. NJ zoom panel with JCP&amp;L/PSE&amp;G/ACE breakdown. Cluster overlay (co</w:t>
      </w:r>
      <w:r w:rsidRPr="00F4698D">
        <w:rPr>
          <w:rFonts w:asciiTheme="minorHAnsi" w:hAnsiTheme="minorHAnsi" w:cstheme="minorHAnsi"/>
          <w:sz w:val="24"/>
          <w:szCs w:val="24"/>
        </w:rPr>
        <w:t>lor by k-means label). Year slider for historical comparison.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Retail Plan Simulator: </w:t>
      </w:r>
      <w:r w:rsidRPr="00F4698D">
        <w:rPr>
          <w:rFonts w:asciiTheme="minorHAnsi" w:hAnsiTheme="minorHAnsi" w:cstheme="minorHAnsi"/>
          <w:sz w:val="24"/>
          <w:szCs w:val="24"/>
        </w:rPr>
        <w:t>Interactive simulator: input monthly usage profile, select fixed vs variable plan, run Monte Carlo. Output: savings distribution histogram, probability of savings, break-e</w:t>
      </w:r>
      <w:r w:rsidRPr="00F4698D">
        <w:rPr>
          <w:rFonts w:asciiTheme="minorHAnsi" w:hAnsiTheme="minorHAnsi" w:cstheme="minorHAnsi"/>
          <w:sz w:val="24"/>
          <w:szCs w:val="24"/>
        </w:rPr>
        <w:t>ven chart.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b/>
          <w:bCs/>
          <w:sz w:val="24"/>
          <w:szCs w:val="24"/>
        </w:rPr>
        <w:t xml:space="preserve">Regulatory Event Timeline: </w:t>
      </w:r>
      <w:r w:rsidRPr="00F4698D">
        <w:rPr>
          <w:rFonts w:asciiTheme="minorHAnsi" w:hAnsiTheme="minorHAnsi" w:cstheme="minorHAnsi"/>
          <w:sz w:val="24"/>
          <w:szCs w:val="24"/>
        </w:rPr>
        <w:t>Timeline of regulatory changes (SBC updates, rider adjustments, rate case decisions) overlaid on price trend. Sourced from parsed BPU dockets.</w:t>
      </w:r>
    </w:p>
    <w:p w:rsidR="003E0A29" w:rsidRDefault="002931FB">
      <w:pPr>
        <w:pStyle w:val="Heading2"/>
      </w:pPr>
      <w:r>
        <w:t>7.2 Tooling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React (TypeScript) SPA with Plotly.js for interactive charts an</w:t>
      </w:r>
      <w:r w:rsidRPr="00F4698D">
        <w:rPr>
          <w:rFonts w:asciiTheme="minorHAnsi" w:hAnsiTheme="minorHAnsi" w:cstheme="minorHAnsi"/>
          <w:sz w:val="24"/>
          <w:szCs w:val="24"/>
        </w:rPr>
        <w:t>d D3.js for choropleth maps.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Plotly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Dash for rapid internal analyst dashboards before full React build.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F4698D">
        <w:rPr>
          <w:rFonts w:asciiTheme="minorHAnsi" w:hAnsiTheme="minorHAnsi" w:cstheme="minorHAnsi"/>
          <w:sz w:val="24"/>
          <w:szCs w:val="24"/>
        </w:rPr>
        <w:t>Highcharts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or Apache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ECharts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as alternatives for large dataset performance.</w:t>
      </w:r>
    </w:p>
    <w:p w:rsidR="003E0A29" w:rsidRDefault="002931FB">
      <w:r>
        <w:br w:type="page"/>
      </w:r>
    </w:p>
    <w:p w:rsidR="003E0A29" w:rsidRDefault="002931FB">
      <w:pPr>
        <w:pStyle w:val="Heading1"/>
      </w:pPr>
      <w:r>
        <w:lastRenderedPageBreak/>
        <w:t>8.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E0A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Forecasting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MAPE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&lt; 5% on monthly, &lt; 10% on 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Rolling 12-month holdout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Forecasting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Coverage (P10–P90)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&gt;= 80%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proofErr w:type="spellStart"/>
            <w:r>
              <w:rPr>
                <w:color w:val="222222"/>
                <w:sz w:val="20"/>
                <w:szCs w:val="20"/>
              </w:rPr>
              <w:t>Backtested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on 3 years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Causal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Rosenbaum bounds sensitivity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Gamma &gt; 1.5 (robust to hidden confounders)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proofErr w:type="spellStart"/>
            <w:r>
              <w:rPr>
                <w:color w:val="222222"/>
                <w:sz w:val="20"/>
                <w:szCs w:val="20"/>
              </w:rPr>
              <w:t>rbounds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package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Causal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Placebo test p-value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&gt; 0.05 (no false causal effects)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Randomized component permutation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Plan evaluation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MC cost estimation error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Within 3% of realized cost (</w:t>
            </w:r>
            <w:proofErr w:type="spellStart"/>
            <w:r>
              <w:rPr>
                <w:color w:val="222222"/>
                <w:sz w:val="20"/>
                <w:szCs w:val="20"/>
              </w:rPr>
              <w:t>backtest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Historical plan simulation</w:t>
            </w:r>
          </w:p>
        </w:tc>
      </w:tr>
      <w:tr w:rsidR="003E0A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Anomaly detection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Precision @ k=20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&gt; 85%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0A29" w:rsidRDefault="002931FB">
            <w:r>
              <w:rPr>
                <w:color w:val="222222"/>
                <w:sz w:val="20"/>
                <w:szCs w:val="20"/>
              </w:rPr>
              <w:t>Labeled anomaly audit sample</w:t>
            </w:r>
          </w:p>
        </w:tc>
      </w:tr>
    </w:tbl>
    <w:p w:rsidR="002B40F3" w:rsidRDefault="002B40F3" w:rsidP="002B40F3">
      <w:pPr>
        <w:rPr>
          <w:b/>
          <w:bCs/>
          <w:color w:val="1A2A6C"/>
          <w:sz w:val="32"/>
          <w:szCs w:val="32"/>
        </w:rPr>
      </w:pPr>
    </w:p>
    <w:p w:rsidR="003E0A29" w:rsidRDefault="002931FB" w:rsidP="002B40F3">
      <w:r>
        <w:rPr>
          <w:b/>
          <w:bCs/>
          <w:color w:val="1A2A6C"/>
          <w:sz w:val="32"/>
          <w:szCs w:val="32"/>
        </w:rPr>
        <w:t>9. Risks &amp; Limitations</w:t>
      </w:r>
    </w:p>
    <w:p w:rsidR="003E0A29" w:rsidRDefault="002931FB">
      <w:pPr>
        <w:pStyle w:val="Heading2"/>
      </w:pPr>
      <w:r>
        <w:t>9</w:t>
      </w:r>
      <w:r>
        <w:t>.1 Data Availability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CRITICAL UNREALISTIC ASSUMPTION TO AVOID: Do not assume customer-level granular billing data is freely accessible. NJ utilities provide aggregated tariff class data publicly; customer-level data requires a data </w:t>
      </w:r>
      <w:r w:rsidRPr="00F4698D">
        <w:rPr>
          <w:rFonts w:asciiTheme="minorHAnsi" w:hAnsiTheme="minorHAnsi" w:cstheme="minorHAnsi"/>
          <w:sz w:val="24"/>
          <w:szCs w:val="24"/>
        </w:rPr>
        <w:t>sharing agreement or OPRA request. Design the system around tariff class aggregates as the default, with customer-level as an optional enrichment tier.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PJM LMP data is available but has a 5-minute resolution. Mapping hourly LMP to monthly billing requires </w:t>
      </w:r>
      <w:r w:rsidRPr="00F4698D">
        <w:rPr>
          <w:rFonts w:asciiTheme="minorHAnsi" w:hAnsiTheme="minorHAnsi" w:cstheme="minorHAnsi"/>
          <w:sz w:val="24"/>
          <w:szCs w:val="24"/>
        </w:rPr>
        <w:t>careful aggregation methodology</w:t>
      </w:r>
      <w:r w:rsidRPr="00F4698D">
        <w:rPr>
          <w:rFonts w:asciiTheme="minorHAnsi" w:hAnsiTheme="minorHAnsi" w:cstheme="minorHAnsi"/>
          <w:sz w:val="24"/>
          <w:szCs w:val="24"/>
        </w:rPr>
        <w:t xml:space="preserve"> simple monthly average ignores peak coincidence factors.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Retail supply plan rate archives are not maintained systematically. Historical variable rates require manual collection from supplier invoices or state energy choice</w:t>
      </w:r>
      <w:r w:rsidRPr="00F4698D">
        <w:rPr>
          <w:rFonts w:asciiTheme="minorHAnsi" w:hAnsiTheme="minorHAnsi" w:cstheme="minorHAnsi"/>
          <w:sz w:val="24"/>
          <w:szCs w:val="24"/>
        </w:rPr>
        <w:t xml:space="preserve"> websites. This is the most significant data gap.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BPU regulatory documents are PDFs. An NLP extraction pipeline (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pdfplumber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spaCy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>) is needed to parse effective dates and rate values. Error rate ~5–10% requiring human QA.</w:t>
      </w:r>
    </w:p>
    <w:p w:rsidR="003E0A29" w:rsidRDefault="002931FB">
      <w:pPr>
        <w:pStyle w:val="Heading2"/>
      </w:pPr>
      <w:r>
        <w:t>9.2 Regulatory Changes</w:t>
      </w:r>
    </w:p>
    <w:p w:rsidR="003E0A29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NJ BPU rat</w:t>
      </w:r>
      <w:r w:rsidRPr="00F4698D">
        <w:rPr>
          <w:rFonts w:asciiTheme="minorHAnsi" w:hAnsiTheme="minorHAnsi" w:cstheme="minorHAnsi"/>
          <w:sz w:val="24"/>
          <w:szCs w:val="24"/>
        </w:rPr>
        <w:t>e cases can change the structure of tariff components mid-year, breaking time-series stationarity. Mitigation: BOCPD detects structural breaks; models are retrained within 5 business days of a rate case effective date. A regulatory change log table in Snow</w:t>
      </w:r>
      <w:r w:rsidRPr="00F4698D">
        <w:rPr>
          <w:rFonts w:asciiTheme="minorHAnsi" w:hAnsiTheme="minorHAnsi" w:cstheme="minorHAnsi"/>
          <w:sz w:val="24"/>
          <w:szCs w:val="24"/>
        </w:rPr>
        <w:t>flake flags pre/post-change periods to prevent the model from mixing regimes.</w:t>
      </w:r>
    </w:p>
    <w:p w:rsidR="002B40F3" w:rsidRDefault="002B40F3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</w:p>
    <w:p w:rsidR="002B40F3" w:rsidRPr="00F4698D" w:rsidRDefault="002B40F3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</w:p>
    <w:p w:rsidR="003E0A29" w:rsidRDefault="002931FB">
      <w:pPr>
        <w:pStyle w:val="Heading2"/>
      </w:pPr>
      <w:r>
        <w:lastRenderedPageBreak/>
        <w:t>9.3 Forecast Uncertainty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Long-range electricity price forecasting (beyond 3–6 months) is inherently uncertain due to PJM capacity auction volatility, weather variability, and nat</w:t>
      </w:r>
      <w:r w:rsidRPr="00F4698D">
        <w:rPr>
          <w:rFonts w:asciiTheme="minorHAnsi" w:hAnsiTheme="minorHAnsi" w:cstheme="minorHAnsi"/>
          <w:sz w:val="24"/>
          <w:szCs w:val="24"/>
        </w:rPr>
        <w:t>ural gas market linkages. The system communicates this uncertainty explicitly via prediction intervals</w:t>
      </w:r>
      <w:r w:rsidR="00F4698D">
        <w:rPr>
          <w:rFonts w:asciiTheme="minorHAnsi" w:hAnsiTheme="minorHAnsi" w:cstheme="minorHAnsi"/>
          <w:sz w:val="24"/>
          <w:szCs w:val="24"/>
        </w:rPr>
        <w:t xml:space="preserve"> </w:t>
      </w:r>
      <w:r w:rsidRPr="00F4698D">
        <w:rPr>
          <w:rFonts w:asciiTheme="minorHAnsi" w:hAnsiTheme="minorHAnsi" w:cstheme="minorHAnsi"/>
          <w:sz w:val="24"/>
          <w:szCs w:val="24"/>
        </w:rPr>
        <w:t>never displays a single point forecast without confidence bands. Monthly MAPE targets are realistic at &lt; 5%; annual MAPE will be higher (~10–15%) and t</w:t>
      </w:r>
      <w:r w:rsidRPr="00F4698D">
        <w:rPr>
          <w:rFonts w:asciiTheme="minorHAnsi" w:hAnsiTheme="minorHAnsi" w:cstheme="minorHAnsi"/>
          <w:sz w:val="24"/>
          <w:szCs w:val="24"/>
        </w:rPr>
        <w:t>his should be communicated to stakeholders.</w:t>
      </w:r>
    </w:p>
    <w:p w:rsidR="003E0A29" w:rsidRDefault="002931FB">
      <w:pPr>
        <w:pStyle w:val="Heading2"/>
      </w:pPr>
      <w:r>
        <w:t>9.4 Model Overfitting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The TFT model has high parameter count relative to monthly billing data volume. Mitigation: pretrain on multi-utility multi-state data (EIA national dataset ~5,000 utility-months per year), </w:t>
      </w:r>
      <w:r w:rsidRPr="00F4698D">
        <w:rPr>
          <w:rFonts w:asciiTheme="minorHAnsi" w:hAnsiTheme="minorHAnsi" w:cstheme="minorHAnsi"/>
          <w:sz w:val="24"/>
          <w:szCs w:val="24"/>
        </w:rPr>
        <w:t xml:space="preserve">then fine-tune on NJ-specific data. Apply dropout (p=0.1), weight decay (L2=1e-4), and early stopping on a validation set held out by time (not random </w:t>
      </w:r>
      <w:r w:rsidR="0071573D" w:rsidRPr="00F4698D">
        <w:rPr>
          <w:rFonts w:asciiTheme="minorHAnsi" w:hAnsiTheme="minorHAnsi" w:cstheme="minorHAnsi"/>
          <w:sz w:val="24"/>
          <w:szCs w:val="24"/>
        </w:rPr>
        <w:t>split time</w:t>
      </w:r>
      <w:r w:rsidRPr="00F4698D">
        <w:rPr>
          <w:rFonts w:asciiTheme="minorHAnsi" w:hAnsiTheme="minorHAnsi" w:cstheme="minorHAnsi"/>
          <w:sz w:val="24"/>
          <w:szCs w:val="24"/>
        </w:rPr>
        <w:t>-based split is mandatory for time-series to prevent data leakage).</w:t>
      </w:r>
    </w:p>
    <w:p w:rsidR="003E0A29" w:rsidRDefault="002931FB">
      <w:pPr>
        <w:pStyle w:val="Heading2"/>
      </w:pPr>
      <w:r>
        <w:t>9.5 Causation vs Correlation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The Bill Impact Model section (5A) explicitly addresses this. Stakeholders must be educated that SHAP values shown in the dashboard are attributional (answer: 'which components contributed most to this bill?') while the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DoWhy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A</w:t>
      </w:r>
      <w:r w:rsidRPr="00F4698D">
        <w:rPr>
          <w:rFonts w:asciiTheme="minorHAnsi" w:hAnsiTheme="minorHAnsi" w:cstheme="minorHAnsi"/>
          <w:sz w:val="24"/>
          <w:szCs w:val="24"/>
        </w:rPr>
        <w:t>TEs are causal (answer: 'if the SBC rate had not increased, how much lower would the bill have been?'). These are displayed on separate dashboard tabs with clear labeling.</w:t>
      </w:r>
    </w:p>
    <w:p w:rsidR="003E0A29" w:rsidRDefault="002931FB">
      <w:r>
        <w:br w:type="page"/>
      </w:r>
    </w:p>
    <w:p w:rsidR="003E0A29" w:rsidRDefault="002931FB">
      <w:pPr>
        <w:pStyle w:val="Heading1"/>
      </w:pPr>
      <w:r>
        <w:lastRenderedPageBreak/>
        <w:t>10. MVP vs Full System Roadmap</w:t>
      </w:r>
    </w:p>
    <w:p w:rsidR="003E0A29" w:rsidRDefault="002931FB">
      <w:pPr>
        <w:pStyle w:val="Heading2"/>
      </w:pPr>
      <w:r>
        <w:t>10.1 MVP (Weeks 1–6)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Data ingestion: Airflow DAGs for EIA monthly prices, PJM LMP (historical batch), NJ BPU tariff PDFs (manual parse of top 3 utilities), NOAA weather data.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Storage: S3 data lake (raw + curated zones), Snowflake DW with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dbt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star schema (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fact_bill_components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dim_utility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dim_tariff_period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>).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Forecasting model: Prophet baseline with HDD/CDD regressors. Monthly SARIMA as benchmark. Deployed as a scheduled batch job, not real-time API.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Dashboards: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Plotly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Dash. Static bill component waterfall chart. Forecast vs act</w:t>
      </w:r>
      <w:r w:rsidRPr="00F4698D">
        <w:rPr>
          <w:rFonts w:asciiTheme="minorHAnsi" w:hAnsiTheme="minorHAnsi" w:cstheme="minorHAnsi"/>
          <w:sz w:val="24"/>
          <w:szCs w:val="24"/>
        </w:rPr>
        <w:t>ual line chart. Basic NJ utility price table (not choropleth map yet).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No causal modeling, no Monte Carlo, no streaming ingestion in MVP.</w:t>
      </w:r>
    </w:p>
    <w:p w:rsidR="003E0A29" w:rsidRPr="00F4698D" w:rsidRDefault="002931FB" w:rsidP="00F4698D">
      <w:pPr>
        <w:spacing w:before="80" w:after="8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MVP Acceptance Criteria: MAPE &lt; 10% on 3-month holdout; dashboard loads in &lt; 3 seconds; data freshness &lt; 24 hours for </w:t>
      </w:r>
      <w:r w:rsidRPr="00F4698D">
        <w:rPr>
          <w:rFonts w:asciiTheme="minorHAnsi" w:hAnsiTheme="minorHAnsi" w:cstheme="minorHAnsi"/>
          <w:sz w:val="24"/>
          <w:szCs w:val="24"/>
        </w:rPr>
        <w:t>batch sources.</w:t>
      </w:r>
    </w:p>
    <w:p w:rsidR="003E0A29" w:rsidRDefault="002931FB">
      <w:pPr>
        <w:pStyle w:val="Heading2"/>
      </w:pPr>
      <w:r>
        <w:t>10.2 Full System (Weeks 7–20)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Kafka streaming for PJM LMP and weather. Real-time dashboard refresh.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TFT model replacing Prophet. Multi-utility training. P10/P90 prediction intervals.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Causal inference pipeline: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DoWhy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EconML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causal forests. </w:t>
      </w:r>
      <w:r w:rsidRPr="00F4698D">
        <w:rPr>
          <w:rFonts w:asciiTheme="minorHAnsi" w:hAnsiTheme="minorHAnsi" w:cstheme="minorHAnsi"/>
          <w:sz w:val="24"/>
          <w:szCs w:val="24"/>
        </w:rPr>
        <w:t>Separate dashboard tab for ATE attribution.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Monte Carlo plan evaluation engine with full retail plan database (all NJ-licensed suppliers).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D3 choropleth for U.S./NJ benchmarking. k-means clustering with cluster labels.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F4698D">
        <w:rPr>
          <w:rFonts w:asciiTheme="minorHAnsi" w:hAnsiTheme="minorHAnsi" w:cstheme="minorHAnsi"/>
          <w:sz w:val="24"/>
          <w:szCs w:val="24"/>
        </w:rPr>
        <w:t>MLflow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model registry with automated </w:t>
      </w:r>
      <w:r w:rsidRPr="00F4698D">
        <w:rPr>
          <w:rFonts w:asciiTheme="minorHAnsi" w:hAnsiTheme="minorHAnsi" w:cstheme="minorHAnsi"/>
          <w:sz w:val="24"/>
          <w:szCs w:val="24"/>
        </w:rPr>
        <w:t>retraining triggers on data drift (evidently AI).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 xml:space="preserve">React SPA replacing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Plotly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Dash.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FastAPI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on EKS with Redis caching.</w:t>
      </w:r>
    </w:p>
    <w:p w:rsidR="003E0A29" w:rsidRPr="00F4698D" w:rsidRDefault="002931FB" w:rsidP="00F4698D">
      <w:pPr>
        <w:pStyle w:val="ListParagraph"/>
        <w:numPr>
          <w:ilvl w:val="0"/>
          <w:numId w:val="2"/>
        </w:numPr>
        <w:spacing w:before="60" w:after="60"/>
        <w:jc w:val="both"/>
        <w:rPr>
          <w:rFonts w:asciiTheme="minorHAnsi" w:hAnsiTheme="minorHAnsi" w:cstheme="minorHAnsi"/>
          <w:sz w:val="24"/>
          <w:szCs w:val="24"/>
        </w:rPr>
      </w:pPr>
      <w:r w:rsidRPr="00F4698D">
        <w:rPr>
          <w:rFonts w:asciiTheme="minorHAnsi" w:hAnsiTheme="minorHAnsi" w:cstheme="minorHAnsi"/>
          <w:sz w:val="24"/>
          <w:szCs w:val="24"/>
        </w:rPr>
        <w:t>Automated BPU docket parser (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pdfplumber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F4698D">
        <w:rPr>
          <w:rFonts w:asciiTheme="minorHAnsi" w:hAnsiTheme="minorHAnsi" w:cstheme="minorHAnsi"/>
          <w:sz w:val="24"/>
          <w:szCs w:val="24"/>
        </w:rPr>
        <w:t>spaCy</w:t>
      </w:r>
      <w:proofErr w:type="spellEnd"/>
      <w:r w:rsidRPr="00F4698D">
        <w:rPr>
          <w:rFonts w:asciiTheme="minorHAnsi" w:hAnsiTheme="minorHAnsi" w:cstheme="minorHAnsi"/>
          <w:sz w:val="24"/>
          <w:szCs w:val="24"/>
        </w:rPr>
        <w:t xml:space="preserve"> NER for rate change extraction).</w:t>
      </w:r>
    </w:p>
    <w:p w:rsidR="003E0A29" w:rsidRPr="0071573D" w:rsidRDefault="003E0A29" w:rsidP="0071573D"/>
    <w:sectPr w:rsidR="003E0A29" w:rsidRPr="007157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52511"/>
    <w:multiLevelType w:val="hybridMultilevel"/>
    <w:tmpl w:val="83E44E84"/>
    <w:lvl w:ilvl="0" w:tplc="99DE4FE6">
      <w:start w:val="1"/>
      <w:numFmt w:val="bullet"/>
      <w:lvlText w:val="●"/>
      <w:lvlJc w:val="left"/>
      <w:pPr>
        <w:ind w:left="720" w:hanging="360"/>
      </w:pPr>
    </w:lvl>
    <w:lvl w:ilvl="1" w:tplc="C46E308A">
      <w:start w:val="1"/>
      <w:numFmt w:val="bullet"/>
      <w:lvlText w:val="○"/>
      <w:lvlJc w:val="left"/>
      <w:pPr>
        <w:ind w:left="1440" w:hanging="360"/>
      </w:pPr>
    </w:lvl>
    <w:lvl w:ilvl="2" w:tplc="8446FD5A">
      <w:start w:val="1"/>
      <w:numFmt w:val="bullet"/>
      <w:lvlText w:val="■"/>
      <w:lvlJc w:val="left"/>
      <w:pPr>
        <w:ind w:left="2160" w:hanging="360"/>
      </w:pPr>
    </w:lvl>
    <w:lvl w:ilvl="3" w:tplc="1B4CB084">
      <w:start w:val="1"/>
      <w:numFmt w:val="bullet"/>
      <w:lvlText w:val="●"/>
      <w:lvlJc w:val="left"/>
      <w:pPr>
        <w:ind w:left="2880" w:hanging="360"/>
      </w:pPr>
    </w:lvl>
    <w:lvl w:ilvl="4" w:tplc="6B0408FC">
      <w:start w:val="1"/>
      <w:numFmt w:val="bullet"/>
      <w:lvlText w:val="○"/>
      <w:lvlJc w:val="left"/>
      <w:pPr>
        <w:ind w:left="3600" w:hanging="360"/>
      </w:pPr>
    </w:lvl>
    <w:lvl w:ilvl="5" w:tplc="2758AFB2">
      <w:start w:val="1"/>
      <w:numFmt w:val="bullet"/>
      <w:lvlText w:val="■"/>
      <w:lvlJc w:val="left"/>
      <w:pPr>
        <w:ind w:left="4320" w:hanging="360"/>
      </w:pPr>
    </w:lvl>
    <w:lvl w:ilvl="6" w:tplc="AB0EBBDA">
      <w:start w:val="1"/>
      <w:numFmt w:val="bullet"/>
      <w:lvlText w:val="●"/>
      <w:lvlJc w:val="left"/>
      <w:pPr>
        <w:ind w:left="5040" w:hanging="360"/>
      </w:pPr>
    </w:lvl>
    <w:lvl w:ilvl="7" w:tplc="1B38BA9A">
      <w:start w:val="1"/>
      <w:numFmt w:val="bullet"/>
      <w:lvlText w:val="●"/>
      <w:lvlJc w:val="left"/>
      <w:pPr>
        <w:ind w:left="5760" w:hanging="360"/>
      </w:pPr>
    </w:lvl>
    <w:lvl w:ilvl="8" w:tplc="44EC76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B7006A"/>
    <w:multiLevelType w:val="hybridMultilevel"/>
    <w:tmpl w:val="090AFE66"/>
    <w:lvl w:ilvl="0" w:tplc="59580E1C">
      <w:start w:val="1"/>
      <w:numFmt w:val="bullet"/>
      <w:lvlText w:val="•"/>
      <w:lvlJc w:val="left"/>
      <w:pPr>
        <w:ind w:left="720" w:hanging="360"/>
      </w:pPr>
    </w:lvl>
    <w:lvl w:ilvl="1" w:tplc="83EA34EE">
      <w:numFmt w:val="decimal"/>
      <w:lvlText w:val=""/>
      <w:lvlJc w:val="left"/>
    </w:lvl>
    <w:lvl w:ilvl="2" w:tplc="E0A6C2BC">
      <w:numFmt w:val="decimal"/>
      <w:lvlText w:val=""/>
      <w:lvlJc w:val="left"/>
    </w:lvl>
    <w:lvl w:ilvl="3" w:tplc="54A81B94">
      <w:numFmt w:val="decimal"/>
      <w:lvlText w:val=""/>
      <w:lvlJc w:val="left"/>
    </w:lvl>
    <w:lvl w:ilvl="4" w:tplc="5466599C">
      <w:numFmt w:val="decimal"/>
      <w:lvlText w:val=""/>
      <w:lvlJc w:val="left"/>
    </w:lvl>
    <w:lvl w:ilvl="5" w:tplc="212E2508">
      <w:numFmt w:val="decimal"/>
      <w:lvlText w:val=""/>
      <w:lvlJc w:val="left"/>
    </w:lvl>
    <w:lvl w:ilvl="6" w:tplc="E6642616">
      <w:numFmt w:val="decimal"/>
      <w:lvlText w:val=""/>
      <w:lvlJc w:val="left"/>
    </w:lvl>
    <w:lvl w:ilvl="7" w:tplc="A64659A6">
      <w:numFmt w:val="decimal"/>
      <w:lvlText w:val=""/>
      <w:lvlJc w:val="left"/>
    </w:lvl>
    <w:lvl w:ilvl="8" w:tplc="C5A290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A29"/>
    <w:rsid w:val="002931FB"/>
    <w:rsid w:val="002B40F3"/>
    <w:rsid w:val="003E0A29"/>
    <w:rsid w:val="0071573D"/>
    <w:rsid w:val="00F4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D73F"/>
  <w15:docId w15:val="{62C7F164-CB6E-4C81-83DD-D1A04E9A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2A6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17A6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2658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Montclair State University</Company>
  <LinksUpToDate>false</LinksUpToDate>
  <CharactersWithSpaces>17780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Reddy Duddukunta</cp:lastModifiedBy>
  <cp:revision>4</cp:revision>
  <dcterms:created xsi:type="dcterms:W3CDTF">2026-05-09T14:27:00Z</dcterms:created>
  <dcterms:modified xsi:type="dcterms:W3CDTF">2026-05-09T15:49:00Z</dcterms:modified>
</cp:coreProperties>
</file>