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A3A3A"/>
          <w:sz w:val="40"/>
          <w:szCs w:val="40"/>
        </w:rPr>
        <w:t xml:space="preserve">ElectricAI — Architectural Review</w:t>
      </w:r>
    </w:p>
    <w:p>
      <w:pPr>
        <w:spacing w:after="60"/>
      </w:pPr>
      <w:r>
        <w:rPr>
          <w:b/>
          <w:bCs/>
          <w:color w:val="B5622A"/>
          <w:sz w:val="26"/>
          <w:szCs w:val="26"/>
        </w:rPr>
        <w:t xml:space="preserve">Addendum: Revisions to the Hybrid Knowledge System Proposal</w:t>
      </w:r>
    </w:p>
    <w:p>
      <w:pPr>
        <w:spacing w:after="300"/>
      </w:pPr>
      <w:r>
        <w:rPr>
          <w:i/>
          <w:iCs/>
          <w:color w:val="666666"/>
          <w:sz w:val="20"/>
          <w:szCs w:val="20"/>
        </w:rPr>
        <w:t xml:space="preserve">Status: Deferred — revisit after roadmap priorities 1–4 ship  ·  Prepared for: author of "Comprehensive Architectural Review: Hybrid Knowledge System"</w:t>
      </w:r>
    </w:p>
    <w:p>
      <w:pPr>
        <w:pBdr>
          <w:bottom w:val="single" w:color="AAAAAA" w:sz="6" w:space="1"/>
        </w:pBdr>
        <w:spacing w:after="200" w:before="100"/>
      </w:pPr>
    </w:p>
    <w:p>
      <w:pPr>
        <w:pStyle w:val="Heading1"/>
        <w:spacing w:after="120" w:before="280"/>
      </w:pPr>
      <w:r>
        <w:rPr>
          <w:b/>
          <w:bCs/>
          <w:color w:val="3A3A3A"/>
        </w:rPr>
        <w:t xml:space="preserve">1. Purpose of This Addendum</w:t>
      </w:r>
    </w:p>
    <w:p>
      <w:pPr>
        <w:spacing w:after="160"/>
      </w:pPr>
      <w:r>
        <w:t xml:space="preserve">The original document's core call — reject live web scraping, adopt a deterministic-first tiered architecture — is directionally correct and doesn't need revising. This addendum addresses a different problem: the document evaluates a knowledge-fusion system as if the deterministic foundation it depends on (Tier 0) already exists and works. It largely doesn't yet. The revisions below make the document accurate about current state, extract the one piece worth building now, and fold the rest into the existing roadmap instead of treating it as a parallel initiative.</w:t>
      </w:r>
    </w:p>
    <w:p>
      <w:pPr>
        <w:pStyle w:val="Heading1"/>
        <w:spacing w:after="120" w:before="280"/>
      </w:pPr>
      <w:r>
        <w:rPr>
          <w:b/>
          <w:bCs/>
          <w:color w:val="3A3A3A"/>
        </w:rPr>
        <w:t xml:space="preserve">2. Tier-by-Tier Reality Check</w:t>
      </w:r>
    </w:p>
    <w:p>
      <w:pPr>
        <w:spacing w:after="160"/>
      </w:pPr>
      <w:r>
        <w:t xml:space="preserve">Every tier in the original Truth Ordering Hierarchy should carry a stated current-state column. Without it, the document implies a level of system maturity that doesn't match the codebase. Recommended table to insert into the original doc:</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rPr>
          <w:tblHeader/>
        </w:trPr>
        <w:tc>
          <w:tcPr>
            <w:tcW w:type="dxa" w:w="2600"/>
            <w:shd w:fill="3A3A3A" w:color="auto" w:val="clear"/>
            <w:tcMar>
              <w:top w:type="dxa" w:w="100"/>
              <w:left w:type="dxa" w:w="120"/>
              <w:bottom w:type="dxa" w:w="100"/>
              <w:right w:type="dxa" w:w="120"/>
            </w:tcMar>
          </w:tcPr>
          <w:p>
            <w:r>
              <w:rPr>
                <w:b/>
                <w:bCs/>
                <w:color w:val="FFFFFF"/>
              </w:rPr>
              <w:t xml:space="preserve">Tier (per architecture doc)</w:t>
            </w:r>
          </w:p>
        </w:tc>
        <w:tc>
          <w:tcPr>
            <w:tcW w:type="dxa" w:w="2600"/>
            <w:shd w:fill="3A3A3A" w:color="auto" w:val="clear"/>
            <w:tcMar>
              <w:top w:type="dxa" w:w="100"/>
              <w:left w:type="dxa" w:w="120"/>
              <w:bottom w:type="dxa" w:w="100"/>
              <w:right w:type="dxa" w:w="120"/>
            </w:tcMar>
          </w:tcPr>
          <w:p>
            <w:r>
              <w:rPr>
                <w:b/>
                <w:bCs/>
                <w:color w:val="FFFFFF"/>
              </w:rPr>
              <w:t xml:space="preserve">Claimed role</w:t>
            </w:r>
          </w:p>
        </w:tc>
        <w:tc>
          <w:tcPr>
            <w:tcW w:type="dxa" w:w="2600"/>
            <w:shd w:fill="3A3A3A" w:color="auto" w:val="clear"/>
            <w:tcMar>
              <w:top w:type="dxa" w:w="100"/>
              <w:left w:type="dxa" w:w="120"/>
              <w:bottom w:type="dxa" w:w="100"/>
              <w:right w:type="dxa" w:w="120"/>
            </w:tcMar>
          </w:tcPr>
          <w:p>
            <w:r>
              <w:rPr>
                <w:b/>
                <w:bCs/>
                <w:color w:val="FFFFFF"/>
              </w:rPr>
              <w:t xml:space="preserve">Actual current state</w:t>
            </w:r>
          </w:p>
        </w:tc>
        <w:tc>
          <w:tcPr>
            <w:tcW w:type="dxa" w:w="2600"/>
            <w:shd w:fill="3A3A3A" w:color="auto" w:val="clear"/>
            <w:tcMar>
              <w:top w:type="dxa" w:w="100"/>
              <w:left w:type="dxa" w:w="120"/>
              <w:bottom w:type="dxa" w:w="100"/>
              <w:right w:type="dxa" w:w="120"/>
            </w:tcMar>
          </w:tcPr>
          <w:p>
            <w:r>
              <w:rPr>
                <w:b/>
                <w:bCs/>
                <w:color w:val="FFFFFF"/>
              </w:rPr>
              <w:t xml:space="preserve">Gap</w:t>
            </w:r>
          </w:p>
        </w:tc>
      </w:tr>
      <w:tr>
        <w:tc>
          <w:tcPr>
            <w:tcW w:type="dxa" w:w="2600"/>
            <w:tcMar>
              <w:top w:type="dxa" w:w="100"/>
              <w:left w:type="dxa" w:w="120"/>
              <w:bottom w:type="dxa" w:w="100"/>
              <w:right w:type="dxa" w:w="120"/>
            </w:tcMar>
          </w:tcPr>
          <w:p>
            <w:r>
              <w:rPr>
                <w:b w:val="false"/>
                <w:bCs w:val="false"/>
                <w:color w:val="000000"/>
              </w:rPr>
              <w:t xml:space="preserve">Tier 0 — Bill Calc Engine</w:t>
            </w:r>
          </w:p>
        </w:tc>
        <w:tc>
          <w:tcPr>
            <w:tcW w:type="dxa" w:w="2600"/>
            <w:tcMar>
              <w:top w:type="dxa" w:w="100"/>
              <w:left w:type="dxa" w:w="120"/>
              <w:bottom w:type="dxa" w:w="100"/>
              <w:right w:type="dxa" w:w="120"/>
            </w:tcMar>
          </w:tcPr>
          <w:p>
            <w:r>
              <w:rPr>
                <w:b w:val="false"/>
                <w:bCs w:val="false"/>
                <w:color w:val="000000"/>
              </w:rPr>
              <w:t xml:space="preserve">Absolute math truth</w:t>
            </w:r>
          </w:p>
        </w:tc>
        <w:tc>
          <w:tcPr>
            <w:tcW w:type="dxa" w:w="2600"/>
            <w:tcMar>
              <w:top w:type="dxa" w:w="100"/>
              <w:left w:type="dxa" w:w="120"/>
              <w:bottom w:type="dxa" w:w="100"/>
              <w:right w:type="dxa" w:w="120"/>
            </w:tcMar>
          </w:tcPr>
          <w:p>
            <w:r>
              <w:rPr>
                <w:b w:val="false"/>
                <w:bCs w:val="false"/>
                <w:color w:val="000000"/>
              </w:rPr>
              <w:t xml:space="preserve">Exists in codebase; never called from the upload flow despite being imported</w:t>
            </w:r>
          </w:p>
        </w:tc>
        <w:tc>
          <w:tcPr>
            <w:tcW w:type="dxa" w:w="2600"/>
            <w:tcMar>
              <w:top w:type="dxa" w:w="100"/>
              <w:left w:type="dxa" w:w="120"/>
              <w:bottom w:type="dxa" w:w="100"/>
              <w:right w:type="dxa" w:w="120"/>
            </w:tcMar>
          </w:tcPr>
          <w:p>
            <w:r>
              <w:rPr>
                <w:b w:val="false"/>
                <w:bCs w:val="false"/>
                <w:color w:val="000000"/>
              </w:rPr>
              <w:t xml:space="preserve">Not wired — integration gap, not a modeling gap</w:t>
            </w:r>
          </w:p>
        </w:tc>
      </w:tr>
      <w:tr>
        <w:tc>
          <w:tcPr>
            <w:tcW w:type="dxa" w:w="2600"/>
            <w:tcMar>
              <w:top w:type="dxa" w:w="100"/>
              <w:left w:type="dxa" w:w="120"/>
              <w:bottom w:type="dxa" w:w="100"/>
              <w:right w:type="dxa" w:w="120"/>
            </w:tcMar>
          </w:tcPr>
          <w:p>
            <w:r>
              <w:rPr>
                <w:b w:val="false"/>
                <w:bCs w:val="false"/>
                <w:color w:val="000000"/>
              </w:rPr>
              <w:t xml:space="preserve">Tier 0 — SARIMA / Causal Forests / SHAP</w:t>
            </w:r>
          </w:p>
        </w:tc>
        <w:tc>
          <w:tcPr>
            <w:tcW w:type="dxa" w:w="2600"/>
            <w:tcMar>
              <w:top w:type="dxa" w:w="100"/>
              <w:left w:type="dxa" w:w="120"/>
              <w:bottom w:type="dxa" w:w="100"/>
              <w:right w:type="dxa" w:w="120"/>
            </w:tcMar>
          </w:tcPr>
          <w:p>
            <w:r>
              <w:rPr>
                <w:b w:val="false"/>
                <w:bCs w:val="false"/>
                <w:color w:val="000000"/>
              </w:rPr>
              <w:t xml:space="preserve">Absolute math truth</w:t>
            </w:r>
          </w:p>
        </w:tc>
        <w:tc>
          <w:tcPr>
            <w:tcW w:type="dxa" w:w="2600"/>
            <w:tcMar>
              <w:top w:type="dxa" w:w="100"/>
              <w:left w:type="dxa" w:w="120"/>
              <w:bottom w:type="dxa" w:w="100"/>
              <w:right w:type="dxa" w:w="120"/>
            </w:tcMar>
          </w:tcPr>
          <w:p>
            <w:r>
              <w:rPr>
                <w:b w:val="false"/>
                <w:bCs w:val="false"/>
                <w:color w:val="000000"/>
              </w:rPr>
              <w:t xml:space="preserve">Present in repo; unclear if reachable from any live user-facing path</w:t>
            </w:r>
          </w:p>
        </w:tc>
        <w:tc>
          <w:tcPr>
            <w:tcW w:type="dxa" w:w="2600"/>
            <w:tcMar>
              <w:top w:type="dxa" w:w="100"/>
              <w:left w:type="dxa" w:w="120"/>
              <w:bottom w:type="dxa" w:w="100"/>
              <w:right w:type="dxa" w:w="120"/>
            </w:tcMar>
          </w:tcPr>
          <w:p>
            <w:r>
              <w:rPr>
                <w:b w:val="false"/>
                <w:bCs w:val="false"/>
                <w:color w:val="000000"/>
              </w:rPr>
              <w:t xml:space="preserve">Needs a reachability audit before being called "Tier 0"</w:t>
            </w:r>
          </w:p>
        </w:tc>
      </w:tr>
      <w:tr>
        <w:tc>
          <w:tcPr>
            <w:tcW w:type="dxa" w:w="2600"/>
            <w:tcMar>
              <w:top w:type="dxa" w:w="100"/>
              <w:left w:type="dxa" w:w="120"/>
              <w:bottom w:type="dxa" w:w="100"/>
              <w:right w:type="dxa" w:w="120"/>
            </w:tcMar>
          </w:tcPr>
          <w:p>
            <w:r>
              <w:rPr>
                <w:b w:val="false"/>
                <w:bCs w:val="false"/>
                <w:color w:val="000000"/>
              </w:rPr>
              <w:t xml:space="preserve">Tier 1 — Internal User Records</w:t>
            </w:r>
          </w:p>
        </w:tc>
        <w:tc>
          <w:tcPr>
            <w:tcW w:type="dxa" w:w="2600"/>
            <w:tcMar>
              <w:top w:type="dxa" w:w="100"/>
              <w:left w:type="dxa" w:w="120"/>
              <w:bottom w:type="dxa" w:w="100"/>
              <w:right w:type="dxa" w:w="120"/>
            </w:tcMar>
          </w:tcPr>
          <w:p>
            <w:r>
              <w:rPr>
                <w:b w:val="false"/>
                <w:bCs w:val="false"/>
                <w:color w:val="000000"/>
              </w:rPr>
              <w:t xml:space="preserve">Historical meter data, account metadata</w:t>
            </w:r>
          </w:p>
        </w:tc>
        <w:tc>
          <w:tcPr>
            <w:tcW w:type="dxa" w:w="2600"/>
            <w:tcMar>
              <w:top w:type="dxa" w:w="100"/>
              <w:left w:type="dxa" w:w="120"/>
              <w:bottom w:type="dxa" w:w="100"/>
              <w:right w:type="dxa" w:w="120"/>
            </w:tcMar>
          </w:tcPr>
          <w:p>
            <w:r>
              <w:rPr>
                <w:b w:val="false"/>
                <w:bCs w:val="false"/>
                <w:color w:val="000000"/>
              </w:rPr>
              <w:t xml:space="preserve">SQLite store exists; most component values are tariff-ratio estimates, not OCR-extracted</w:t>
            </w:r>
          </w:p>
        </w:tc>
        <w:tc>
          <w:tcPr>
            <w:tcW w:type="dxa" w:w="2600"/>
            <w:tcMar>
              <w:top w:type="dxa" w:w="100"/>
              <w:left w:type="dxa" w:w="120"/>
              <w:bottom w:type="dxa" w:w="100"/>
              <w:right w:type="dxa" w:w="120"/>
            </w:tcMar>
          </w:tcPr>
          <w:p>
            <w:r>
              <w:rPr>
                <w:b w:val="false"/>
                <w:bCs w:val="false"/>
                <w:color w:val="000000"/>
              </w:rPr>
              <w:t xml:space="preserve">"Internal" data is itself partly estimated — truth ordering needs a sub-tier for confidence</w:t>
            </w:r>
          </w:p>
        </w:tc>
      </w:tr>
      <w:tr>
        <w:tc>
          <w:tcPr>
            <w:tcW w:type="dxa" w:w="2600"/>
            <w:tcMar>
              <w:top w:type="dxa" w:w="100"/>
              <w:left w:type="dxa" w:w="120"/>
              <w:bottom w:type="dxa" w:w="100"/>
              <w:right w:type="dxa" w:w="120"/>
            </w:tcMar>
          </w:tcPr>
          <w:p>
            <w:r>
              <w:rPr>
                <w:b w:val="false"/>
                <w:bCs w:val="false"/>
                <w:color w:val="000000"/>
              </w:rPr>
              <w:t xml:space="preserve">Tier 2/3 — Curated Docs / External APIs</w:t>
            </w:r>
          </w:p>
        </w:tc>
        <w:tc>
          <w:tcPr>
            <w:tcW w:type="dxa" w:w="2600"/>
            <w:tcMar>
              <w:top w:type="dxa" w:w="100"/>
              <w:left w:type="dxa" w:w="120"/>
              <w:bottom w:type="dxa" w:w="100"/>
              <w:right w:type="dxa" w:w="120"/>
            </w:tcMar>
          </w:tcPr>
          <w:p>
            <w:r>
              <w:rPr>
                <w:b w:val="false"/>
                <w:bCs w:val="false"/>
                <w:color w:val="000000"/>
              </w:rPr>
              <w:t xml:space="preserve">Verified tariff PDFs, EIA/NOAA feeds</w:t>
            </w:r>
          </w:p>
        </w:tc>
        <w:tc>
          <w:tcPr>
            <w:tcW w:type="dxa" w:w="2600"/>
            <w:tcMar>
              <w:top w:type="dxa" w:w="100"/>
              <w:left w:type="dxa" w:w="120"/>
              <w:bottom w:type="dxa" w:w="100"/>
              <w:right w:type="dxa" w:w="120"/>
            </w:tcMar>
          </w:tcPr>
          <w:p>
            <w:r>
              <w:rPr>
                <w:b w:val="false"/>
                <w:bCs w:val="false"/>
                <w:color w:val="000000"/>
              </w:rPr>
              <w:t xml:space="preserve">Does not exist in the stack today</w:t>
            </w:r>
          </w:p>
        </w:tc>
        <w:tc>
          <w:tcPr>
            <w:tcW w:type="dxa" w:w="2600"/>
            <w:tcMar>
              <w:top w:type="dxa" w:w="100"/>
              <w:left w:type="dxa" w:w="120"/>
              <w:bottom w:type="dxa" w:w="100"/>
              <w:right w:type="dxa" w:w="120"/>
            </w:tcMar>
          </w:tcPr>
          <w:p>
            <w:r>
              <w:rPr>
                <w:b w:val="false"/>
                <w:bCs w:val="false"/>
                <w:color w:val="000000"/>
              </w:rPr>
              <w:t xml:space="preserve">Net-new infrastructure — not a fix to a known gap</w:t>
            </w:r>
          </w:p>
        </w:tc>
      </w:tr>
      <w:tr>
        <w:tc>
          <w:tcPr>
            <w:tcW w:type="dxa" w:w="2600"/>
            <w:tcMar>
              <w:top w:type="dxa" w:w="100"/>
              <w:left w:type="dxa" w:w="120"/>
              <w:bottom w:type="dxa" w:w="100"/>
              <w:right w:type="dxa" w:w="120"/>
            </w:tcMar>
          </w:tcPr>
          <w:p>
            <w:r>
              <w:rPr>
                <w:b w:val="false"/>
                <w:bCs w:val="false"/>
                <w:color w:val="000000"/>
              </w:rPr>
              <w:t xml:space="preserve">Tier 4 — LLM Synthesis Layer</w:t>
            </w:r>
          </w:p>
        </w:tc>
        <w:tc>
          <w:tcPr>
            <w:tcW w:type="dxa" w:w="2600"/>
            <w:tcMar>
              <w:top w:type="dxa" w:w="100"/>
              <w:left w:type="dxa" w:w="120"/>
              <w:bottom w:type="dxa" w:w="100"/>
              <w:right w:type="dxa" w:w="120"/>
            </w:tcMar>
          </w:tcPr>
          <w:p>
            <w:r>
              <w:rPr>
                <w:b w:val="false"/>
                <w:bCs w:val="false"/>
                <w:color w:val="000000"/>
              </w:rPr>
              <w:t xml:space="preserve">Natural-language narration only</w:t>
            </w:r>
          </w:p>
        </w:tc>
        <w:tc>
          <w:tcPr>
            <w:tcW w:type="dxa" w:w="2600"/>
            <w:tcMar>
              <w:top w:type="dxa" w:w="100"/>
              <w:left w:type="dxa" w:w="120"/>
              <w:bottom w:type="dxa" w:w="100"/>
              <w:right w:type="dxa" w:w="120"/>
            </w:tcMar>
          </w:tcPr>
          <w:p>
            <w:r>
              <w:rPr>
                <w:b w:val="false"/>
                <w:bCs w:val="false"/>
                <w:color w:val="000000"/>
              </w:rPr>
              <w:t xml:space="preserve">generate_personalized_insights() is templated f-strings, not real LLM output</w:t>
            </w:r>
          </w:p>
        </w:tc>
        <w:tc>
          <w:tcPr>
            <w:tcW w:type="dxa" w:w="2600"/>
            <w:tcMar>
              <w:top w:type="dxa" w:w="100"/>
              <w:left w:type="dxa" w:w="120"/>
              <w:bottom w:type="dxa" w:w="100"/>
              <w:right w:type="dxa" w:w="120"/>
            </w:tcMar>
          </w:tcPr>
          <w:p>
            <w:r>
              <w:rPr>
                <w:b w:val="false"/>
                <w:bCs w:val="false"/>
                <w:color w:val="000000"/>
              </w:rPr>
              <w:t xml:space="preserve">The layer this doc assumes is already narrating doesn't exist yet</w:t>
            </w:r>
          </w:p>
        </w:tc>
      </w:tr>
    </w:tbl>
    <w:p>
      <w:pPr>
        <w:spacing w:before="200"/>
      </w:pPr>
    </w:p>
    <w:p>
      <w:pPr>
        <w:pStyle w:val="Heading1"/>
        <w:spacing w:after="120" w:before="280"/>
      </w:pPr>
      <w:r>
        <w:rPr>
          <w:b/>
          <w:bCs/>
          <w:color w:val="3A3A3A"/>
        </w:rPr>
        <w:t xml:space="preserve">3. The One Piece Worth Building Now: Numerical Consistency Validator</w:t>
      </w:r>
    </w:p>
    <w:p>
      <w:pPr>
        <w:spacing w:after="160"/>
      </w:pPr>
      <w:r>
        <w:t xml:space="preserve">This is the only component from the original proposal that closes an existing, already-documented gap rather than adding new scope — response_validator.py currently has no mechanistic number-validation. Solidify the spec before handing it to a coding agent:</w:t>
      </w:r>
    </w:p>
    <w:p>
      <w:pPr>
        <w:pStyle w:val="ListParagraph"/>
        <w:numPr>
          <w:ilvl w:val="0"/>
          <w:numId w:val="2"/>
        </w:numPr>
        <w:spacing w:after="80"/>
      </w:pPr>
      <w:r>
        <w:rPr>
          <w:b/>
          <w:bCs/>
          <w:color w:val="B5622A"/>
        </w:rPr>
        <w:t xml:space="preserve">Input contract: </w:t>
      </w:r>
      <w:r>
        <w:t xml:space="preserve">the validator receives (a) the raw LLM narrative text and (b) the structured JSON it was supposed to narrate. It should never receive anything the LLM hasn't already been given.</w:t>
      </w:r>
    </w:p>
    <w:p>
      <w:pPr>
        <w:pStyle w:val="ListParagraph"/>
        <w:numPr>
          <w:ilvl w:val="0"/>
          <w:numId w:val="2"/>
        </w:numPr>
        <w:spacing w:after="80"/>
      </w:pPr>
      <w:r>
        <w:rPr>
          <w:b/>
          <w:bCs/>
          <w:color w:val="B5622A"/>
        </w:rPr>
        <w:t xml:space="preserve">Check performed: </w:t>
      </w:r>
      <w:r>
        <w:t xml:space="preserve">extract every numeric token from the LLM output and confirm each one traces to a value present in the source JSON (exact match or clearly-derived, e.g. a stated percentage of a source figure).</w:t>
      </w:r>
    </w:p>
    <w:p>
      <w:pPr>
        <w:pStyle w:val="ListParagraph"/>
        <w:numPr>
          <w:ilvl w:val="0"/>
          <w:numId w:val="2"/>
        </w:numPr>
        <w:spacing w:after="80"/>
      </w:pPr>
      <w:r>
        <w:rPr>
          <w:b/>
          <w:bCs/>
          <w:color w:val="B5622A"/>
        </w:rPr>
        <w:t xml:space="preserve">Failure mode (currently undefined — this must be decided, not left open): </w:t>
      </w:r>
      <w:r>
        <w:t xml:space="preserve">choose one of reject-and-regenerate, reject-and-fall-back-to-template, or reject-and-flag-for-human-review. Recommend fallback-to-template for v1, since templates are already the current behavior and regeneration risks looping.</w:t>
      </w:r>
    </w:p>
    <w:p>
      <w:pPr>
        <w:pStyle w:val="ListParagraph"/>
        <w:numPr>
          <w:ilvl w:val="0"/>
          <w:numId w:val="2"/>
        </w:numPr>
        <w:spacing w:after="80"/>
      </w:pPr>
      <w:r>
        <w:rPr>
          <w:b/>
          <w:bCs/>
          <w:color w:val="B5622A"/>
        </w:rPr>
        <w:t xml:space="preserve">Placement: </w:t>
      </w:r>
      <w:r>
        <w:t xml:space="preserve">sits between context_builder.py's output and whatever renders the narrative to the user — not inside the Ollama call itself, so it stays swappable across models (qwen3:8b, llama3.1, gemma3, deepseek-r1).</w:t>
      </w:r>
    </w:p>
    <w:p>
      <w:pPr>
        <w:pStyle w:val="ListParagraph"/>
        <w:numPr>
          <w:ilvl w:val="0"/>
          <w:numId w:val="2"/>
        </w:numPr>
        <w:spacing w:after="80"/>
      </w:pPr>
      <w:r>
        <w:rPr>
          <w:b/>
          <w:bCs/>
          <w:color w:val="B5622A"/>
        </w:rPr>
        <w:t xml:space="preserve">Auditability requirement: </w:t>
      </w:r>
      <w:r>
        <w:t xml:space="preserve">log every rejected response with the offending number and its nearest JSON match, for later regulatory review.</w:t>
      </w:r>
    </w:p>
    <w:p>
      <w:pPr>
        <w:pStyle w:val="Heading1"/>
        <w:spacing w:after="120" w:before="280"/>
      </w:pPr>
      <w:r>
        <w:rPr>
          <w:b/>
          <w:bCs/>
          <w:color w:val="3A3A3A"/>
        </w:rPr>
        <w:t xml:space="preserve">4. Reframe the Central Question</w:t>
      </w:r>
    </w:p>
    <w:p>
      <w:pPr>
        <w:spacing w:after="160"/>
      </w:pPr>
      <w:r>
        <w:t xml:space="preserve">The original document frames the decision as "live scraping vs. curated ingestion" — a choice between two ways to build external knowledge fusion. Nobody has actually proposed building it yet. The real question the doc should answer first is whether to build any external-knowledge layer at all this quarter. Recommended replacement verdict for the Executive Summary:</w:t>
      </w:r>
    </w:p>
    <w:p>
      <w:pPr>
        <w:spacing w:after="160"/>
      </w:pPr>
      <w:r>
        <w:rPr>
          <w:i/>
          <w:iCs/>
        </w:rPr>
        <w:t xml:space="preserve">“Recommended: defer the entire Hybrid Knowledge System. None of the five current roadmap priorities require external knowledge fusion. Revisit this document once priorities 1–4 (below) have shipped and Tier 0 claims in Section 2 are actually true.”</w:t>
      </w:r>
    </w:p>
    <w:p>
      <w:pPr>
        <w:pStyle w:val="Heading1"/>
        <w:spacing w:after="120" w:before="280"/>
      </w:pPr>
      <w:r>
        <w:rPr>
          <w:b/>
          <w:bCs/>
          <w:color w:val="3A3A3A"/>
        </w:rPr>
        <w:t xml:space="preserve">5. Add an Explicit "Don't Build" Option to the Comparison Table</w:t>
      </w:r>
    </w:p>
    <w:p>
      <w:pPr>
        <w:spacing w:after="160"/>
      </w:pPr>
      <w:r>
        <w:t xml:space="preserve">The original Section 3 comparison table (Naive RAG / Pure LLM / Tool-Calling Hybrid) only compares three ways to build the system — it never prices out not building it. Add a row 0 with cost = 0, and note explicitly that it is the currently-correct choice given roadmap state.</w:t>
      </w:r>
    </w:p>
    <w:p>
      <w:pPr>
        <w:pStyle w:val="Heading1"/>
        <w:spacing w:after="120" w:before="280"/>
      </w:pPr>
      <w:r>
        <w:rPr>
          <w:b/>
          <w:bCs/>
          <w:color w:val="3A3A3A"/>
        </w:rPr>
        <w:t xml:space="preserve">6. Sequence Tier 2/3 Into Existing Priority 5, Not a New Track</w:t>
      </w:r>
    </w:p>
    <w:p>
      <w:pPr>
        <w:spacing w:after="160"/>
      </w:pPr>
      <w:r>
        <w:t xml:space="preserve">The architecture doc's curated tariff-PDF ingestion pipeline (Tier 2/3) is the same work as the roadmap's lowest-priority item — historical tariff linkage. These should be one design doc, not two. Updated roadmap view:</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800"/>
      </w:tblGrid>
      <w:tr>
        <w:trPr>
          <w:tblHeader/>
        </w:trPr>
        <w:tc>
          <w:tcPr>
            <w:tcW w:type="dxa" w:w="2200"/>
            <w:shd w:fill="3A3A3A" w:color="auto" w:val="clear"/>
            <w:tcMar>
              <w:top w:type="dxa" w:w="100"/>
              <w:left w:type="dxa" w:w="120"/>
              <w:bottom w:type="dxa" w:w="100"/>
              <w:right w:type="dxa" w:w="120"/>
            </w:tcMar>
          </w:tcPr>
          <w:p>
            <w:r>
              <w:rPr>
                <w:b/>
                <w:bCs/>
                <w:color w:val="FFFFFF"/>
              </w:rPr>
              <w:t xml:space="preserve">Priority</w:t>
            </w:r>
          </w:p>
        </w:tc>
        <w:tc>
          <w:tcPr>
            <w:tcW w:type="dxa" w:w="3600"/>
            <w:shd w:fill="3A3A3A" w:color="auto" w:val="clear"/>
            <w:tcMar>
              <w:top w:type="dxa" w:w="100"/>
              <w:left w:type="dxa" w:w="120"/>
              <w:bottom w:type="dxa" w:w="100"/>
              <w:right w:type="dxa" w:w="120"/>
            </w:tcMar>
          </w:tcPr>
          <w:p>
            <w:r>
              <w:rPr>
                <w:b/>
                <w:bCs/>
                <w:color w:val="FFFFFF"/>
              </w:rPr>
              <w:t xml:space="preserve">Item</w:t>
            </w:r>
          </w:p>
        </w:tc>
        <w:tc>
          <w:tcPr>
            <w:tcW w:type="dxa" w:w="4800"/>
            <w:shd w:fill="3A3A3A" w:color="auto" w:val="clear"/>
            <w:tcMar>
              <w:top w:type="dxa" w:w="100"/>
              <w:left w:type="dxa" w:w="120"/>
              <w:bottom w:type="dxa" w:w="100"/>
              <w:right w:type="dxa" w:w="120"/>
            </w:tcMar>
          </w:tcPr>
          <w:p>
            <w:r>
              <w:rPr>
                <w:b/>
                <w:bCs/>
                <w:color w:val="FFFFFF"/>
              </w:rPr>
              <w:t xml:space="preserve">Status / decision</w:t>
            </w:r>
          </w:p>
        </w:tc>
      </w:tr>
      <w:tr>
        <w:tc>
          <w:tcPr>
            <w:tcW w:type="dxa" w:w="2200"/>
            <w:shd w:fill="F2F0EC" w:color="auto" w:val="clear"/>
            <w:tcMar>
              <w:top w:type="dxa" w:w="100"/>
              <w:left w:type="dxa" w:w="120"/>
              <w:bottom w:type="dxa" w:w="100"/>
              <w:right w:type="dxa" w:w="120"/>
            </w:tcMar>
          </w:tcPr>
          <w:p>
            <w:r>
              <w:rPr>
                <w:b/>
                <w:bCs/>
                <w:color w:val="000000"/>
              </w:rPr>
              <w:t xml:space="preserve">0 (new)</w:t>
            </w:r>
          </w:p>
        </w:tc>
        <w:tc>
          <w:tcPr>
            <w:tcW w:type="dxa" w:w="3600"/>
            <w:shd w:fill="F2F0EC" w:color="auto" w:val="clear"/>
            <w:tcMar>
              <w:top w:type="dxa" w:w="100"/>
              <w:left w:type="dxa" w:w="120"/>
              <w:bottom w:type="dxa" w:w="100"/>
              <w:right w:type="dxa" w:w="120"/>
            </w:tcMar>
          </w:tcPr>
          <w:p>
            <w:r>
              <w:rPr>
                <w:b w:val="false"/>
                <w:bCs w:val="false"/>
                <w:color w:val="000000"/>
              </w:rPr>
              <w:t xml:space="preserve">Do not build (status quo)</w:t>
            </w:r>
          </w:p>
        </w:tc>
        <w:tc>
          <w:tcPr>
            <w:tcW w:type="dxa" w:w="4800"/>
            <w:shd w:fill="F2F0EC" w:color="auto" w:val="clear"/>
            <w:tcMar>
              <w:top w:type="dxa" w:w="100"/>
              <w:left w:type="dxa" w:w="120"/>
              <w:bottom w:type="dxa" w:w="100"/>
              <w:right w:type="dxa" w:w="120"/>
            </w:tcMar>
          </w:tcPr>
          <w:p>
            <w:r>
              <w:rPr>
                <w:b w:val="false"/>
                <w:bCs w:val="false"/>
                <w:color w:val="000000"/>
              </w:rPr>
              <w:t xml:space="preserve">Cost = 0. Correct choice until priorities 1–4 below ship.</w:t>
            </w:r>
          </w:p>
        </w:tc>
      </w:tr>
      <w:tr>
        <w:tc>
          <w:tcPr>
            <w:tcW w:type="dxa" w:w="2200"/>
            <w:tcMar>
              <w:top w:type="dxa" w:w="100"/>
              <w:left w:type="dxa" w:w="120"/>
              <w:bottom w:type="dxa" w:w="100"/>
              <w:right w:type="dxa" w:w="120"/>
            </w:tcMar>
          </w:tcPr>
          <w:p>
            <w:r>
              <w:rPr>
                <w:b w:val="false"/>
                <w:bCs w:val="false"/>
                <w:color w:val="000000"/>
              </w:rPr>
              <w:t xml:space="preserve">1</w:t>
            </w:r>
          </w:p>
        </w:tc>
        <w:tc>
          <w:tcPr>
            <w:tcW w:type="dxa" w:w="3600"/>
            <w:tcMar>
              <w:top w:type="dxa" w:w="100"/>
              <w:left w:type="dxa" w:w="120"/>
              <w:bottom w:type="dxa" w:w="100"/>
              <w:right w:type="dxa" w:w="120"/>
            </w:tcMar>
          </w:tcPr>
          <w:p>
            <w:r>
              <w:rPr>
                <w:b w:val="false"/>
                <w:bCs w:val="false"/>
                <w:color w:val="000000"/>
              </w:rPr>
              <w:t xml:space="preserve">Wire uploaded bill into decomposition math (prior-month / tariff-average baseline)</w:t>
            </w:r>
          </w:p>
        </w:tc>
        <w:tc>
          <w:tcPr>
            <w:tcW w:type="dxa" w:w="4800"/>
            <w:tcMar>
              <w:top w:type="dxa" w:w="100"/>
              <w:left w:type="dxa" w:w="120"/>
              <w:bottom w:type="dxa" w:w="100"/>
              <w:right w:type="dxa" w:w="120"/>
            </w:tcMar>
          </w:tcPr>
          <w:p>
            <w:r>
              <w:rPr>
                <w:b w:val="false"/>
                <w:bCs w:val="false"/>
                <w:color w:val="000000"/>
              </w:rPr>
              <w:t xml:space="preserve">Unblocked — no dependency on this addendum</w:t>
            </w:r>
          </w:p>
        </w:tc>
      </w:tr>
      <w:tr>
        <w:tc>
          <w:tcPr>
            <w:tcW w:type="dxa" w:w="2200"/>
            <w:tcMar>
              <w:top w:type="dxa" w:w="100"/>
              <w:left w:type="dxa" w:w="120"/>
              <w:bottom w:type="dxa" w:w="100"/>
              <w:right w:type="dxa" w:w="120"/>
            </w:tcMar>
          </w:tcPr>
          <w:p>
            <w:r>
              <w:rPr>
                <w:b w:val="false"/>
                <w:bCs w:val="false"/>
                <w:color w:val="000000"/>
              </w:rPr>
              <w:t xml:space="preserve">2</w:t>
            </w:r>
          </w:p>
        </w:tc>
        <w:tc>
          <w:tcPr>
            <w:tcW w:type="dxa" w:w="3600"/>
            <w:tcMar>
              <w:top w:type="dxa" w:w="100"/>
              <w:left w:type="dxa" w:w="120"/>
              <w:bottom w:type="dxa" w:w="100"/>
              <w:right w:type="dxa" w:w="120"/>
            </w:tcMar>
          </w:tcPr>
          <w:p>
            <w:r>
              <w:rPr>
                <w:b w:val="false"/>
                <w:bCs w:val="false"/>
                <w:color w:val="000000"/>
              </w:rPr>
              <w:t xml:space="preserve">Reshape what-if simulation into per-component before/after tables</w:t>
            </w:r>
          </w:p>
        </w:tc>
        <w:tc>
          <w:tcPr>
            <w:tcW w:type="dxa" w:w="4800"/>
            <w:tcMar>
              <w:top w:type="dxa" w:w="100"/>
              <w:left w:type="dxa" w:w="120"/>
              <w:bottom w:type="dxa" w:w="100"/>
              <w:right w:type="dxa" w:w="120"/>
            </w:tcMar>
          </w:tcPr>
          <w:p>
            <w:r>
              <w:rPr>
                <w:b w:val="false"/>
                <w:bCs w:val="false"/>
                <w:color w:val="000000"/>
              </w:rPr>
              <w:t xml:space="preserve">Unblocked</w:t>
            </w:r>
          </w:p>
        </w:tc>
      </w:tr>
      <w:tr>
        <w:tc>
          <w:tcPr>
            <w:tcW w:type="dxa" w:w="2200"/>
            <w:tcMar>
              <w:top w:type="dxa" w:w="100"/>
              <w:left w:type="dxa" w:w="120"/>
              <w:bottom w:type="dxa" w:w="100"/>
              <w:right w:type="dxa" w:w="120"/>
            </w:tcMar>
          </w:tcPr>
          <w:p>
            <w:r>
              <w:rPr>
                <w:b w:val="false"/>
                <w:bCs w:val="false"/>
                <w:color w:val="000000"/>
              </w:rPr>
              <w:t xml:space="preserve">3</w:t>
            </w:r>
          </w:p>
        </w:tc>
        <w:tc>
          <w:tcPr>
            <w:tcW w:type="dxa" w:w="3600"/>
            <w:tcMar>
              <w:top w:type="dxa" w:w="100"/>
              <w:left w:type="dxa" w:w="120"/>
              <w:bottom w:type="dxa" w:w="100"/>
              <w:right w:type="dxa" w:w="120"/>
            </w:tcMar>
          </w:tcPr>
          <w:p>
            <w:r>
              <w:rPr>
                <w:b w:val="false"/>
                <w:bCs w:val="false"/>
                <w:color w:val="000000"/>
              </w:rPr>
              <w:t xml:space="preserve">Add LLM narrative pass over computed JSON</w:t>
            </w:r>
          </w:p>
        </w:tc>
        <w:tc>
          <w:tcPr>
            <w:tcW w:type="dxa" w:w="4800"/>
            <w:tcMar>
              <w:top w:type="dxa" w:w="100"/>
              <w:left w:type="dxa" w:w="120"/>
              <w:bottom w:type="dxa" w:w="100"/>
              <w:right w:type="dxa" w:w="120"/>
            </w:tcMar>
          </w:tcPr>
          <w:p>
            <w:r>
              <w:rPr>
                <w:b w:val="false"/>
                <w:bCs w:val="false"/>
                <w:color w:val="000000"/>
              </w:rPr>
              <w:t xml:space="preserve">Numerical Consistency Validator (this addendum's Section 3) belongs here</w:t>
            </w:r>
          </w:p>
        </w:tc>
      </w:tr>
      <w:tr>
        <w:tc>
          <w:tcPr>
            <w:tcW w:type="dxa" w:w="2200"/>
            <w:tcMar>
              <w:top w:type="dxa" w:w="100"/>
              <w:left w:type="dxa" w:w="120"/>
              <w:bottom w:type="dxa" w:w="100"/>
              <w:right w:type="dxa" w:w="120"/>
            </w:tcMar>
          </w:tcPr>
          <w:p>
            <w:r>
              <w:rPr>
                <w:b w:val="false"/>
                <w:bCs w:val="false"/>
                <w:color w:val="000000"/>
              </w:rPr>
              <w:t xml:space="preserve">4</w:t>
            </w:r>
          </w:p>
        </w:tc>
        <w:tc>
          <w:tcPr>
            <w:tcW w:type="dxa" w:w="3600"/>
            <w:tcMar>
              <w:top w:type="dxa" w:w="100"/>
              <w:left w:type="dxa" w:w="120"/>
              <w:bottom w:type="dxa" w:w="100"/>
              <w:right w:type="dxa" w:w="120"/>
            </w:tcMar>
          </w:tcPr>
          <w:p>
            <w:r>
              <w:rPr>
                <w:b w:val="false"/>
                <w:bCs w:val="false"/>
                <w:color w:val="000000"/>
              </w:rPr>
              <w:t xml:space="preserve">Add scenario persistence to database</w:t>
            </w:r>
          </w:p>
        </w:tc>
        <w:tc>
          <w:tcPr>
            <w:tcW w:type="dxa" w:w="4800"/>
            <w:tcMar>
              <w:top w:type="dxa" w:w="100"/>
              <w:left w:type="dxa" w:w="120"/>
              <w:bottom w:type="dxa" w:w="100"/>
              <w:right w:type="dxa" w:w="120"/>
            </w:tcMar>
          </w:tcPr>
          <w:p>
            <w:r>
              <w:rPr>
                <w:b w:val="false"/>
                <w:bCs w:val="false"/>
                <w:color w:val="000000"/>
              </w:rPr>
              <w:t xml:space="preserve">Unblocked</w:t>
            </w:r>
          </w:p>
        </w:tc>
      </w:tr>
      <w:tr>
        <w:tc>
          <w:tcPr>
            <w:tcW w:type="dxa" w:w="2200"/>
            <w:tcMar>
              <w:top w:type="dxa" w:w="100"/>
              <w:left w:type="dxa" w:w="120"/>
              <w:bottom w:type="dxa" w:w="100"/>
              <w:right w:type="dxa" w:w="120"/>
            </w:tcMar>
          </w:tcPr>
          <w:p>
            <w:r>
              <w:rPr>
                <w:b w:val="false"/>
                <w:bCs w:val="false"/>
                <w:color w:val="000000"/>
              </w:rPr>
              <w:t xml:space="preserve">5</w:t>
            </w:r>
          </w:p>
        </w:tc>
        <w:tc>
          <w:tcPr>
            <w:tcW w:type="dxa" w:w="3600"/>
            <w:tcMar>
              <w:top w:type="dxa" w:w="100"/>
              <w:left w:type="dxa" w:w="120"/>
              <w:bottom w:type="dxa" w:w="100"/>
              <w:right w:type="dxa" w:w="120"/>
            </w:tcMar>
          </w:tcPr>
          <w:p>
            <w:r>
              <w:rPr>
                <w:b w:val="false"/>
                <w:bCs w:val="false"/>
                <w:color w:val="000000"/>
              </w:rPr>
              <w:t xml:space="preserve">Historical tariff linkage &amp; commercial demand charges</w:t>
            </w:r>
          </w:p>
        </w:tc>
        <w:tc>
          <w:tcPr>
            <w:tcW w:type="dxa" w:w="4800"/>
            <w:tcMar>
              <w:top w:type="dxa" w:w="100"/>
              <w:left w:type="dxa" w:w="120"/>
              <w:bottom w:type="dxa" w:w="100"/>
              <w:right w:type="dxa" w:w="120"/>
            </w:tcMar>
          </w:tcPr>
          <w:p>
            <w:r>
              <w:rPr>
                <w:b w:val="false"/>
                <w:bCs w:val="false"/>
                <w:color w:val="000000"/>
              </w:rPr>
              <w:t xml:space="preserve">Absorbs the architecture doc's Tier 2/3 (curated PDF ingestion, EIA/NOAA) — one spec, not two</w:t>
            </w:r>
          </w:p>
        </w:tc>
      </w:tr>
    </w:tbl>
    <w:p>
      <w:pPr>
        <w:spacing w:before="200"/>
      </w:pPr>
    </w:p>
    <w:p>
      <w:pPr>
        <w:pStyle w:val="Heading1"/>
        <w:spacing w:after="120" w:before="280"/>
      </w:pPr>
      <w:r>
        <w:rPr>
          <w:b/>
          <w:bCs/>
          <w:color w:val="3A3A3A"/>
        </w:rPr>
        <w:t xml:space="preserve">7. Flag: Weather-Data Fusion Would Compound Existing Estimation Error</w:t>
      </w:r>
    </w:p>
    <w:p>
      <w:pPr>
        <w:spacing w:after="160"/>
      </w:pPr>
      <w:r>
        <w:t xml:space="preserve">Both this document and the affordability-modeling notes gesture at fusing NOAA weather data with billing to explain Weather Normalization / Balancing Adjustment charges. The OCR pipeline cannot yet reliably extract that component from real bills — it is tariff-ratio estimated (source-tagged "Estimated using tariff", not "OCR"). Fusing real, precise weather data against an estimated bill component would produce outputs that look more authoritative than the underlying data supports, undermining rather than improving auditability. Any weather-fusion work should wait until that component's confidence tag is "OCR" for a meaningful share of real uploads.</w:t>
      </w:r>
    </w:p>
    <w:p>
      <w:pPr>
        <w:pStyle w:val="Heading1"/>
        <w:spacing w:after="120" w:before="280"/>
      </w:pPr>
      <w:r>
        <w:rPr>
          <w:b/>
          <w:bCs/>
          <w:color w:val="3A3A3A"/>
        </w:rPr>
        <w:t xml:space="preserve">8. Summary of Recommended Edits to the Original Document</w:t>
      </w:r>
    </w:p>
    <w:p>
      <w:pPr>
        <w:pStyle w:val="ListParagraph"/>
        <w:numPr>
          <w:ilvl w:val="0"/>
          <w:numId w:val="2"/>
        </w:numPr>
        <w:spacing w:after="80"/>
      </w:pPr>
      <w:r>
        <w:t xml:space="preserve">Insert the tier-by-tier reality check (Section 2) directly after the existing Truth Ordering Hierarchy diagram.</w:t>
      </w:r>
    </w:p>
    <w:p>
      <w:pPr>
        <w:pStyle w:val="ListParagraph"/>
        <w:numPr>
          <w:ilvl w:val="0"/>
          <w:numId w:val="2"/>
        </w:numPr>
        <w:spacing w:after="80"/>
      </w:pPr>
      <w:r>
        <w:t xml:space="preserve">Extract the Numerical Consistency Validator (Section 3) as a standalone, immediately-actionable spec, decoupled from the rest of the proposal.</w:t>
      </w:r>
    </w:p>
    <w:p>
      <w:pPr>
        <w:pStyle w:val="ListParagraph"/>
        <w:numPr>
          <w:ilvl w:val="0"/>
          <w:numId w:val="2"/>
        </w:numPr>
        <w:spacing w:after="80"/>
      </w:pPr>
      <w:r>
        <w:t xml:space="preserve">Replace the Executive Summary verdict with the deferral framing in Section 4.</w:t>
      </w:r>
    </w:p>
    <w:p>
      <w:pPr>
        <w:pStyle w:val="ListParagraph"/>
        <w:numPr>
          <w:ilvl w:val="0"/>
          <w:numId w:val="2"/>
        </w:numPr>
        <w:spacing w:after="80"/>
      </w:pPr>
      <w:r>
        <w:t xml:space="preserve">Add a "Don't build" row to the architecture comparison table (Section 5).</w:t>
      </w:r>
    </w:p>
    <w:p>
      <w:pPr>
        <w:pStyle w:val="ListParagraph"/>
        <w:numPr>
          <w:ilvl w:val="0"/>
          <w:numId w:val="2"/>
        </w:numPr>
        <w:spacing w:after="80"/>
      </w:pPr>
      <w:r>
        <w:t xml:space="preserve">Merge the Tier 2/3 ingestion design into roadmap priority 5 rather than treating it as new scope (Section 6).</w:t>
      </w:r>
    </w:p>
    <w:p>
      <w:pPr>
        <w:pStyle w:val="ListParagraph"/>
        <w:numPr>
          <w:ilvl w:val="0"/>
          <w:numId w:val="2"/>
        </w:numPr>
        <w:spacing w:after="80"/>
      </w:pPr>
      <w:r>
        <w:t xml:space="preserve">Add the weather-fusion caution (Section 7) as a standing note wherever NOAA integration is discussed in the future.</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2026-08-05T16:12:04.706Z</dcterms:created>
  <dcterms:modified xsi:type="dcterms:W3CDTF">2026-08-05T16:12:04.724Z</dcterms:modified>
</cp:coreProperties>
</file>

<file path=docProps/custom.xml><?xml version="1.0" encoding="utf-8"?>
<Properties xmlns="http://schemas.openxmlformats.org/officeDocument/2006/custom-properties" xmlns:vt="http://schemas.openxmlformats.org/officeDocument/2006/docPropsVTypes"/>
</file>