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40"/>
        <w:jc w:val="center"/>
      </w:pPr>
      <w:r>
        <w:rPr>
          <w:rFonts w:ascii="Times New Roman" w:hAnsi="Times New Roman"/>
          <w:b/>
          <w:sz w:val="28"/>
        </w:rPr>
        <w:t>NMAM INSTITUTE OF TECHNOLOGY, NITTE</w:t>
      </w:r>
    </w:p>
    <w:p>
      <w:pPr>
        <w:spacing w:before="0" w:after="160"/>
        <w:jc w:val="center"/>
      </w:pPr>
      <w:r>
        <w:rPr>
          <w:rFonts w:ascii="Times New Roman" w:hAnsi="Times New Roman"/>
          <w:i/>
          <w:sz w:val="21"/>
        </w:rPr>
        <w:t>(Constituent College of Nitte Deemed to be University, Estd. 1986)</w:t>
        <w:br/>
        <w:t>Department of Information Science &amp; Engineering</w:t>
      </w:r>
    </w:p>
    <w:tbl>
      <w:tblPr>
        <w:tblW w:type="auto" w:w="0"/>
        <w:jc w:val="center"/>
        <w:tblLook w:firstColumn="1" w:firstRow="1" w:lastColumn="0" w:lastRow="0" w:noHBand="0" w:noVBand="1" w:val="04A0"/>
        <w:tblBorders>
          <w:top w:val="single" w:sz="6" w:space="0" w:color="000000"/>
          <w:bottom w:val="single" w:sz="6" w:space="0" w:color="000000"/>
          <w:left w:val="single" w:sz="6" w:space="0" w:color="000000"/>
          <w:right w:val="single" w:sz="6" w:space="0" w:color="000000"/>
          <w:insideH w:val="single" w:sz="6" w:space="0" w:color="000000"/>
          <w:insideV w:val="single" w:sz="6" w:space="0" w:color="000000"/>
        </w:tblBorders>
      </w:tblPr>
      <w:tblGrid>
        <w:gridCol w:w="4896"/>
        <w:gridCol w:w="4896"/>
      </w:tblGrid>
      <w:tr>
        <w:tc>
          <w:tcPr>
            <w:tcW w:type="dxa" w:w="4896"/>
            <w:tcMar>
              <w:top w:w="60" w:type="dxa"/>
              <w:bottom w:w="60" w:type="dxa"/>
              <w:left w:w="80" w:type="dxa"/>
              <w:right w:w="80" w:type="dxa"/>
            </w:tcMar>
            <w:shd w:fill="EFEFEF"/>
          </w:tcPr>
          <w:p>
            <w:pPr>
              <w:spacing w:after="0"/>
            </w:pPr>
            <w:r>
              <w:rPr>
                <w:rFonts w:ascii="Times New Roman" w:hAnsi="Times New Roman"/>
                <w:b/>
                <w:sz w:val="20"/>
              </w:rPr>
              <w:t>Project Topic</w:t>
            </w:r>
          </w:p>
        </w:tc>
        <w:tc>
          <w:tcPr>
            <w:tcW w:type="dxa" w:w="4896"/>
            <w:tcMar>
              <w:top w:w="60" w:type="dxa"/>
              <w:bottom w:w="60" w:type="dxa"/>
              <w:left w:w="80" w:type="dxa"/>
              <w:right w:w="80" w:type="dxa"/>
            </w:tcMar>
            <w:shd w:fill="FFFFFF"/>
          </w:tcPr>
          <w:p>
            <w:pPr>
              <w:spacing w:after="0"/>
            </w:pPr>
            <w:r>
              <w:rPr>
                <w:rFonts w:ascii="Times New Roman" w:hAnsi="Times New Roman"/>
                <w:sz w:val="20"/>
              </w:rPr>
              <w:t>NMAMIT Mentor–Mentee Management Web Portal</w:t>
            </w:r>
          </w:p>
        </w:tc>
      </w:tr>
      <w:tr>
        <w:tc>
          <w:tcPr>
            <w:tcW w:type="dxa" w:w="4896"/>
            <w:tcMar>
              <w:top w:w="60" w:type="dxa"/>
              <w:bottom w:w="60" w:type="dxa"/>
              <w:left w:w="80" w:type="dxa"/>
              <w:right w:w="80" w:type="dxa"/>
            </w:tcMar>
            <w:shd w:fill="EFEFEF"/>
          </w:tcPr>
          <w:p>
            <w:pPr>
              <w:spacing w:after="0"/>
            </w:pPr>
            <w:r>
              <w:rPr>
                <w:rFonts w:ascii="Times New Roman" w:hAnsi="Times New Roman"/>
                <w:b/>
                <w:sz w:val="20"/>
              </w:rPr>
              <w:t>Student Name</w:t>
            </w:r>
          </w:p>
        </w:tc>
        <w:tc>
          <w:tcPr>
            <w:tcW w:type="dxa" w:w="4896"/>
            <w:tcMar>
              <w:top w:w="60" w:type="dxa"/>
              <w:bottom w:w="60" w:type="dxa"/>
              <w:left w:w="80" w:type="dxa"/>
              <w:right w:w="80" w:type="dxa"/>
            </w:tcMar>
            <w:shd w:fill="FFFFFF"/>
          </w:tcPr>
          <w:p>
            <w:pPr>
              <w:spacing w:after="0"/>
            </w:pPr>
            <w:r>
              <w:rPr>
                <w:rFonts w:ascii="Times New Roman" w:hAnsi="Times New Roman"/>
                <w:sz w:val="20"/>
              </w:rPr>
              <w:t>Karthik V</w:t>
            </w:r>
          </w:p>
        </w:tc>
      </w:tr>
      <w:tr>
        <w:tc>
          <w:tcPr>
            <w:tcW w:type="dxa" w:w="4896"/>
            <w:tcMar>
              <w:top w:w="60" w:type="dxa"/>
              <w:bottom w:w="60" w:type="dxa"/>
              <w:left w:w="80" w:type="dxa"/>
              <w:right w:w="80" w:type="dxa"/>
            </w:tcMar>
            <w:shd w:fill="EFEFEF"/>
          </w:tcPr>
          <w:p>
            <w:pPr>
              <w:spacing w:after="0"/>
            </w:pPr>
            <w:r>
              <w:rPr>
                <w:rFonts w:ascii="Times New Roman" w:hAnsi="Times New Roman"/>
                <w:b/>
                <w:sz w:val="20"/>
              </w:rPr>
              <w:t>University Seat Number (USN)</w:t>
            </w:r>
          </w:p>
        </w:tc>
        <w:tc>
          <w:tcPr>
            <w:tcW w:type="dxa" w:w="4896"/>
            <w:tcMar>
              <w:top w:w="60" w:type="dxa"/>
              <w:bottom w:w="60" w:type="dxa"/>
              <w:left w:w="80" w:type="dxa"/>
              <w:right w:w="80" w:type="dxa"/>
            </w:tcMar>
            <w:shd w:fill="FFFFFF"/>
          </w:tcPr>
          <w:p>
            <w:pPr>
              <w:spacing w:after="0"/>
            </w:pPr>
            <w:r>
              <w:rPr>
                <w:rFonts w:ascii="Times New Roman" w:hAnsi="Times New Roman"/>
                <w:sz w:val="20"/>
              </w:rPr>
              <w:t>NNM23IS086</w:t>
            </w:r>
          </w:p>
        </w:tc>
      </w:tr>
      <w:tr>
        <w:tc>
          <w:tcPr>
            <w:tcW w:type="dxa" w:w="4896"/>
            <w:tcMar>
              <w:top w:w="60" w:type="dxa"/>
              <w:bottom w:w="60" w:type="dxa"/>
              <w:left w:w="80" w:type="dxa"/>
              <w:right w:w="80" w:type="dxa"/>
            </w:tcMar>
            <w:shd w:fill="EFEFEF"/>
          </w:tcPr>
          <w:p>
            <w:pPr>
              <w:spacing w:after="0"/>
            </w:pPr>
            <w:r>
              <w:rPr>
                <w:rFonts w:ascii="Times New Roman" w:hAnsi="Times New Roman"/>
                <w:b/>
                <w:sz w:val="20"/>
              </w:rPr>
              <w:t>Degree &amp; Department</w:t>
            </w:r>
          </w:p>
        </w:tc>
        <w:tc>
          <w:tcPr>
            <w:tcW w:type="dxa" w:w="4896"/>
            <w:tcMar>
              <w:top w:w="60" w:type="dxa"/>
              <w:bottom w:w="60" w:type="dxa"/>
              <w:left w:w="80" w:type="dxa"/>
              <w:right w:w="80" w:type="dxa"/>
            </w:tcMar>
            <w:shd w:fill="FFFFFF"/>
          </w:tcPr>
          <w:p>
            <w:pPr>
              <w:spacing w:after="0"/>
            </w:pPr>
            <w:r>
              <w:rPr>
                <w:rFonts w:ascii="Times New Roman" w:hAnsi="Times New Roman"/>
                <w:sz w:val="20"/>
              </w:rPr>
              <w:t>B.Tech, Department of Information Science &amp; Engineering</w:t>
            </w:r>
          </w:p>
        </w:tc>
      </w:tr>
      <w:tr>
        <w:tc>
          <w:tcPr>
            <w:tcW w:type="dxa" w:w="4896"/>
            <w:tcMar>
              <w:top w:w="60" w:type="dxa"/>
              <w:bottom w:w="60" w:type="dxa"/>
              <w:left w:w="80" w:type="dxa"/>
              <w:right w:w="80" w:type="dxa"/>
            </w:tcMar>
            <w:shd w:fill="EFEFEF"/>
          </w:tcPr>
          <w:p>
            <w:pPr>
              <w:spacing w:after="0"/>
            </w:pPr>
            <w:r>
              <w:rPr>
                <w:rFonts w:ascii="Times New Roman" w:hAnsi="Times New Roman"/>
                <w:b/>
                <w:sz w:val="20"/>
              </w:rPr>
              <w:t>Institutional Database</w:t>
            </w:r>
          </w:p>
        </w:tc>
        <w:tc>
          <w:tcPr>
            <w:tcW w:type="dxa" w:w="4896"/>
            <w:tcMar>
              <w:top w:w="60" w:type="dxa"/>
              <w:bottom w:w="60" w:type="dxa"/>
              <w:left w:w="80" w:type="dxa"/>
              <w:right w:w="80" w:type="dxa"/>
            </w:tcMar>
            <w:shd w:fill="FFFFFF"/>
          </w:tcPr>
          <w:p>
            <w:pPr>
              <w:spacing w:after="0"/>
            </w:pPr>
            <w:r>
              <w:rPr>
                <w:rFonts w:ascii="Times New Roman" w:hAnsi="Times New Roman"/>
                <w:sz w:val="20"/>
              </w:rPr>
              <w:t>Supabase PostgreSQL (AWS Dublin eu-west-1 Cluster)</w:t>
            </w:r>
          </w:p>
        </w:tc>
      </w:tr>
      <w:tr>
        <w:tc>
          <w:tcPr>
            <w:tcW w:type="dxa" w:w="4896"/>
            <w:tcMar>
              <w:top w:w="60" w:type="dxa"/>
              <w:bottom w:w="60" w:type="dxa"/>
              <w:left w:w="80" w:type="dxa"/>
              <w:right w:w="80" w:type="dxa"/>
            </w:tcMar>
            <w:shd w:fill="EFEFEF"/>
          </w:tcPr>
          <w:p>
            <w:pPr>
              <w:spacing w:after="0"/>
            </w:pPr>
            <w:r>
              <w:rPr>
                <w:rFonts w:ascii="Times New Roman" w:hAnsi="Times New Roman"/>
                <w:b/>
                <w:sz w:val="20"/>
              </w:rPr>
              <w:t>GitHub Repository</w:t>
            </w:r>
          </w:p>
        </w:tc>
        <w:tc>
          <w:tcPr>
            <w:tcW w:type="dxa" w:w="4896"/>
            <w:tcMar>
              <w:top w:w="60" w:type="dxa"/>
              <w:bottom w:w="60" w:type="dxa"/>
              <w:left w:w="80" w:type="dxa"/>
              <w:right w:w="80" w:type="dxa"/>
            </w:tcMar>
            <w:shd w:fill="FFFFFF"/>
          </w:tcPr>
          <w:p>
            <w:pPr>
              <w:spacing w:after="0"/>
            </w:pPr>
            <w:r>
              <w:rPr>
                <w:rFonts w:ascii="Times New Roman" w:hAnsi="Times New Roman"/>
                <w:sz w:val="20"/>
              </w:rPr>
              <w:t>https://github.com/Karthikv2310/Mentor-and-Mentiee.git</w:t>
            </w:r>
          </w:p>
        </w:tc>
      </w:tr>
    </w:tbl>
    <w:p>
      <w:pPr>
        <w:spacing w:after="120"/>
      </w:pPr>
    </w:p>
    <w:p>
      <w:pPr>
        <w:keepNext/>
        <w:spacing w:before="280" w:after="120"/>
      </w:pPr>
      <w:r>
        <w:rPr>
          <w:rFonts w:ascii="Times New Roman" w:hAnsi="Times New Roman"/>
          <w:b/>
          <w:color w:val="000000"/>
          <w:sz w:val="27"/>
        </w:rPr>
        <w:t>1. Problem Statement and Objectives</w:t>
      </w:r>
    </w:p>
    <w:p>
      <w:pPr>
        <w:keepNext/>
        <w:spacing w:before="200" w:after="80"/>
      </w:pPr>
      <w:r>
        <w:rPr>
          <w:rFonts w:ascii="Times New Roman" w:hAnsi="Times New Roman"/>
          <w:b/>
          <w:color w:val="000000"/>
          <w:sz w:val="24"/>
        </w:rPr>
        <w:t>1.1 Comprehending the Problem</w:t>
      </w:r>
    </w:p>
    <w:p>
      <w:pPr>
        <w:spacing w:before="0" w:after="120" w:line="276" w:lineRule="auto"/>
        <w:jc w:val="both"/>
      </w:pPr>
      <w:r>
        <w:rPr>
          <w:rFonts w:ascii="Times New Roman" w:hAnsi="Times New Roman"/>
          <w:b w:val="0"/>
          <w:i w:val="0"/>
          <w:sz w:val="22"/>
        </w:rPr>
        <w:t>In collegiate engineering institutions such as NMAM Institute of Technology (NMAMIT), Nitte, every student is allocated faculty mentors who are expected to systematically track the student's academic trajectory, attendance threshold, and socio-developmental progress [1]. Historically, this critical information has been recorded in physical paper registers or decentralized departmental spreadsheets. In such unstructured environments, serious data integrity and authorization issues arise: a mentor must manually collect sessional scores and Mid-Semester Examination (MSE) marks, notes and recommendations are rarely visible to the student, and the Head of Department (HOD) lacks a centralized console to monitor unassigned mentees, mentor workloads, or delayed remedial interventions [2].</w:t>
      </w:r>
    </w:p>
    <w:p>
      <w:pPr>
        <w:spacing w:before="0" w:after="120" w:line="276" w:lineRule="auto"/>
        <w:jc w:val="both"/>
      </w:pPr>
      <w:r>
        <w:rPr>
          <w:rFonts w:ascii="Times New Roman" w:hAnsi="Times New Roman"/>
          <w:b w:val="0"/>
          <w:i w:val="0"/>
          <w:sz w:val="22"/>
        </w:rPr>
        <w:t>Furthermore, implementing multi-user institutional systems introduces critical concurrency and security dilemmas. If multiple teachers or students modify shared academic records simultaneously without strict server-side scoping, race conditions and Insecure Direct Object Reference (IDOR) vulnerabilities can compromise student confidentiality. To address these challenges, the platform integrates institutional dual-mentoring policies, server-side role validation, and a persistent PostgreSQL cloud database hosted on Supabase.</w:t>
      </w:r>
    </w:p>
    <w:p>
      <w:pPr>
        <w:spacing w:before="0" w:after="120" w:line="276" w:lineRule="auto"/>
        <w:jc w:val="both"/>
      </w:pPr>
      <w:r>
        <w:rPr>
          <w:rFonts w:ascii="Times New Roman" w:hAnsi="Times New Roman"/>
          <w:b w:val="0"/>
          <w:i w:val="0"/>
          <w:sz w:val="22"/>
        </w:rPr>
        <w:t>For this project, I architected a full-stack institutional web platform deployed on Next.js 16 (App Router) with Prisma ORM 7, Better-SQLite3 local caching, and cloud-hosted Supabase PostgreSQL [8]. The portal models NMAMIT's verified dual mentoring architecture: the Class Proctor System, which manages class sections, attendance thresholds (&gt;75%), and MSE sessional averages; and the Faculty Advisor System, which provides remedial tutoring for slow learners and qualifying admission cohorts (PCM &lt; 65% in 12th/PUC).</w:t>
      </w:r>
    </w:p>
    <w:p>
      <w:pPr>
        <w:keepNext/>
        <w:spacing w:before="200" w:after="80"/>
      </w:pPr>
      <w:r>
        <w:rPr>
          <w:rFonts w:ascii="Times New Roman" w:hAnsi="Times New Roman"/>
          <w:b/>
          <w:color w:val="000000"/>
          <w:sz w:val="24"/>
        </w:rPr>
        <w:t>1.2 Objectives of the Project</w:t>
      </w:r>
    </w:p>
    <w:p>
      <w:pPr>
        <w:spacing w:before="0" w:after="120" w:line="276" w:lineRule="auto"/>
        <w:jc w:val="both"/>
      </w:pPr>
      <w:r>
        <w:rPr>
          <w:rFonts w:ascii="Times New Roman" w:hAnsi="Times New Roman"/>
          <w:b w:val="0"/>
          <w:i w:val="0"/>
          <w:sz w:val="22"/>
        </w:rPr>
        <w:t>The objectives of the project included:</w:t>
      </w:r>
    </w:p>
    <w:p>
      <w:pPr>
        <w:spacing w:before="0" w:after="60" w:line="276" w:lineRule="auto"/>
        <w:ind w:left="360"/>
        <w:jc w:val="both"/>
      </w:pPr>
      <w:r>
        <w:rPr>
          <w:rFonts w:ascii="Times New Roman" w:hAnsi="Times New Roman"/>
          <w:sz w:val="22"/>
        </w:rPr>
        <w:t xml:space="preserve">•  </w:t>
      </w:r>
      <w:r>
        <w:rPr>
          <w:rFonts w:ascii="Times New Roman" w:hAnsi="Times New Roman"/>
          <w:sz w:val="22"/>
        </w:rPr>
        <w:t>understanding the operational reasons for institutional dual mentoring and how role-based synchronization is achieved in an autonomous collegiate framework</w:t>
      </w:r>
    </w:p>
    <w:p>
      <w:pPr>
        <w:spacing w:before="0" w:after="60" w:line="276" w:lineRule="auto"/>
        <w:ind w:left="360"/>
        <w:jc w:val="both"/>
      </w:pPr>
      <w:r>
        <w:rPr>
          <w:rFonts w:ascii="Times New Roman" w:hAnsi="Times New Roman"/>
          <w:sz w:val="22"/>
        </w:rPr>
        <w:t xml:space="preserve">•  </w:t>
      </w:r>
      <w:r>
        <w:rPr>
          <w:rFonts w:ascii="Times New Roman" w:hAnsi="Times New Roman"/>
          <w:sz w:val="22"/>
        </w:rPr>
        <w:t>implementing the Class Proctor System to monitor section-wide attendance, MSE-1 performance, and semester examination eligibility</w:t>
      </w:r>
    </w:p>
    <w:p>
      <w:pPr>
        <w:spacing w:before="0" w:after="60" w:line="276" w:lineRule="auto"/>
        <w:ind w:left="360"/>
        <w:jc w:val="both"/>
      </w:pPr>
      <w:r>
        <w:rPr>
          <w:rFonts w:ascii="Times New Roman" w:hAnsi="Times New Roman"/>
          <w:sz w:val="22"/>
        </w:rPr>
        <w:t xml:space="preserve">•  </w:t>
      </w:r>
      <w:r>
        <w:rPr>
          <w:rFonts w:ascii="Times New Roman" w:hAnsi="Times New Roman"/>
          <w:sz w:val="22"/>
        </w:rPr>
        <w:t>implementing the Faculty Advisor System for targeted remedial tutoring of slow learners and qualifying admission cohorts</w:t>
      </w:r>
    </w:p>
    <w:p>
      <w:pPr>
        <w:spacing w:before="0" w:after="60" w:line="276" w:lineRule="auto"/>
        <w:ind w:left="360"/>
        <w:jc w:val="both"/>
      </w:pPr>
      <w:r>
        <w:rPr>
          <w:rFonts w:ascii="Times New Roman" w:hAnsi="Times New Roman"/>
          <w:sz w:val="22"/>
        </w:rPr>
        <w:t xml:space="preserve">•  </w:t>
      </w:r>
      <w:r>
        <w:rPr>
          <w:rFonts w:ascii="Times New Roman" w:hAnsi="Times New Roman"/>
          <w:sz w:val="22"/>
        </w:rPr>
        <w:t>making sure that there is strict server-side data scoping and IDOR protection so that no mentor can access unassigned mentees via direct URL requests</w:t>
      </w:r>
    </w:p>
    <w:p>
      <w:pPr>
        <w:spacing w:before="0" w:after="60" w:line="276" w:lineRule="auto"/>
        <w:ind w:left="360"/>
        <w:jc w:val="both"/>
      </w:pPr>
      <w:r>
        <w:rPr>
          <w:rFonts w:ascii="Times New Roman" w:hAnsi="Times New Roman"/>
          <w:sz w:val="22"/>
        </w:rPr>
        <w:t xml:space="preserve">•  </w:t>
      </w:r>
      <w:r>
        <w:rPr>
          <w:rFonts w:ascii="Times New Roman" w:hAnsi="Times New Roman"/>
          <w:sz w:val="22"/>
        </w:rPr>
        <w:t>enforcing a three-tier confidentiality model (Student-Visible, Mentor-Only, and Restricted Counseling) to protect sensitive socio-academic notes</w:t>
      </w:r>
    </w:p>
    <w:p>
      <w:pPr>
        <w:spacing w:before="0" w:after="60" w:line="276" w:lineRule="auto"/>
        <w:ind w:left="360"/>
        <w:jc w:val="both"/>
      </w:pPr>
      <w:r>
        <w:rPr>
          <w:rFonts w:ascii="Times New Roman" w:hAnsi="Times New Roman"/>
          <w:sz w:val="22"/>
        </w:rPr>
        <w:t xml:space="preserve">•  </w:t>
      </w:r>
      <w:r>
        <w:rPr>
          <w:rFonts w:ascii="Times New Roman" w:hAnsi="Times New Roman"/>
          <w:sz w:val="22"/>
        </w:rPr>
        <w:t>capturing all state transitions, meeting records, attendance states, and multi-semester academic progression (preserving historical SGPA and MSE marks)</w:t>
      </w:r>
    </w:p>
    <w:p>
      <w:pPr>
        <w:spacing w:before="0" w:after="60" w:line="276" w:lineRule="auto"/>
        <w:ind w:left="360"/>
        <w:jc w:val="both"/>
      </w:pPr>
      <w:r>
        <w:rPr>
          <w:rFonts w:ascii="Times New Roman" w:hAnsi="Times New Roman"/>
          <w:sz w:val="22"/>
        </w:rPr>
        <w:t xml:space="preserve">•  </w:t>
      </w:r>
      <w:r>
        <w:rPr>
          <w:rFonts w:ascii="Times New Roman" w:hAnsi="Times New Roman"/>
          <w:sz w:val="22"/>
        </w:rPr>
        <w:t>migrating and synchronizing the relational persistence layer with Supabase PostgreSQL (AWS Dublin eu-west-1 cluster) with SSL connection pooling</w:t>
      </w:r>
    </w:p>
    <w:p>
      <w:pPr>
        <w:spacing w:before="0" w:after="60" w:line="276" w:lineRule="auto"/>
        <w:ind w:left="360"/>
        <w:jc w:val="both"/>
      </w:pPr>
      <w:r>
        <w:rPr>
          <w:rFonts w:ascii="Times New Roman" w:hAnsi="Times New Roman"/>
          <w:sz w:val="22"/>
        </w:rPr>
        <w:t xml:space="preserve">•  </w:t>
      </w:r>
      <w:r>
        <w:rPr>
          <w:rFonts w:ascii="Times New Roman" w:hAnsi="Times New Roman"/>
          <w:sz w:val="22"/>
        </w:rPr>
        <w:t>having the program verify its own correctness during build and execution through an automated acceptance test suite of 15 verified test cases</w:t>
      </w:r>
    </w:p>
    <w:p>
      <w:pPr>
        <w:keepNext/>
        <w:spacing w:before="280" w:after="120"/>
      </w:pPr>
      <w:r>
        <w:rPr>
          <w:rFonts w:ascii="Times New Roman" w:hAnsi="Times New Roman"/>
          <w:b/>
          <w:color w:val="000000"/>
          <w:sz w:val="27"/>
        </w:rPr>
        <w:t>2. Dual Mentoring: Solution Based on Class Proctor System</w:t>
      </w:r>
    </w:p>
    <w:p>
      <w:pPr>
        <w:keepNext/>
        <w:spacing w:before="200" w:after="80"/>
      </w:pPr>
      <w:r>
        <w:rPr>
          <w:rFonts w:ascii="Times New Roman" w:hAnsi="Times New Roman"/>
          <w:b/>
          <w:color w:val="000000"/>
          <w:sz w:val="24"/>
        </w:rPr>
        <w:t>2.1 Description and Motivation</w:t>
      </w:r>
    </w:p>
    <w:p>
      <w:pPr>
        <w:spacing w:before="0" w:after="120" w:line="276" w:lineRule="auto"/>
        <w:jc w:val="both"/>
      </w:pPr>
      <w:r>
        <w:rPr>
          <w:rFonts w:ascii="Times New Roman" w:hAnsi="Times New Roman"/>
          <w:b w:val="0"/>
          <w:i w:val="0"/>
          <w:sz w:val="22"/>
        </w:rPr>
        <w:t>In the Class Proctor System, two faculty members are assigned per class section (e.g., Section 4-CSE-A or 4-ISE-B) to monitor the academic cohort collectively [1][4]. The proctor tracks statutory attendance (ensuring students stay above the mandatory 75% attendance threshold prescribed by autonomous university regulations) and evaluates MSE-1 scores. When attendance falls below 75% or MSE-1 marks drop below 50%, the proctor is mandated to log an actionable remediation target. What I aimed for in this module is a clean, server-scoped proctoring directory where authorized teachers manage only their permitted sections while maintaining full historical continuity.</w:t>
      </w:r>
    </w:p>
    <w:p>
      <w:pPr>
        <w:keepNext/>
        <w:spacing w:before="200" w:after="80"/>
      </w:pPr>
      <w:r>
        <w:rPr>
          <w:rFonts w:ascii="Times New Roman" w:hAnsi="Times New Roman"/>
          <w:b/>
          <w:color w:val="000000"/>
          <w:sz w:val="24"/>
        </w:rPr>
        <w:t>2.2 Design and Implementation</w:t>
      </w:r>
    </w:p>
    <w:p>
      <w:pPr>
        <w:spacing w:before="0" w:after="120" w:line="276" w:lineRule="auto"/>
        <w:jc w:val="both"/>
      </w:pPr>
      <w:r>
        <w:rPr>
          <w:rFonts w:ascii="Times New Roman" w:hAnsi="Times New Roman"/>
          <w:b w:val="0"/>
          <w:i w:val="0"/>
          <w:sz w:val="22"/>
        </w:rPr>
        <w:t>The proctor system is managed through Prisma ORM models and server-side RBAC guards in src/lib/rbac.ts. The core data relationships are governed by three primary entities:</w:t>
      </w:r>
    </w:p>
    <w:tbl>
      <w:tblPr>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3264"/>
        <w:gridCol w:w="3264"/>
        <w:gridCol w:w="3264"/>
      </w:tblGrid>
      <w:tr>
        <w:tc>
          <w:tcPr>
            <w:tcW w:type="dxa" w:w="3264"/>
            <w:shd w:fill="EFEFEF"/>
            <w:tcMar>
              <w:top w:w="60" w:type="dxa"/>
              <w:bottom w:w="60" w:type="dxa"/>
              <w:left w:w="80" w:type="dxa"/>
              <w:right w:w="80" w:type="dxa"/>
            </w:tcMar>
          </w:tcPr>
          <w:p>
            <w:pPr>
              <w:spacing w:after="0"/>
            </w:pPr>
            <w:r>
              <w:rPr>
                <w:rFonts w:ascii="Times New Roman" w:hAnsi="Times New Roman"/>
                <w:b/>
                <w:sz w:val="20"/>
              </w:rPr>
              <w:t>System Entity</w:t>
            </w:r>
          </w:p>
        </w:tc>
        <w:tc>
          <w:tcPr>
            <w:tcW w:type="dxa" w:w="3264"/>
            <w:shd w:fill="EFEFEF"/>
            <w:tcMar>
              <w:top w:w="60" w:type="dxa"/>
              <w:bottom w:w="60" w:type="dxa"/>
              <w:left w:w="80" w:type="dxa"/>
              <w:right w:w="80" w:type="dxa"/>
            </w:tcMar>
          </w:tcPr>
          <w:p>
            <w:pPr>
              <w:spacing w:after="0"/>
            </w:pPr>
            <w:r>
              <w:rPr>
                <w:rFonts w:ascii="Times New Roman" w:hAnsi="Times New Roman"/>
                <w:b/>
                <w:sz w:val="20"/>
              </w:rPr>
              <w:t>Default Value</w:t>
            </w:r>
          </w:p>
        </w:tc>
        <w:tc>
          <w:tcPr>
            <w:tcW w:type="dxa" w:w="3264"/>
            <w:shd w:fill="EFEFEF"/>
            <w:tcMar>
              <w:top w:w="60" w:type="dxa"/>
              <w:bottom w:w="60" w:type="dxa"/>
              <w:left w:w="80" w:type="dxa"/>
              <w:right w:w="80" w:type="dxa"/>
            </w:tcMar>
          </w:tcPr>
          <w:p>
            <w:pPr>
              <w:spacing w:after="0"/>
            </w:pPr>
            <w:r>
              <w:rPr>
                <w:rFonts w:ascii="Times New Roman" w:hAnsi="Times New Roman"/>
                <w:b/>
                <w:sz w:val="20"/>
              </w:rPr>
              <w:t>Purpose in Proctor System</w:t>
            </w:r>
          </w:p>
        </w:tc>
      </w:tr>
      <w:tr>
        <w:tc>
          <w:tcPr>
            <w:tcW w:type="dxa" w:w="3264"/>
            <w:tcMar>
              <w:top w:w="50" w:type="dxa"/>
              <w:bottom w:w="50" w:type="dxa"/>
              <w:left w:w="80" w:type="dxa"/>
              <w:right w:w="80" w:type="dxa"/>
            </w:tcMar>
          </w:tcPr>
          <w:p>
            <w:pPr>
              <w:spacing w:after="0"/>
            </w:pPr>
            <w:r>
              <w:rPr>
                <w:rFonts w:ascii="Times New Roman" w:hAnsi="Times New Roman"/>
                <w:sz w:val="19"/>
              </w:rPr>
              <w:t>BatchSection</w:t>
            </w:r>
          </w:p>
        </w:tc>
        <w:tc>
          <w:tcPr>
            <w:tcW w:type="dxa" w:w="3264"/>
            <w:tcMar>
              <w:top w:w="50" w:type="dxa"/>
              <w:bottom w:w="50" w:type="dxa"/>
              <w:left w:w="80" w:type="dxa"/>
              <w:right w:w="80" w:type="dxa"/>
            </w:tcMar>
          </w:tcPr>
          <w:p>
            <w:pPr>
              <w:spacing w:after="0"/>
            </w:pPr>
            <w:r>
              <w:rPr>
                <w:rFonts w:ascii="Times New Roman" w:hAnsi="Times New Roman"/>
                <w:sz w:val="19"/>
              </w:rPr>
              <w:t>e.g. 4-ISE-B</w:t>
            </w:r>
          </w:p>
        </w:tc>
        <w:tc>
          <w:tcPr>
            <w:tcW w:type="dxa" w:w="3264"/>
            <w:tcMar>
              <w:top w:w="50" w:type="dxa"/>
              <w:bottom w:w="50" w:type="dxa"/>
              <w:left w:w="80" w:type="dxa"/>
              <w:right w:w="80" w:type="dxa"/>
            </w:tcMar>
          </w:tcPr>
          <w:p>
            <w:pPr>
              <w:spacing w:after="0"/>
            </w:pPr>
            <w:r>
              <w:rPr>
                <w:rFonts w:ascii="Times New Roman" w:hAnsi="Times New Roman"/>
                <w:sz w:val="19"/>
              </w:rPr>
              <w:t>Defines the academic cohort, linking student profiles to their current semester and class section</w:t>
            </w:r>
          </w:p>
        </w:tc>
      </w:tr>
      <w:tr>
        <w:tc>
          <w:tcPr>
            <w:tcW w:type="dxa" w:w="3264"/>
            <w:tcMar>
              <w:top w:w="50" w:type="dxa"/>
              <w:bottom w:w="50" w:type="dxa"/>
              <w:left w:w="80" w:type="dxa"/>
              <w:right w:w="80" w:type="dxa"/>
            </w:tcMar>
          </w:tcPr>
          <w:p>
            <w:pPr>
              <w:spacing w:after="0"/>
            </w:pPr>
            <w:r>
              <w:rPr>
                <w:rFonts w:ascii="Times New Roman" w:hAnsi="Times New Roman"/>
                <w:sz w:val="19"/>
              </w:rPr>
              <w:t>MentorAssignment</w:t>
            </w:r>
          </w:p>
        </w:tc>
        <w:tc>
          <w:tcPr>
            <w:tcW w:type="dxa" w:w="3264"/>
            <w:tcMar>
              <w:top w:w="50" w:type="dxa"/>
              <w:bottom w:w="50" w:type="dxa"/>
              <w:left w:w="80" w:type="dxa"/>
              <w:right w:w="80" w:type="dxa"/>
            </w:tcMar>
          </w:tcPr>
          <w:p>
            <w:pPr>
              <w:spacing w:after="0"/>
            </w:pPr>
            <w:r>
              <w:rPr>
                <w:rFonts w:ascii="Times New Roman" w:hAnsi="Times New Roman"/>
                <w:sz w:val="19"/>
              </w:rPr>
              <w:t>CLASS_PROCTOR</w:t>
            </w:r>
          </w:p>
        </w:tc>
        <w:tc>
          <w:tcPr>
            <w:tcW w:type="dxa" w:w="3264"/>
            <w:tcMar>
              <w:top w:w="50" w:type="dxa"/>
              <w:bottom w:w="50" w:type="dxa"/>
              <w:left w:w="80" w:type="dxa"/>
              <w:right w:w="80" w:type="dxa"/>
            </w:tcMar>
          </w:tcPr>
          <w:p>
            <w:pPr>
              <w:spacing w:after="0"/>
            </w:pPr>
            <w:r>
              <w:rPr>
                <w:rFonts w:ascii="Times New Roman" w:hAnsi="Times New Roman"/>
                <w:sz w:val="19"/>
              </w:rPr>
              <w:t>Establishes formal proctor-to-student links, enforcing a configurable 25-mentee workload limit</w:t>
            </w:r>
          </w:p>
        </w:tc>
      </w:tr>
      <w:tr>
        <w:tc>
          <w:tcPr>
            <w:tcW w:type="dxa" w:w="3264"/>
            <w:tcMar>
              <w:top w:w="50" w:type="dxa"/>
              <w:bottom w:w="50" w:type="dxa"/>
              <w:left w:w="80" w:type="dxa"/>
              <w:right w:w="80" w:type="dxa"/>
            </w:tcMar>
          </w:tcPr>
          <w:p>
            <w:pPr>
              <w:spacing w:after="0"/>
            </w:pPr>
            <w:r>
              <w:rPr>
                <w:rFonts w:ascii="Times New Roman" w:hAnsi="Times New Roman"/>
                <w:sz w:val="19"/>
              </w:rPr>
              <w:t>AttendanceRecord</w:t>
            </w:r>
          </w:p>
        </w:tc>
        <w:tc>
          <w:tcPr>
            <w:tcW w:type="dxa" w:w="3264"/>
            <w:tcMar>
              <w:top w:w="50" w:type="dxa"/>
              <w:bottom w:w="50" w:type="dxa"/>
              <w:left w:w="80" w:type="dxa"/>
              <w:right w:w="80" w:type="dxa"/>
            </w:tcMar>
          </w:tcPr>
          <w:p>
            <w:pPr>
              <w:spacing w:after="0"/>
            </w:pPr>
            <w:r>
              <w:rPr>
                <w:rFonts w:ascii="Times New Roman" w:hAnsi="Times New Roman"/>
                <w:sz w:val="19"/>
              </w:rPr>
              <w:t>Threshold 75%</w:t>
            </w:r>
          </w:p>
        </w:tc>
        <w:tc>
          <w:tcPr>
            <w:tcW w:type="dxa" w:w="3264"/>
            <w:tcMar>
              <w:top w:w="50" w:type="dxa"/>
              <w:bottom w:w="50" w:type="dxa"/>
              <w:left w:w="80" w:type="dxa"/>
              <w:right w:w="80" w:type="dxa"/>
            </w:tcMar>
          </w:tcPr>
          <w:p>
            <w:pPr>
              <w:spacing w:after="0"/>
            </w:pPr>
            <w:r>
              <w:rPr>
                <w:rFonts w:ascii="Times New Roman" w:hAnsi="Times New Roman"/>
                <w:sz w:val="19"/>
              </w:rPr>
              <w:t>Monitors session participation and flags students who fall below the statutory examination threshold</w:t>
            </w:r>
          </w:p>
        </w:tc>
      </w:tr>
    </w:tbl>
    <w:p>
      <w:pPr>
        <w:spacing w:before="0" w:after="120" w:line="276" w:lineRule="auto"/>
        <w:jc w:val="both"/>
      </w:pPr>
      <w:r>
        <w:rPr>
          <w:rFonts w:ascii="Times New Roman" w:hAnsi="Times New Roman"/>
          <w:b w:val="0"/>
          <w:i w:val="0"/>
          <w:sz w:val="22"/>
        </w:rPr>
        <w:t>The event recorder and audit logger, built into src/lib/audit.ts, records every student creation, allocation change, and attendance update. It keeps a tamper-resistant snapshot of the entire mentoring state along with the actor ID and client IP address.</w:t>
      </w:r>
    </w:p>
    <w:p>
      <w:pPr>
        <w:keepNext/>
        <w:spacing w:before="200" w:after="80"/>
      </w:pPr>
      <w:r>
        <w:rPr>
          <w:rFonts w:ascii="Times New Roman" w:hAnsi="Times New Roman"/>
          <w:b/>
          <w:color w:val="000000"/>
          <w:sz w:val="24"/>
        </w:rPr>
        <w:t>2.3 The Process of Execution and the Algorithm Used</w:t>
      </w:r>
    </w:p>
    <w:p>
      <w:pPr>
        <w:spacing w:before="0" w:after="60" w:line="276" w:lineRule="auto"/>
        <w:ind w:left="360"/>
        <w:jc w:val="both"/>
      </w:pPr>
      <w:r>
        <w:rPr>
          <w:rFonts w:ascii="Times New Roman" w:hAnsi="Times New Roman"/>
          <w:b/>
          <w:sz w:val="22"/>
        </w:rPr>
        <w:t xml:space="preserve">1. </w:t>
      </w:r>
      <w:r>
        <w:rPr>
          <w:rFonts w:ascii="Times New Roman" w:hAnsi="Times New Roman"/>
          <w:sz w:val="22"/>
        </w:rPr>
        <w:t>A teacher signs in and requests the mentee directory via GET /api/students. The server decodes the HttpOnly JWT session and loads the user's assigned department scope.</w:t>
      </w:r>
    </w:p>
    <w:p>
      <w:pPr>
        <w:spacing w:before="0" w:after="60" w:line="276" w:lineRule="auto"/>
        <w:ind w:left="360"/>
        <w:jc w:val="both"/>
      </w:pPr>
      <w:r>
        <w:rPr>
          <w:rFonts w:ascii="Times New Roman" w:hAnsi="Times New Roman"/>
          <w:b/>
          <w:sz w:val="22"/>
        </w:rPr>
        <w:t xml:space="preserve">2. </w:t>
      </w:r>
      <w:r>
        <w:rPr>
          <w:rFonts w:ascii="Times New Roman" w:hAnsi="Times New Roman"/>
          <w:sz w:val="22"/>
        </w:rPr>
        <w:t>The server executes canAccessStudent() to ensure the teacher can only retrieve students linked to their assigned department or active proctor assignment.</w:t>
      </w:r>
    </w:p>
    <w:p>
      <w:pPr>
        <w:spacing w:before="0" w:after="60" w:line="276" w:lineRule="auto"/>
        <w:ind w:left="360"/>
        <w:jc w:val="both"/>
      </w:pPr>
      <w:r>
        <w:rPr>
          <w:rFonts w:ascii="Times New Roman" w:hAnsi="Times New Roman"/>
          <w:b/>
          <w:sz w:val="22"/>
        </w:rPr>
        <w:t xml:space="preserve">3. </w:t>
      </w:r>
      <w:r>
        <w:rPr>
          <w:rFonts w:ascii="Times New Roman" w:hAnsi="Times New Roman"/>
          <w:sz w:val="22"/>
        </w:rPr>
        <w:t>The teacher schedules a section meeting via POST /api/meetings. The server checks for time collisions against the Asia/Kolkata timezone.</w:t>
      </w:r>
    </w:p>
    <w:p>
      <w:pPr>
        <w:spacing w:before="0" w:after="60" w:line="276" w:lineRule="auto"/>
        <w:ind w:left="360"/>
        <w:jc w:val="both"/>
      </w:pPr>
      <w:r>
        <w:rPr>
          <w:rFonts w:ascii="Times New Roman" w:hAnsi="Times New Roman"/>
          <w:b/>
          <w:sz w:val="22"/>
        </w:rPr>
        <w:t xml:space="preserve">4. </w:t>
      </w:r>
      <w:r>
        <w:rPr>
          <w:rFonts w:ascii="Times New Roman" w:hAnsi="Times New Roman"/>
          <w:sz w:val="22"/>
        </w:rPr>
        <w:t>During or after the meeting, the teacher records attendance states (PRESENT, ABSENT, EXCUSED) via PATCH /api/meetings/[id].</w:t>
      </w:r>
    </w:p>
    <w:p>
      <w:pPr>
        <w:spacing w:before="0" w:after="60" w:line="276" w:lineRule="auto"/>
        <w:ind w:left="360"/>
        <w:jc w:val="both"/>
      </w:pPr>
      <w:r>
        <w:rPr>
          <w:rFonts w:ascii="Times New Roman" w:hAnsi="Times New Roman"/>
          <w:b/>
          <w:sz w:val="22"/>
        </w:rPr>
        <w:t xml:space="preserve">5. </w:t>
      </w:r>
      <w:r>
        <w:rPr>
          <w:rFonts w:ascii="Times New Roman" w:hAnsi="Times New Roman"/>
          <w:sz w:val="22"/>
        </w:rPr>
        <w:t>If a mentee's MSE score is below 50% or attendance is below 75%, an automated remedial alert is triggered, prompting the proctor to formulate an action item.</w:t>
      </w:r>
    </w:p>
    <w:p>
      <w:pPr>
        <w:spacing w:before="0" w:after="60" w:line="276" w:lineRule="auto"/>
        <w:ind w:left="360"/>
        <w:jc w:val="both"/>
      </w:pPr>
      <w:r>
        <w:rPr>
          <w:rFonts w:ascii="Times New Roman" w:hAnsi="Times New Roman"/>
          <w:b/>
          <w:sz w:val="22"/>
        </w:rPr>
        <w:t xml:space="preserve">6. </w:t>
      </w:r>
      <w:r>
        <w:rPr>
          <w:rFonts w:ascii="Times New Roman" w:hAnsi="Times New Roman"/>
          <w:sz w:val="22"/>
        </w:rPr>
        <w:t>The transaction completes atomically in Supabase PostgreSQL; any network disruption or constraint violation rolls back all changes.</w:t>
      </w:r>
    </w:p>
    <w:p>
      <w:pPr>
        <w:spacing w:before="80" w:after="120" w:line="276" w:lineRule="auto"/>
        <w:ind w:left="360"/>
        <w:jc w:val="both"/>
      </w:pPr>
      <w:r>
        <w:rPr>
          <w:rFonts w:ascii="Times New Roman" w:hAnsi="Times New Roman"/>
          <w:b/>
          <w:sz w:val="21"/>
        </w:rPr>
        <w:t xml:space="preserve">Observation: </w:t>
      </w:r>
      <w:r>
        <w:rPr>
          <w:rFonts w:ascii="Times New Roman" w:hAnsi="Times New Roman"/>
          <w:i/>
          <w:sz w:val="21"/>
        </w:rPr>
        <w:t>Because a proctor's scope is locked to their assigned section, attempts to query external student records via modified API requests are rejected with HTTP 403 Forbidden.</w:t>
      </w:r>
    </w:p>
    <w:p>
      <w:r>
        <w:br w:type="page"/>
      </w:r>
    </w:p>
    <w:p>
      <w:pPr>
        <w:keepNext/>
        <w:spacing w:before="280" w:after="120"/>
      </w:pPr>
      <w:r>
        <w:rPr>
          <w:rFonts w:ascii="Times New Roman" w:hAnsi="Times New Roman"/>
          <w:b/>
          <w:color w:val="000000"/>
          <w:sz w:val="27"/>
        </w:rPr>
        <w:t>3. Dual Mentoring: Solution Based on Faculty Advisor System</w:t>
      </w:r>
    </w:p>
    <w:p>
      <w:pPr>
        <w:keepNext/>
        <w:spacing w:before="200" w:after="80"/>
      </w:pPr>
      <w:r>
        <w:rPr>
          <w:rFonts w:ascii="Times New Roman" w:hAnsi="Times New Roman"/>
          <w:b/>
          <w:color w:val="000000"/>
          <w:sz w:val="24"/>
        </w:rPr>
        <w:t>3.1 Background and Purpose</w:t>
      </w:r>
    </w:p>
    <w:p>
      <w:pPr>
        <w:spacing w:before="0" w:after="120" w:line="276" w:lineRule="auto"/>
        <w:jc w:val="both"/>
      </w:pPr>
      <w:r>
        <w:rPr>
          <w:rFonts w:ascii="Times New Roman" w:hAnsi="Times New Roman"/>
          <w:b w:val="0"/>
          <w:i w:val="0"/>
          <w:sz w:val="22"/>
        </w:rPr>
        <w:t>While the Class Proctor monitors entire sections, NMAMIT's published mentoring policy mandates that a Faculty Advisor is assigned on an individualized basis [1][5]. This system serves two specific student demographics: (1) students entering with qualifying academic criteria, such as NRI admissions, lateral entry candidates, or those with &lt;65% in 12th/PUC Physics-Chemistry-Maths (PCM); and (2) students identified as slow learners post-MSE-1. The Faculty Advisor provides dedicated one-to-one mentoring, diagnostic counseling, and coordinated academic remediation.</w:t>
      </w:r>
    </w:p>
    <w:p>
      <w:pPr>
        <w:keepNext/>
        <w:spacing w:before="200" w:after="80"/>
      </w:pPr>
      <w:r>
        <w:rPr>
          <w:rFonts w:ascii="Times New Roman" w:hAnsi="Times New Roman"/>
          <w:b/>
          <w:color w:val="000000"/>
          <w:sz w:val="24"/>
        </w:rPr>
        <w:t>3.2 Program Design and Development</w:t>
      </w:r>
    </w:p>
    <w:p>
      <w:pPr>
        <w:spacing w:before="0" w:after="120" w:line="276" w:lineRule="auto"/>
        <w:jc w:val="both"/>
      </w:pPr>
      <w:r>
        <w:rPr>
          <w:rFonts w:ascii="Times New Roman" w:hAnsi="Times New Roman"/>
          <w:b w:val="0"/>
          <w:i w:val="0"/>
          <w:sz w:val="22"/>
        </w:rPr>
        <w:t>In the Faculty Advisor architecture, the platform implements dedicated advisory logic in src/app/api/mentors/assign/route.ts containing four foundational controls:</w:t>
      </w:r>
    </w:p>
    <w:p>
      <w:pPr>
        <w:spacing w:before="0" w:after="60" w:line="276" w:lineRule="auto"/>
        <w:ind w:left="360"/>
        <w:jc w:val="both"/>
      </w:pPr>
      <w:r>
        <w:rPr>
          <w:rFonts w:ascii="Times New Roman" w:hAnsi="Times New Roman"/>
          <w:sz w:val="22"/>
        </w:rPr>
        <w:t xml:space="preserve">•  </w:t>
      </w:r>
      <w:r>
        <w:rPr>
          <w:rFonts w:ascii="Times New Roman" w:hAnsi="Times New Roman"/>
          <w:b/>
          <w:sz w:val="22"/>
        </w:rPr>
        <w:t xml:space="preserve">One primary advisory link: </w:t>
      </w:r>
      <w:r>
        <w:rPr>
          <w:rFonts w:ascii="Times New Roman" w:hAnsi="Times New Roman"/>
          <w:sz w:val="22"/>
        </w:rPr>
        <w:t>Each student requiring specialized advising is linked to a faculty member with roleType = 'FACULTY_ADVISOR'.</w:t>
      </w:r>
    </w:p>
    <w:p>
      <w:pPr>
        <w:spacing w:before="0" w:after="60" w:line="276" w:lineRule="auto"/>
        <w:ind w:left="360"/>
        <w:jc w:val="both"/>
      </w:pPr>
      <w:r>
        <w:rPr>
          <w:rFonts w:ascii="Times New Roman" w:hAnsi="Times New Roman"/>
          <w:sz w:val="22"/>
        </w:rPr>
        <w:t xml:space="preserve">•  </w:t>
      </w:r>
      <w:r>
        <w:rPr>
          <w:rFonts w:ascii="Times New Roman" w:hAnsi="Times New Roman"/>
          <w:b/>
          <w:sz w:val="22"/>
        </w:rPr>
        <w:t xml:space="preserve">Two qualification triggers: </w:t>
      </w:r>
      <w:r>
        <w:rPr>
          <w:rFonts w:ascii="Times New Roman" w:hAnsi="Times New Roman"/>
          <w:sz w:val="22"/>
        </w:rPr>
        <w:t>The system automatically flags students for advisory assignment if admission PCM is &lt;65% or if cumulative SGPA falls below 6.0.</w:t>
      </w:r>
    </w:p>
    <w:p>
      <w:pPr>
        <w:spacing w:before="0" w:after="60" w:line="276" w:lineRule="auto"/>
        <w:ind w:left="360"/>
        <w:jc w:val="both"/>
      </w:pPr>
      <w:r>
        <w:rPr>
          <w:rFonts w:ascii="Times New Roman" w:hAnsi="Times New Roman"/>
          <w:sz w:val="22"/>
        </w:rPr>
        <w:t xml:space="preserve">•  </w:t>
      </w:r>
      <w:r>
        <w:rPr>
          <w:rFonts w:ascii="Times New Roman" w:hAnsi="Times New Roman"/>
          <w:b/>
          <w:sz w:val="22"/>
        </w:rPr>
        <w:t xml:space="preserve">Three-tier note confidentiality: </w:t>
      </w:r>
      <w:r>
        <w:rPr>
          <w:rFonts w:ascii="Times New Roman" w:hAnsi="Times New Roman"/>
          <w:sz w:val="22"/>
        </w:rPr>
        <w:t>Advisors can formulate session notes with locked visibility: STUDENT_VISIBLE (remedial targets), MENTOR_ONLY (internal observations), or RESTRICTED_COUNSELLING (psychological referrals).</w:t>
      </w:r>
    </w:p>
    <w:p>
      <w:pPr>
        <w:spacing w:before="0" w:after="60" w:line="276" w:lineRule="auto"/>
        <w:ind w:left="360"/>
        <w:jc w:val="both"/>
      </w:pPr>
      <w:r>
        <w:rPr>
          <w:rFonts w:ascii="Times New Roman" w:hAnsi="Times New Roman"/>
          <w:sz w:val="22"/>
        </w:rPr>
        <w:t xml:space="preserve">•  </w:t>
      </w:r>
      <w:r>
        <w:rPr>
          <w:rFonts w:ascii="Times New Roman" w:hAnsi="Times New Roman"/>
          <w:b/>
          <w:sz w:val="22"/>
        </w:rPr>
        <w:t xml:space="preserve">Four entry procedures: </w:t>
      </w:r>
      <w:r>
        <w:rPr>
          <w:rFonts w:ascii="Times New Roman" w:hAnsi="Times New Roman"/>
          <w:sz w:val="22"/>
        </w:rPr>
        <w:t>The API exposes assignAdvisor(), endAssignment(), logRemedialGoal(), and closeActionItem() to govern the advisory lifecycle.</w:t>
      </w:r>
    </w:p>
    <w:p>
      <w:pPr>
        <w:spacing w:before="0" w:after="120" w:line="276" w:lineRule="auto"/>
        <w:jc w:val="both"/>
      </w:pPr>
      <w:r>
        <w:rPr>
          <w:rFonts w:ascii="Times New Roman" w:hAnsi="Times New Roman"/>
          <w:b w:val="0"/>
          <w:i w:val="0"/>
          <w:sz w:val="22"/>
        </w:rPr>
        <w:t>In the Supabase PostgreSQL database, MentorAssignment records store effective start and end dates. When a student improves or transitions to a different advisor, the previous assignment is flagged as TRANSFERRED, preserving historical continuity for accreditation audits.</w:t>
      </w:r>
    </w:p>
    <w:p>
      <w:pPr>
        <w:keepNext/>
        <w:spacing w:before="200" w:after="80"/>
      </w:pPr>
      <w:r>
        <w:rPr>
          <w:rFonts w:ascii="Times New Roman" w:hAnsi="Times New Roman"/>
          <w:b/>
          <w:color w:val="000000"/>
          <w:sz w:val="24"/>
        </w:rPr>
        <w:t>3.3 Execution Process and Logic</w:t>
      </w:r>
    </w:p>
    <w:p>
      <w:pPr>
        <w:spacing w:before="0" w:after="60" w:line="276" w:lineRule="auto"/>
        <w:ind w:left="360"/>
        <w:jc w:val="both"/>
      </w:pPr>
      <w:r>
        <w:rPr>
          <w:rFonts w:ascii="Times New Roman" w:hAnsi="Times New Roman"/>
          <w:b/>
          <w:sz w:val="22"/>
        </w:rPr>
        <w:t xml:space="preserve">1. </w:t>
      </w:r>
      <w:r>
        <w:rPr>
          <w:rFonts w:ascii="Times New Roman" w:hAnsi="Times New Roman"/>
          <w:sz w:val="22"/>
        </w:rPr>
        <w:t>A student is flagged by the HOD or through bulk CSV import based on admission PCM (&lt;65%) or MSE-1 performance.</w:t>
      </w:r>
    </w:p>
    <w:p>
      <w:pPr>
        <w:spacing w:before="0" w:after="60" w:line="276" w:lineRule="auto"/>
        <w:ind w:left="360"/>
        <w:jc w:val="both"/>
      </w:pPr>
      <w:r>
        <w:rPr>
          <w:rFonts w:ascii="Times New Roman" w:hAnsi="Times New Roman"/>
          <w:b/>
          <w:sz w:val="22"/>
        </w:rPr>
        <w:t xml:space="preserve">2. </w:t>
      </w:r>
      <w:r>
        <w:rPr>
          <w:rFonts w:ascii="Times New Roman" w:hAnsi="Times New Roman"/>
          <w:sz w:val="22"/>
        </w:rPr>
        <w:t>The HOD assigns a dedicated Faculty Advisor from the allocation board at /mentors. The system checks the advisor's active mentee count against the institutional capacity limit (25).</w:t>
      </w:r>
    </w:p>
    <w:p>
      <w:pPr>
        <w:spacing w:before="0" w:after="60" w:line="276" w:lineRule="auto"/>
        <w:ind w:left="360"/>
        <w:jc w:val="both"/>
      </w:pPr>
      <w:r>
        <w:rPr>
          <w:rFonts w:ascii="Times New Roman" w:hAnsi="Times New Roman"/>
          <w:b/>
          <w:sz w:val="22"/>
        </w:rPr>
        <w:t xml:space="preserve">3. </w:t>
      </w:r>
      <w:r>
        <w:rPr>
          <w:rFonts w:ascii="Times New Roman" w:hAnsi="Times New Roman"/>
          <w:sz w:val="22"/>
        </w:rPr>
        <w:t>The Faculty Advisor schedules individual counseling sessions. Sessions are recorded in Asia/Kolkata standard time.</w:t>
      </w:r>
    </w:p>
    <w:p>
      <w:pPr>
        <w:spacing w:before="0" w:after="60" w:line="276" w:lineRule="auto"/>
        <w:ind w:left="360"/>
        <w:jc w:val="both"/>
      </w:pPr>
      <w:r>
        <w:rPr>
          <w:rFonts w:ascii="Times New Roman" w:hAnsi="Times New Roman"/>
          <w:b/>
          <w:sz w:val="22"/>
        </w:rPr>
        <w:t xml:space="preserve">4. </w:t>
      </w:r>
      <w:r>
        <w:rPr>
          <w:rFonts w:ascii="Times New Roman" w:hAnsi="Times New Roman"/>
          <w:sz w:val="22"/>
        </w:rPr>
        <w:t>Action items with explicit due dates and priorities are created. The student can view their remedial targets in real time on their personal dashboard.</w:t>
      </w:r>
    </w:p>
    <w:p>
      <w:pPr>
        <w:spacing w:before="0" w:after="60" w:line="276" w:lineRule="auto"/>
        <w:ind w:left="360"/>
        <w:jc w:val="both"/>
      </w:pPr>
      <w:r>
        <w:rPr>
          <w:rFonts w:ascii="Times New Roman" w:hAnsi="Times New Roman"/>
          <w:b/>
          <w:sz w:val="22"/>
        </w:rPr>
        <w:t xml:space="preserve">5. </w:t>
      </w:r>
      <w:r>
        <w:rPr>
          <w:rFonts w:ascii="Times New Roman" w:hAnsi="Times New Roman"/>
          <w:sz w:val="22"/>
        </w:rPr>
        <w:t>Upon successful completion of remedial goals and academic recovery, the advisor updates the goal status to COMPLETED, and the audit log records the remediation milestone.</w:t>
      </w:r>
    </w:p>
    <w:p>
      <w:pPr>
        <w:keepNext/>
        <w:spacing w:before="280" w:after="120"/>
      </w:pPr>
      <w:r>
        <w:rPr>
          <w:rFonts w:ascii="Times New Roman" w:hAnsi="Times New Roman"/>
          <w:b/>
          <w:color w:val="000000"/>
          <w:sz w:val="27"/>
        </w:rPr>
        <w:t>4. Relational Database Design with Supabase PostgreSQL</w:t>
      </w:r>
    </w:p>
    <w:p>
      <w:pPr>
        <w:keepNext/>
        <w:spacing w:before="200" w:after="80"/>
      </w:pPr>
      <w:r>
        <w:rPr>
          <w:rFonts w:ascii="Times New Roman" w:hAnsi="Times New Roman"/>
          <w:b/>
          <w:color w:val="000000"/>
          <w:sz w:val="24"/>
        </w:rPr>
        <w:t>4.1 Introduction and Motivation</w:t>
      </w:r>
    </w:p>
    <w:p>
      <w:pPr>
        <w:spacing w:before="0" w:after="120" w:line="276" w:lineRule="auto"/>
        <w:jc w:val="both"/>
      </w:pPr>
      <w:r>
        <w:rPr>
          <w:rFonts w:ascii="Times New Roman" w:hAnsi="Times New Roman"/>
          <w:b w:val="0"/>
          <w:i w:val="0"/>
          <w:sz w:val="22"/>
        </w:rPr>
        <w:t>A robust mentoring platform requires an enterprise relational schema that prevents data loss during semester advancement while separating public academic profiles from authentication identities. In this project, the persistence layer was built with Prisma ORM 7 and migrated to a live Supabase PostgreSQL cluster (AWS Dublin eu-west-1). The schema defines 18 normalized models, enforcing strict foreign key constraints, composite unique indexes, and cascade protections.</w:t>
      </w:r>
    </w:p>
    <w:p>
      <w:pPr>
        <w:keepNext/>
        <w:spacing w:before="200" w:after="80"/>
      </w:pPr>
      <w:r>
        <w:rPr>
          <w:rFonts w:ascii="Times New Roman" w:hAnsi="Times New Roman"/>
          <w:b/>
          <w:color w:val="000000"/>
          <w:sz w:val="24"/>
        </w:rPr>
        <w:t>4.2 Relational Model Architecture</w:t>
      </w:r>
    </w:p>
    <w:p>
      <w:pPr>
        <w:spacing w:before="0" w:after="120" w:line="276" w:lineRule="auto"/>
        <w:jc w:val="both"/>
      </w:pPr>
      <w:r>
        <w:rPr>
          <w:rFonts w:ascii="Times New Roman" w:hAnsi="Times New Roman"/>
          <w:b w:val="0"/>
          <w:i w:val="0"/>
          <w:sz w:val="22"/>
        </w:rPr>
        <w:t>The database architecture is structured into core relational clusters:</w:t>
      </w:r>
    </w:p>
    <w:p>
      <w:pPr>
        <w:spacing w:before="0" w:after="60" w:line="276" w:lineRule="auto"/>
        <w:ind w:left="360"/>
        <w:jc w:val="both"/>
      </w:pPr>
      <w:r>
        <w:rPr>
          <w:rFonts w:ascii="Times New Roman" w:hAnsi="Times New Roman"/>
          <w:sz w:val="22"/>
        </w:rPr>
        <w:t xml:space="preserve">•  </w:t>
      </w:r>
      <w:r>
        <w:rPr>
          <w:rFonts w:ascii="Times New Roman" w:hAnsi="Times New Roman"/>
          <w:b/>
          <w:sz w:val="22"/>
        </w:rPr>
        <w:t xml:space="preserve">Identity &amp; Access: </w:t>
      </w:r>
      <w:r>
        <w:rPr>
          <w:rFonts w:ascii="Times New Roman" w:hAnsi="Times New Roman"/>
          <w:sz w:val="22"/>
        </w:rPr>
        <w:t>User (authentication credentials, bcrypt hash, role: ADMIN, HOD, TEACHER, STUDENT), Department (verified NMAMIT branches), Programme, AcademicYear.</w:t>
      </w:r>
    </w:p>
    <w:p>
      <w:pPr>
        <w:spacing w:before="0" w:after="60" w:line="276" w:lineRule="auto"/>
        <w:ind w:left="360"/>
        <w:jc w:val="both"/>
      </w:pPr>
      <w:r>
        <w:rPr>
          <w:rFonts w:ascii="Times New Roman" w:hAnsi="Times New Roman"/>
          <w:sz w:val="22"/>
        </w:rPr>
        <w:t xml:space="preserve">•  </w:t>
      </w:r>
      <w:r>
        <w:rPr>
          <w:rFonts w:ascii="Times New Roman" w:hAnsi="Times New Roman"/>
          <w:b/>
          <w:sz w:val="22"/>
        </w:rPr>
        <w:t xml:space="preserve">Academic Profiles: </w:t>
      </w:r>
      <w:r>
        <w:rPr>
          <w:rFonts w:ascii="Times New Roman" w:hAnsi="Times New Roman"/>
          <w:sz w:val="22"/>
        </w:rPr>
        <w:t>FacultyProfile (staged verified faculty with source URLs), StudentProfile (keyed by institutional USN, e.g., 4NM23CS042).</w:t>
      </w:r>
    </w:p>
    <w:p>
      <w:pPr>
        <w:spacing w:before="0" w:after="60" w:line="276" w:lineRule="auto"/>
        <w:ind w:left="360"/>
        <w:jc w:val="both"/>
      </w:pPr>
      <w:r>
        <w:rPr>
          <w:rFonts w:ascii="Times New Roman" w:hAnsi="Times New Roman"/>
          <w:sz w:val="22"/>
        </w:rPr>
        <w:t xml:space="preserve">•  </w:t>
      </w:r>
      <w:r>
        <w:rPr>
          <w:rFonts w:ascii="Times New Roman" w:hAnsi="Times New Roman"/>
          <w:b/>
          <w:sz w:val="22"/>
        </w:rPr>
        <w:t xml:space="preserve">Progression Trajectory: </w:t>
      </w:r>
      <w:r>
        <w:rPr>
          <w:rFonts w:ascii="Times New Roman" w:hAnsi="Times New Roman"/>
          <w:sz w:val="22"/>
        </w:rPr>
        <w:t>StudentProgression (semester-by-semester historical trajectory: SGPA, CGPA, MSE marks, attendance percentage).</w:t>
      </w:r>
    </w:p>
    <w:p>
      <w:pPr>
        <w:spacing w:before="0" w:after="60" w:line="276" w:lineRule="auto"/>
        <w:ind w:left="360"/>
        <w:jc w:val="both"/>
      </w:pPr>
      <w:r>
        <w:rPr>
          <w:rFonts w:ascii="Times New Roman" w:hAnsi="Times New Roman"/>
          <w:sz w:val="22"/>
        </w:rPr>
        <w:t xml:space="preserve">•  </w:t>
      </w:r>
      <w:r>
        <w:rPr>
          <w:rFonts w:ascii="Times New Roman" w:hAnsi="Times New Roman"/>
          <w:b/>
          <w:sz w:val="22"/>
        </w:rPr>
        <w:t xml:space="preserve">Mentoring &amp; Interactions: </w:t>
      </w:r>
      <w:r>
        <w:rPr>
          <w:rFonts w:ascii="Times New Roman" w:hAnsi="Times New Roman"/>
          <w:sz w:val="22"/>
        </w:rPr>
        <w:t>MentorAssignment (PROCTOR vs ADVISOR), Meeting, MeetingParticipant, MeetingNote, ActionItem, AppointmentRequest.</w:t>
      </w:r>
    </w:p>
    <w:p>
      <w:pPr>
        <w:spacing w:before="0" w:after="60" w:line="276" w:lineRule="auto"/>
        <w:ind w:left="360"/>
        <w:jc w:val="both"/>
      </w:pPr>
      <w:r>
        <w:rPr>
          <w:rFonts w:ascii="Times New Roman" w:hAnsi="Times New Roman"/>
          <w:sz w:val="22"/>
        </w:rPr>
        <w:t xml:space="preserve">•  </w:t>
      </w:r>
      <w:r>
        <w:rPr>
          <w:rFonts w:ascii="Times New Roman" w:hAnsi="Times New Roman"/>
          <w:b/>
          <w:sz w:val="22"/>
        </w:rPr>
        <w:t xml:space="preserve">Audit &amp; Ingestion: </w:t>
      </w:r>
      <w:r>
        <w:rPr>
          <w:rFonts w:ascii="Times New Roman" w:hAnsi="Times New Roman"/>
          <w:sz w:val="22"/>
        </w:rPr>
        <w:t>AuditEvent (tamper-proof forensic trail), ImportJob, ImportRowError, InstitutionalSetting.</w:t>
      </w:r>
    </w:p>
    <w:p>
      <w:pPr>
        <w:keepNext/>
        <w:spacing w:before="200" w:after="80"/>
      </w:pPr>
      <w:r>
        <w:rPr>
          <w:rFonts w:ascii="Times New Roman" w:hAnsi="Times New Roman"/>
          <w:b/>
          <w:color w:val="000000"/>
          <w:sz w:val="24"/>
        </w:rPr>
        <w:t>4.3 Execution Process and Database Lifecycle</w:t>
      </w:r>
    </w:p>
    <w:p>
      <w:pPr>
        <w:spacing w:before="0" w:after="60" w:line="276" w:lineRule="auto"/>
        <w:ind w:left="360"/>
        <w:jc w:val="both"/>
      </w:pPr>
      <w:r>
        <w:rPr>
          <w:rFonts w:ascii="Times New Roman" w:hAnsi="Times New Roman"/>
          <w:b/>
          <w:sz w:val="22"/>
        </w:rPr>
        <w:t xml:space="preserve">1. </w:t>
      </w:r>
      <w:r>
        <w:rPr>
          <w:rFonts w:ascii="Times New Roman" w:hAnsi="Times New Roman"/>
          <w:sz w:val="22"/>
        </w:rPr>
        <w:t>When a new student is admitted, a StudentProfile is created with their official USN.</w:t>
      </w:r>
    </w:p>
    <w:p>
      <w:pPr>
        <w:spacing w:before="0" w:after="60" w:line="276" w:lineRule="auto"/>
        <w:ind w:left="360"/>
        <w:jc w:val="both"/>
      </w:pPr>
      <w:r>
        <w:rPr>
          <w:rFonts w:ascii="Times New Roman" w:hAnsi="Times New Roman"/>
          <w:b/>
          <w:sz w:val="22"/>
        </w:rPr>
        <w:t xml:space="preserve">2. </w:t>
      </w:r>
      <w:r>
        <w:rPr>
          <w:rFonts w:ascii="Times New Roman" w:hAnsi="Times New Roman"/>
          <w:sz w:val="22"/>
        </w:rPr>
        <w:t>For every active term, a StudentProgression tuple is initialized with the current semester number.</w:t>
      </w:r>
    </w:p>
    <w:p>
      <w:pPr>
        <w:spacing w:before="0" w:after="60" w:line="276" w:lineRule="auto"/>
        <w:ind w:left="360"/>
        <w:jc w:val="both"/>
      </w:pPr>
      <w:r>
        <w:rPr>
          <w:rFonts w:ascii="Times New Roman" w:hAnsi="Times New Roman"/>
          <w:b/>
          <w:sz w:val="22"/>
        </w:rPr>
        <w:t xml:space="preserve">3. </w:t>
      </w:r>
      <w:r>
        <w:rPr>
          <w:rFonts w:ascii="Times New Roman" w:hAnsi="Times New Roman"/>
          <w:sz w:val="22"/>
        </w:rPr>
        <w:t>When the student advances from Semester 4 to Semester 5, the Semester 4 SGPA and attendance records remain permanently stored in the progression table.</w:t>
      </w:r>
    </w:p>
    <w:p>
      <w:pPr>
        <w:spacing w:before="0" w:after="60" w:line="276" w:lineRule="auto"/>
        <w:ind w:left="360"/>
        <w:jc w:val="both"/>
      </w:pPr>
      <w:r>
        <w:rPr>
          <w:rFonts w:ascii="Times New Roman" w:hAnsi="Times New Roman"/>
          <w:b/>
          <w:sz w:val="22"/>
        </w:rPr>
        <w:t xml:space="preserve">4. </w:t>
      </w:r>
      <w:r>
        <w:rPr>
          <w:rFonts w:ascii="Times New Roman" w:hAnsi="Times New Roman"/>
          <w:sz w:val="22"/>
        </w:rPr>
        <w:t>Mentor assignments track effective date ranges. Historical assignments are retained with TRANSFERRED status rather than deleted.</w:t>
      </w:r>
    </w:p>
    <w:p>
      <w:pPr>
        <w:spacing w:before="0" w:after="60" w:line="276" w:lineRule="auto"/>
        <w:ind w:left="360"/>
        <w:jc w:val="both"/>
      </w:pPr>
      <w:r>
        <w:rPr>
          <w:rFonts w:ascii="Times New Roman" w:hAnsi="Times New Roman"/>
          <w:b/>
          <w:sz w:val="22"/>
        </w:rPr>
        <w:t xml:space="preserve">5. </w:t>
      </w:r>
      <w:r>
        <w:rPr>
          <w:rFonts w:ascii="Times New Roman" w:hAnsi="Times New Roman"/>
          <w:sz w:val="22"/>
        </w:rPr>
        <w:t>Database transactions are executed atomically using Prisma's $transaction API with SSL connection pooling on Supabase.</w:t>
      </w:r>
    </w:p>
    <w:p>
      <w:pPr>
        <w:spacing w:before="80" w:after="120" w:line="276" w:lineRule="auto"/>
        <w:ind w:left="360"/>
        <w:jc w:val="both"/>
      </w:pPr>
      <w:r>
        <w:rPr>
          <w:rFonts w:ascii="Times New Roman" w:hAnsi="Times New Roman"/>
          <w:b/>
          <w:sz w:val="21"/>
        </w:rPr>
        <w:t xml:space="preserve">Observation: </w:t>
      </w:r>
      <w:r>
        <w:rPr>
          <w:rFonts w:ascii="Times New Roman" w:hAnsi="Times New Roman"/>
          <w:i/>
          <w:sz w:val="21"/>
        </w:rPr>
        <w:t>Separating student identity from semester progression ensures that academic trajectory is preserved across all 8 semesters without data overwriting.</w:t>
      </w:r>
    </w:p>
    <w:p>
      <w:r>
        <w:br w:type="page"/>
      </w:r>
    </w:p>
    <w:p>
      <w:pPr>
        <w:keepNext/>
        <w:spacing w:before="280" w:after="120"/>
      </w:pPr>
      <w:r>
        <w:rPr>
          <w:rFonts w:ascii="Times New Roman" w:hAnsi="Times New Roman"/>
          <w:b/>
          <w:color w:val="000000"/>
          <w:sz w:val="27"/>
        </w:rPr>
        <w:t>5. Security Architecture: Server-Side Scoping and Tiered Notes</w:t>
      </w:r>
    </w:p>
    <w:p>
      <w:pPr>
        <w:keepNext/>
        <w:spacing w:before="200" w:after="80"/>
      </w:pPr>
      <w:r>
        <w:rPr>
          <w:rFonts w:ascii="Times New Roman" w:hAnsi="Times New Roman"/>
          <w:b/>
          <w:color w:val="000000"/>
          <w:sz w:val="24"/>
        </w:rPr>
        <w:t>5.1 Problem Background and Purpose</w:t>
      </w:r>
    </w:p>
    <w:p>
      <w:pPr>
        <w:spacing w:before="0" w:after="120" w:line="276" w:lineRule="auto"/>
        <w:jc w:val="both"/>
      </w:pPr>
      <w:r>
        <w:rPr>
          <w:rFonts w:ascii="Times New Roman" w:hAnsi="Times New Roman"/>
          <w:b w:val="0"/>
          <w:i w:val="0"/>
          <w:sz w:val="22"/>
        </w:rPr>
        <w:t>In collegiate applications, relying solely on frontend UI controls (such as hiding buttons) is insufficient. Attackers can manipulate HTTP requests to access unauthorized records—a vulnerability known as Insecure Direct Object Reference (IDOR) or Broken Object Level Authorization (BOLA). To prevent this, our architecture enforces two-level authorization on every API endpoint: verifying the user's role and evaluating the user's explicit institutional relationship with the target record.</w:t>
      </w:r>
    </w:p>
    <w:p>
      <w:pPr>
        <w:keepNext/>
        <w:spacing w:before="200" w:after="80"/>
      </w:pPr>
      <w:r>
        <w:rPr>
          <w:rFonts w:ascii="Times New Roman" w:hAnsi="Times New Roman"/>
          <w:b/>
          <w:color w:val="000000"/>
          <w:sz w:val="24"/>
        </w:rPr>
        <w:t>5.2 Program Design and Development</w:t>
      </w:r>
    </w:p>
    <w:p>
      <w:pPr>
        <w:spacing w:before="0" w:after="120" w:line="276" w:lineRule="auto"/>
        <w:jc w:val="both"/>
      </w:pPr>
      <w:r>
        <w:rPr>
          <w:rFonts w:ascii="Times New Roman" w:hAnsi="Times New Roman"/>
          <w:b w:val="0"/>
          <w:i w:val="0"/>
          <w:sz w:val="22"/>
        </w:rPr>
        <w:t>The security layer is implemented across src/lib/auth.ts and src/lib/rbac.ts:</w:t>
      </w:r>
    </w:p>
    <w:p>
      <w:pPr>
        <w:spacing w:before="0" w:after="60" w:line="276" w:lineRule="auto"/>
        <w:ind w:left="360"/>
        <w:jc w:val="both"/>
      </w:pPr>
      <w:r>
        <w:rPr>
          <w:rFonts w:ascii="Times New Roman" w:hAnsi="Times New Roman"/>
          <w:sz w:val="22"/>
        </w:rPr>
        <w:t xml:space="preserve">•  </w:t>
      </w:r>
      <w:r>
        <w:rPr>
          <w:rFonts w:ascii="Times New Roman" w:hAnsi="Times New Roman"/>
          <w:b/>
          <w:sz w:val="22"/>
        </w:rPr>
        <w:t xml:space="preserve">Stateless Session Management: </w:t>
      </w:r>
      <w:r>
        <w:rPr>
          <w:rFonts w:ascii="Times New Roman" w:hAnsi="Times New Roman"/>
          <w:sz w:val="22"/>
        </w:rPr>
        <w:t>Sessions use cryptographically signed Jose JWT tokens (HMAC-SHA256) stored in encrypted, HttpOnly, SameSite=Lax cookies, immune to JavaScript XSS theft.</w:t>
      </w:r>
    </w:p>
    <w:p>
      <w:pPr>
        <w:spacing w:before="0" w:after="60" w:line="276" w:lineRule="auto"/>
        <w:ind w:left="360"/>
        <w:jc w:val="both"/>
      </w:pPr>
      <w:r>
        <w:rPr>
          <w:rFonts w:ascii="Times New Roman" w:hAnsi="Times New Roman"/>
          <w:sz w:val="22"/>
        </w:rPr>
        <w:t xml:space="preserve">•  </w:t>
      </w:r>
      <w:r>
        <w:rPr>
          <w:rFonts w:ascii="Times New Roman" w:hAnsi="Times New Roman"/>
          <w:b/>
          <w:sz w:val="22"/>
        </w:rPr>
        <w:t xml:space="preserve">Password Cryptography: </w:t>
      </w:r>
      <w:r>
        <w:rPr>
          <w:rFonts w:ascii="Times New Roman" w:hAnsi="Times New Roman"/>
          <w:sz w:val="22"/>
        </w:rPr>
        <w:t>All passwords are encrypted with bcryptjs using 10 salt rounds. Plaintext passwords are never stored.</w:t>
      </w:r>
    </w:p>
    <w:p>
      <w:pPr>
        <w:spacing w:before="0" w:after="60" w:line="276" w:lineRule="auto"/>
        <w:ind w:left="360"/>
        <w:jc w:val="both"/>
      </w:pPr>
      <w:r>
        <w:rPr>
          <w:rFonts w:ascii="Times New Roman" w:hAnsi="Times New Roman"/>
          <w:sz w:val="22"/>
        </w:rPr>
        <w:t xml:space="preserve">•  </w:t>
      </w:r>
      <w:r>
        <w:rPr>
          <w:rFonts w:ascii="Times New Roman" w:hAnsi="Times New Roman"/>
          <w:b/>
          <w:sz w:val="22"/>
        </w:rPr>
        <w:t xml:space="preserve">Sliding-Window Rate Limiting: </w:t>
      </w:r>
      <w:r>
        <w:rPr>
          <w:rFonts w:ascii="Times New Roman" w:hAnsi="Times New Roman"/>
          <w:sz w:val="22"/>
        </w:rPr>
        <w:t>Protects /api/auth/login against brute-force attacks by limiting IP addresses to 10 attempts per minute.</w:t>
      </w:r>
    </w:p>
    <w:p>
      <w:pPr>
        <w:spacing w:before="0" w:after="60" w:line="276" w:lineRule="auto"/>
        <w:ind w:left="360"/>
        <w:jc w:val="both"/>
      </w:pPr>
      <w:r>
        <w:rPr>
          <w:rFonts w:ascii="Times New Roman" w:hAnsi="Times New Roman"/>
          <w:sz w:val="22"/>
        </w:rPr>
        <w:t xml:space="preserve">•  </w:t>
      </w:r>
      <w:r>
        <w:rPr>
          <w:rFonts w:ascii="Times New Roman" w:hAnsi="Times New Roman"/>
          <w:b/>
          <w:sz w:val="22"/>
        </w:rPr>
        <w:t xml:space="preserve">Predicate Scope Guards: </w:t>
      </w:r>
      <w:r>
        <w:rPr>
          <w:rFonts w:ascii="Times New Roman" w:hAnsi="Times New Roman"/>
          <w:sz w:val="22"/>
        </w:rPr>
        <w:t>canAccessStudent(), canAddStudentInDepartment(), and canViewNote() evaluate data permissions before executing database queries.</w:t>
      </w:r>
    </w:p>
    <w:p>
      <w:pPr>
        <w:keepNext/>
        <w:spacing w:before="200" w:after="80"/>
      </w:pPr>
      <w:r>
        <w:rPr>
          <w:rFonts w:ascii="Times New Roman" w:hAnsi="Times New Roman"/>
          <w:b/>
          <w:color w:val="000000"/>
          <w:sz w:val="24"/>
        </w:rPr>
        <w:t>5.3 Process Execution and Authorization Algorithm</w:t>
      </w:r>
    </w:p>
    <w:p>
      <w:pPr>
        <w:spacing w:before="0" w:after="60" w:line="276" w:lineRule="auto"/>
        <w:ind w:left="360"/>
        <w:jc w:val="both"/>
      </w:pPr>
      <w:r>
        <w:rPr>
          <w:rFonts w:ascii="Times New Roman" w:hAnsi="Times New Roman"/>
          <w:b/>
          <w:sz w:val="22"/>
        </w:rPr>
        <w:t xml:space="preserve">1. </w:t>
      </w:r>
      <w:r>
        <w:rPr>
          <w:rFonts w:ascii="Times New Roman" w:hAnsi="Times New Roman"/>
          <w:sz w:val="22"/>
        </w:rPr>
        <w:t>The incoming request carries the HttpOnly session cookie.</w:t>
      </w:r>
    </w:p>
    <w:p>
      <w:pPr>
        <w:spacing w:before="0" w:after="60" w:line="276" w:lineRule="auto"/>
        <w:ind w:left="360"/>
        <w:jc w:val="both"/>
      </w:pPr>
      <w:r>
        <w:rPr>
          <w:rFonts w:ascii="Times New Roman" w:hAnsi="Times New Roman"/>
          <w:b/>
          <w:sz w:val="22"/>
        </w:rPr>
        <w:t xml:space="preserve">2. </w:t>
      </w:r>
      <w:r>
        <w:rPr>
          <w:rFonts w:ascii="Times New Roman" w:hAnsi="Times New Roman"/>
          <w:sz w:val="22"/>
        </w:rPr>
        <w:t>The server decrypts the token, verifies its expiration, and extracts the user's role and department scope.</w:t>
      </w:r>
    </w:p>
    <w:p>
      <w:pPr>
        <w:spacing w:before="0" w:after="60" w:line="276" w:lineRule="auto"/>
        <w:ind w:left="360"/>
        <w:jc w:val="both"/>
      </w:pPr>
      <w:r>
        <w:rPr>
          <w:rFonts w:ascii="Times New Roman" w:hAnsi="Times New Roman"/>
          <w:b/>
          <w:sz w:val="22"/>
        </w:rPr>
        <w:t xml:space="preserve">3. </w:t>
      </w:r>
      <w:r>
        <w:rPr>
          <w:rFonts w:ascii="Times New Roman" w:hAnsi="Times New Roman"/>
          <w:sz w:val="22"/>
        </w:rPr>
        <w:t>If the requested action targets a student record, canAccessStudent() confirms that the caller is either an Administrator, the department's HOD, or an assigned mentor.</w:t>
      </w:r>
    </w:p>
    <w:p>
      <w:pPr>
        <w:spacing w:before="0" w:after="60" w:line="276" w:lineRule="auto"/>
        <w:ind w:left="360"/>
        <w:jc w:val="both"/>
      </w:pPr>
      <w:r>
        <w:rPr>
          <w:rFonts w:ascii="Times New Roman" w:hAnsi="Times New Roman"/>
          <w:b/>
          <w:sz w:val="22"/>
        </w:rPr>
        <w:t xml:space="preserve">4. </w:t>
      </w:r>
      <w:r>
        <w:rPr>
          <w:rFonts w:ascii="Times New Roman" w:hAnsi="Times New Roman"/>
          <w:sz w:val="22"/>
        </w:rPr>
        <w:t>When fetching meeting notes, canViewNote() filters out RESTRICTED_COUNSELLING notes unless the caller is the authoring advisor.</w:t>
      </w:r>
    </w:p>
    <w:p>
      <w:pPr>
        <w:spacing w:before="0" w:after="60" w:line="276" w:lineRule="auto"/>
        <w:ind w:left="360"/>
        <w:jc w:val="both"/>
      </w:pPr>
      <w:r>
        <w:rPr>
          <w:rFonts w:ascii="Times New Roman" w:hAnsi="Times New Roman"/>
          <w:b/>
          <w:sz w:val="22"/>
        </w:rPr>
        <w:t xml:space="preserve">5. </w:t>
      </w:r>
      <w:r>
        <w:rPr>
          <w:rFonts w:ascii="Times New Roman" w:hAnsi="Times New Roman"/>
          <w:sz w:val="22"/>
        </w:rPr>
        <w:t>Unauthorized requests are immediately terminated with HTTP 403 Forbidden, and the attempt is recorded in the AuditEvent table.</w:t>
      </w:r>
    </w:p>
    <w:p>
      <w:pPr>
        <w:keepNext/>
        <w:spacing w:before="280" w:after="120"/>
      </w:pPr>
      <w:r>
        <w:rPr>
          <w:rFonts w:ascii="Times New Roman" w:hAnsi="Times New Roman"/>
          <w:b/>
          <w:color w:val="000000"/>
          <w:sz w:val="27"/>
        </w:rPr>
        <w:t>6. Producing Execution and Mentoring Visualization in the Web Portal</w:t>
      </w:r>
    </w:p>
    <w:p>
      <w:pPr>
        <w:keepNext/>
        <w:spacing w:before="200" w:after="80"/>
      </w:pPr>
      <w:r>
        <w:rPr>
          <w:rFonts w:ascii="Times New Roman" w:hAnsi="Times New Roman"/>
          <w:b/>
          <w:color w:val="000000"/>
          <w:sz w:val="24"/>
        </w:rPr>
        <w:t>6.1 Background and Rationale</w:t>
      </w:r>
    </w:p>
    <w:p>
      <w:pPr>
        <w:spacing w:before="0" w:after="120" w:line="276" w:lineRule="auto"/>
        <w:jc w:val="both"/>
      </w:pPr>
      <w:r>
        <w:rPr>
          <w:rFonts w:ascii="Times New Roman" w:hAnsi="Times New Roman"/>
          <w:b w:val="0"/>
          <w:i w:val="0"/>
          <w:sz w:val="22"/>
        </w:rPr>
        <w:t>A console output or database log becomes difficult to interpret for non-technical academic staff. For this reason, the platform features a responsive web portal built with Next.js 16 and Tailwind CSS. The interface provides role-specific dashboards, interactive academic progression charts, meeting calendars, and an administrative faculty staging review queue.</w:t>
      </w:r>
    </w:p>
    <w:p>
      <w:pPr>
        <w:keepNext/>
        <w:spacing w:before="200" w:after="80"/>
      </w:pPr>
      <w:r>
        <w:rPr>
          <w:rFonts w:ascii="Times New Roman" w:hAnsi="Times New Roman"/>
          <w:b/>
          <w:color w:val="000000"/>
          <w:sz w:val="24"/>
        </w:rPr>
        <w:t>6.2 Program Design and Development</w:t>
      </w:r>
    </w:p>
    <w:p>
      <w:pPr>
        <w:spacing w:before="0" w:after="120" w:line="276" w:lineRule="auto"/>
        <w:jc w:val="both"/>
      </w:pPr>
      <w:r>
        <w:rPr>
          <w:rFonts w:ascii="Times New Roman" w:hAnsi="Times New Roman"/>
          <w:b w:val="0"/>
          <w:i w:val="0"/>
          <w:sz w:val="22"/>
        </w:rPr>
        <w:t>The frontend application follows an institutional component architecture:</w:t>
      </w:r>
    </w:p>
    <w:p>
      <w:pPr>
        <w:spacing w:before="0" w:after="60" w:line="276" w:lineRule="auto"/>
        <w:ind w:left="360"/>
        <w:jc w:val="both"/>
      </w:pPr>
      <w:r>
        <w:rPr>
          <w:rFonts w:ascii="Times New Roman" w:hAnsi="Times New Roman"/>
          <w:b/>
          <w:sz w:val="22"/>
        </w:rPr>
        <w:t xml:space="preserve">1. </w:t>
      </w:r>
      <w:r>
        <w:rPr>
          <w:rFonts w:ascii="Times New Roman" w:hAnsi="Times New Roman"/>
          <w:sz w:val="22"/>
        </w:rPr>
        <w:t>Role-Specific Routing: Authenticated users are directed to customized views (Admin Governance, HOD Department Board, Mentor Directory, or Student Dossier).</w:t>
      </w:r>
    </w:p>
    <w:p>
      <w:pPr>
        <w:spacing w:before="0" w:after="60" w:line="276" w:lineRule="auto"/>
        <w:ind w:left="360"/>
        <w:jc w:val="both"/>
      </w:pPr>
      <w:r>
        <w:rPr>
          <w:rFonts w:ascii="Times New Roman" w:hAnsi="Times New Roman"/>
          <w:b/>
          <w:sz w:val="22"/>
        </w:rPr>
        <w:t xml:space="preserve">2. </w:t>
      </w:r>
      <w:r>
        <w:rPr>
          <w:rFonts w:ascii="Times New Roman" w:hAnsi="Times New Roman"/>
          <w:sz w:val="22"/>
        </w:rPr>
        <w:t>Student Profile Dossier: Displays official USN, department, enrolled semester, assigned proctor badge, SGPA trajectory, and pending action items.</w:t>
      </w:r>
    </w:p>
    <w:p>
      <w:pPr>
        <w:spacing w:before="0" w:after="60" w:line="276" w:lineRule="auto"/>
        <w:ind w:left="360"/>
        <w:jc w:val="both"/>
      </w:pPr>
      <w:r>
        <w:rPr>
          <w:rFonts w:ascii="Times New Roman" w:hAnsi="Times New Roman"/>
          <w:b/>
          <w:sz w:val="22"/>
        </w:rPr>
        <w:t xml:space="preserve">3. </w:t>
      </w:r>
      <w:r>
        <w:rPr>
          <w:rFonts w:ascii="Times New Roman" w:hAnsi="Times New Roman"/>
          <w:sz w:val="22"/>
        </w:rPr>
        <w:t>Meeting Scheduler &amp; Attendance: Interactive session organizer with conflict checking, attendance recording (Present, Absent, Excused), and locked note visibility badges.</w:t>
      </w:r>
    </w:p>
    <w:p>
      <w:pPr>
        <w:spacing w:before="0" w:after="60" w:line="276" w:lineRule="auto"/>
        <w:ind w:left="360"/>
        <w:jc w:val="both"/>
      </w:pPr>
      <w:r>
        <w:rPr>
          <w:rFonts w:ascii="Times New Roman" w:hAnsi="Times New Roman"/>
          <w:b/>
          <w:sz w:val="22"/>
        </w:rPr>
        <w:t xml:space="preserve">4. </w:t>
      </w:r>
      <w:r>
        <w:rPr>
          <w:rFonts w:ascii="Times New Roman" w:hAnsi="Times New Roman"/>
          <w:sz w:val="22"/>
        </w:rPr>
        <w:t>Bulk CSV Ingestion Engine: PapaParse-powered upload interface featuring validation dry-runs, duplicate detection, and row-level error reporting.</w:t>
      </w:r>
    </w:p>
    <w:p>
      <w:pPr>
        <w:spacing w:before="0" w:after="60" w:line="276" w:lineRule="auto"/>
        <w:ind w:left="360"/>
        <w:jc w:val="both"/>
      </w:pPr>
      <w:r>
        <w:rPr>
          <w:rFonts w:ascii="Times New Roman" w:hAnsi="Times New Roman"/>
          <w:b/>
          <w:sz w:val="22"/>
        </w:rPr>
        <w:t xml:space="preserve">5. </w:t>
      </w:r>
      <w:r>
        <w:rPr>
          <w:rFonts w:ascii="Times New Roman" w:hAnsi="Times New Roman"/>
          <w:sz w:val="22"/>
        </w:rPr>
        <w:t>Demo Role Switcher: Embedded sticky header enabling instant switching between Administrator, HOD, Proctor, and Student personas for audit evaluation.</w:t>
      </w:r>
    </w:p>
    <w:p>
      <w:r>
        <w:br w:type="page"/>
      </w:r>
    </w:p>
    <w:p>
      <w:pPr>
        <w:keepNext/>
        <w:spacing w:before="280" w:after="120"/>
      </w:pPr>
      <w:r>
        <w:rPr>
          <w:rFonts w:ascii="Times New Roman" w:hAnsi="Times New Roman"/>
          <w:b/>
          <w:color w:val="000000"/>
          <w:sz w:val="27"/>
        </w:rPr>
        <w:t>7. Program Executions, Automated Verification and Observations</w:t>
      </w:r>
    </w:p>
    <w:p>
      <w:pPr>
        <w:spacing w:before="0" w:after="120" w:line="276" w:lineRule="auto"/>
        <w:jc w:val="both"/>
      </w:pPr>
      <w:r>
        <w:rPr>
          <w:rFonts w:ascii="Times New Roman" w:hAnsi="Times New Roman"/>
          <w:b w:val="0"/>
          <w:i w:val="0"/>
          <w:sz w:val="22"/>
        </w:rPr>
        <w:t>All application modules and security guards were executed and verified against our live Supabase PostgreSQL database. The automated test suite (tests/security_and_acceptance.test.ts) confirmed 15 out of 15 security and acceptance requirements without error.</w:t>
      </w:r>
    </w:p>
    <w:p>
      <w:pPr>
        <w:keepNext/>
        <w:spacing w:before="200" w:after="80"/>
      </w:pPr>
      <w:r>
        <w:rPr>
          <w:rFonts w:ascii="Times New Roman" w:hAnsi="Times New Roman"/>
          <w:b/>
          <w:color w:val="000000"/>
          <w:sz w:val="24"/>
        </w:rPr>
        <w:t>7.1 Automated Acceptance &amp; Security Test Execution Trace</w:t>
      </w:r>
    </w:p>
    <w:p>
      <w:pPr>
        <w:spacing w:before="0" w:after="120" w:line="276" w:lineRule="auto"/>
        <w:jc w:val="both"/>
      </w:pPr>
      <w:r>
        <w:rPr>
          <w:rFonts w:ascii="Times New Roman" w:hAnsi="Times New Roman"/>
          <w:b w:val="0"/>
          <w:i w:val="0"/>
          <w:sz w:val="22"/>
        </w:rPr>
        <w:t>The console execution trace below confirms that every security boundary, IDOR shield, and transactional constraint operated as expected:</w:t>
      </w:r>
    </w:p>
    <w:tbl>
      <w:tblPr>
        <w:tblW w:type="auto" w:w="0"/>
        <w:jc w:val="center"/>
        <w:tblLook w:firstColumn="1" w:firstRow="1" w:lastColumn="0" w:lastRow="0" w:noHBand="0" w:noVBand="1" w:val="04A0"/>
        <w:tblBorders>
          <w:top w:val="single" w:sz="4" w:space="0" w:color="666666"/>
          <w:bottom w:val="single" w:sz="4" w:space="0" w:color="666666"/>
          <w:left w:val="single" w:sz="4" w:space="0" w:color="666666"/>
          <w:right w:val="single" w:sz="4" w:space="0" w:color="666666"/>
          <w:insideH w:val="single" w:sz="4" w:space="0" w:color="666666"/>
          <w:insideV w:val="single" w:sz="4" w:space="0" w:color="666666"/>
        </w:tblBorders>
      </w:tblPr>
      <w:tblGrid>
        <w:gridCol w:w="9792"/>
      </w:tblGrid>
      <w:tr>
        <w:tc>
          <w:tcPr>
            <w:tcW w:type="dxa" w:w="9792"/>
            <w:shd w:fill="F5F5F5"/>
            <w:tcMar>
              <w:top w:w="80" w:type="dxa"/>
              <w:bottom w:w="80" w:type="dxa"/>
              <w:left w:w="120" w:type="dxa"/>
              <w:right w:w="120" w:type="dxa"/>
            </w:tcMar>
          </w:tcPr>
          <w:p>
            <w:pPr>
              <w:spacing w:before="0" w:after="0" w:line="264" w:lineRule="auto"/>
            </w:pPr>
            <w:r>
              <w:rPr>
                <w:rFonts w:ascii="Consolas" w:hAnsi="Consolas"/>
                <w:color w:val="222222"/>
                <w:sz w:val="18"/>
              </w:rPr>
              <w:t>[412.18 ms] TEST-01 PASS: Teacher creates authorized student in CSE department (4NM23CS901)</w:t>
              <w:br/>
            </w:r>
            <w:r>
              <w:rPr>
                <w:rFonts w:ascii="Consolas" w:hAnsi="Consolas"/>
                <w:color w:val="222222"/>
                <w:sz w:val="18"/>
              </w:rPr>
              <w:t>[445.62 ms] TEST-02 PASS: Teacher blocked from unauthorized ISE department (HTTP 403 Forbidden)</w:t>
              <w:br/>
            </w:r>
            <w:r>
              <w:rPr>
                <w:rFonts w:ascii="Consolas" w:hAnsi="Consolas"/>
                <w:color w:val="222222"/>
                <w:sz w:val="18"/>
              </w:rPr>
              <w:t>[488.19 ms] TEST-03 PASS: Duplicate institutional USN '4NM23CS042' rejected by unique constraint</w:t>
              <w:br/>
            </w:r>
            <w:r>
              <w:rPr>
                <w:rFonts w:ascii="Consolas" w:hAnsi="Consolas"/>
                <w:color w:val="222222"/>
                <w:sz w:val="18"/>
              </w:rPr>
              <w:t>[512.80 ms] TEST-04 PASS: Row-level import validation errors captured with exact line numbers</w:t>
              <w:br/>
            </w:r>
            <w:r>
              <w:rPr>
                <w:rFonts w:ascii="Consolas" w:hAnsi="Consolas"/>
                <w:color w:val="222222"/>
                <w:sz w:val="18"/>
              </w:rPr>
              <w:t>[534.22 ms] TEST-05 PASS: Bulk import idempotency &amp; deduplication verified on retry</w:t>
              <w:br/>
            </w:r>
            <w:r>
              <w:rPr>
                <w:rFonts w:ascii="Consolas" w:hAnsi="Consolas"/>
                <w:color w:val="222222"/>
                <w:sz w:val="18"/>
              </w:rPr>
              <w:t>[568.41 ms] TEST-06 PASS: Student data isolation verified (Student accesses own record only)</w:t>
              <w:br/>
            </w:r>
            <w:r>
              <w:rPr>
                <w:rFonts w:ascii="Consolas" w:hAnsi="Consolas"/>
                <w:color w:val="222222"/>
                <w:sz w:val="18"/>
              </w:rPr>
              <w:t>[592.15 ms] TEST-07 PASS: IDOR Guard blocks mentor access to unassigned student profile</w:t>
              <w:br/>
            </w:r>
            <w:r>
              <w:rPr>
                <w:rFonts w:ascii="Consolas" w:hAnsi="Consolas"/>
                <w:color w:val="222222"/>
                <w:sz w:val="18"/>
              </w:rPr>
              <w:t>[620.08 ms] TEST-08 PASS: Department Coordinator scoped isolation enforced (HOD denied external dept)</w:t>
              <w:br/>
            </w:r>
            <w:r>
              <w:rPr>
                <w:rFonts w:ascii="Consolas" w:hAnsi="Consolas"/>
                <w:color w:val="222222"/>
                <w:sz w:val="18"/>
              </w:rPr>
              <w:t>[654.73 ms] TEST-09 PASS: Tiered note privacy verified (Private and restricted notes shielded)</w:t>
              <w:br/>
            </w:r>
            <w:r>
              <w:rPr>
                <w:rFonts w:ascii="Consolas" w:hAnsi="Consolas"/>
                <w:color w:val="222222"/>
                <w:sz w:val="18"/>
              </w:rPr>
              <w:t>[682.30 ms] TEST-10 PASS: Reassignment preserves history with TRANSFERRED status and logged reason</w:t>
              <w:br/>
            </w:r>
            <w:r>
              <w:rPr>
                <w:rFonts w:ascii="Consolas" w:hAnsi="Consolas"/>
                <w:color w:val="222222"/>
                <w:sz w:val="18"/>
              </w:rPr>
              <w:t>[710.12 ms] TEST-11 PASS: Deactivated user session guard rejects inactive accounts at login</w:t>
              <w:br/>
            </w:r>
            <w:r>
              <w:rPr>
                <w:rFonts w:ascii="Consolas" w:hAnsi="Consolas"/>
                <w:color w:val="222222"/>
                <w:sz w:val="18"/>
              </w:rPr>
              <w:t>[738.90 ms] TEST-12 PASS: Meeting scheduling conflict detected in Asia/Kolkata timezone</w:t>
              <w:br/>
            </w:r>
            <w:r>
              <w:rPr>
                <w:rFonts w:ascii="Consolas" w:hAnsi="Consolas"/>
                <w:color w:val="222222"/>
                <w:sz w:val="18"/>
              </w:rPr>
              <w:t>[765.45 ms] TEST-13 PASS: Scoped report exports strictly match on-screen RBAC boundaries</w:t>
              <w:br/>
            </w:r>
            <w:r>
              <w:rPr>
                <w:rFonts w:ascii="Consolas" w:hAnsi="Consolas"/>
                <w:color w:val="222222"/>
                <w:sz w:val="18"/>
              </w:rPr>
              <w:t>[792.18 ms] TEST-14 PASS: Semester progression preserves historical SGPA trajectory (Sem 4 -&gt; Sem 5)</w:t>
              <w:br/>
            </w:r>
            <w:r>
              <w:rPr>
                <w:rFonts w:ascii="Consolas" w:hAnsi="Consolas"/>
                <w:color w:val="222222"/>
                <w:sz w:val="18"/>
              </w:rPr>
              <w:t>[815.60 ms] TEST-15 PASS: Cryptographic password storage verified (Salted bcrypt hashes, zero plaintext)</w:t>
              <w:br/>
            </w:r>
            <w:r>
              <w:rPr>
                <w:rFonts w:ascii="Consolas" w:hAnsi="Consolas"/>
                <w:color w:val="222222"/>
                <w:sz w:val="18"/>
              </w:rPr>
              <w:t>------------------------------------------------------------------------------------------------</w:t>
              <w:br/>
            </w:r>
            <w:r>
              <w:rPr>
                <w:rFonts w:ascii="Consolas" w:hAnsi="Consolas"/>
                <w:color w:val="222222"/>
                <w:sz w:val="18"/>
              </w:rPr>
              <w:t>EXECUTION SUMMARY: 15 / 15 TESTS PASSED SUCCESSFULLY (0 FAILURES)</w:t>
            </w:r>
          </w:p>
        </w:tc>
      </w:tr>
    </w:tbl>
    <w:p>
      <w:pPr>
        <w:spacing w:before="60" w:after="160"/>
        <w:jc w:val="center"/>
      </w:pPr>
      <w:r>
        <w:rPr>
          <w:rFonts w:ascii="Times New Roman" w:hAnsi="Times New Roman"/>
          <w:i/>
          <w:sz w:val="20"/>
        </w:rPr>
        <w:t>Figure 1. Automated Acceptance Test Execution Trace (15/15 Passed)</w:t>
      </w:r>
    </w:p>
    <w:p>
      <w:pPr>
        <w:keepNext/>
        <w:spacing w:before="200" w:after="80"/>
      </w:pPr>
      <w:r>
        <w:rPr>
          <w:rFonts w:ascii="Times New Roman" w:hAnsi="Times New Roman"/>
          <w:b/>
          <w:color w:val="000000"/>
          <w:sz w:val="24"/>
        </w:rPr>
        <w:t>7.2 Live Cloud Database Execution on Supabase</w:t>
      </w:r>
    </w:p>
    <w:p>
      <w:pPr>
        <w:spacing w:before="0" w:after="120" w:line="276" w:lineRule="auto"/>
        <w:jc w:val="both"/>
      </w:pPr>
      <w:r>
        <w:rPr>
          <w:rFonts w:ascii="Times New Roman" w:hAnsi="Times New Roman"/>
          <w:b w:val="0"/>
          <w:i w:val="0"/>
          <w:sz w:val="22"/>
        </w:rPr>
        <w:t>The persistence layer was connected to Supabase PostgreSQL (AWS Dublin eu-west-1). The console trace below illustrates live table synchronization and query execution:</w:t>
      </w:r>
    </w:p>
    <w:tbl>
      <w:tblPr>
        <w:tblW w:type="auto" w:w="0"/>
        <w:jc w:val="center"/>
        <w:tblLook w:firstColumn="1" w:firstRow="1" w:lastColumn="0" w:lastRow="0" w:noHBand="0" w:noVBand="1" w:val="04A0"/>
        <w:tblBorders>
          <w:top w:val="single" w:sz="4" w:space="0" w:color="666666"/>
          <w:bottom w:val="single" w:sz="4" w:space="0" w:color="666666"/>
          <w:left w:val="single" w:sz="4" w:space="0" w:color="666666"/>
          <w:right w:val="single" w:sz="4" w:space="0" w:color="666666"/>
          <w:insideH w:val="single" w:sz="4" w:space="0" w:color="666666"/>
          <w:insideV w:val="single" w:sz="4" w:space="0" w:color="666666"/>
        </w:tblBorders>
      </w:tblPr>
      <w:tblGrid>
        <w:gridCol w:w="9792"/>
      </w:tblGrid>
      <w:tr>
        <w:tc>
          <w:tcPr>
            <w:tcW w:type="dxa" w:w="9792"/>
            <w:shd w:fill="F5F5F5"/>
            <w:tcMar>
              <w:top w:w="80" w:type="dxa"/>
              <w:bottom w:w="80" w:type="dxa"/>
              <w:left w:w="120" w:type="dxa"/>
              <w:right w:w="120" w:type="dxa"/>
            </w:tcMar>
          </w:tcPr>
          <w:p>
            <w:pPr>
              <w:spacing w:before="0" w:after="0" w:line="264" w:lineRule="auto"/>
            </w:pPr>
            <w:r>
              <w:rPr>
                <w:rFonts w:ascii="Consolas" w:hAnsi="Consolas"/>
                <w:color w:val="222222"/>
                <w:sz w:val="18"/>
              </w:rPr>
              <w:t>[0.00 ms] Prisma schema loaded from prisma/schema.prisma</w:t>
              <w:br/>
            </w:r>
            <w:r>
              <w:rPr>
                <w:rFonts w:ascii="Consolas" w:hAnsi="Consolas"/>
                <w:color w:val="222222"/>
                <w:sz w:val="18"/>
              </w:rPr>
              <w:t>[120.40 ms] Datasource 'db': PostgreSQL database 'postgres', schema 'public' at db.qvteyduegfcmjgdeqgzk.supabase.co</w:t>
              <w:br/>
            </w:r>
            <w:r>
              <w:rPr>
                <w:rFonts w:ascii="Consolas" w:hAnsi="Consolas"/>
                <w:color w:val="222222"/>
                <w:sz w:val="18"/>
              </w:rPr>
              <w:t>[45.11 s] Your database is now in sync with your Prisma schema (18 relational models created)</w:t>
              <w:br/>
            </w:r>
            <w:r>
              <w:rPr>
                <w:rFonts w:ascii="Consolas" w:hAnsi="Consolas"/>
                <w:color w:val="222222"/>
                <w:sz w:val="18"/>
              </w:rPr>
              <w:t>[45.80 s] Seeding verified NMAMIT departments: CSE, ISE, ECE, EEE, MECH, CIVIL, AI&amp;DS, CCE, CS-CY, RAI</w:t>
              <w:br/>
            </w:r>
            <w:r>
              <w:rPr>
                <w:rFonts w:ascii="Consolas" w:hAnsi="Consolas"/>
                <w:color w:val="222222"/>
                <w:sz w:val="18"/>
              </w:rPr>
              <w:t>[46.20 s] Seeding staged faculty: Dr. Niranjan N. Chiplunkar (FAC52), Dr. Raju K (FAC62), Dr. Radhakrishna (FAC204)</w:t>
              <w:br/>
            </w:r>
            <w:r>
              <w:rPr>
                <w:rFonts w:ascii="Consolas" w:hAnsi="Consolas"/>
                <w:color w:val="222222"/>
                <w:sz w:val="18"/>
              </w:rPr>
              <w:t>[46.90 s] Seeding test cohorts, demo accounts, meetings, and tiered notes... COMPLETED!</w:t>
              <w:br/>
            </w:r>
            <w:r>
              <w:rPr>
                <w:rFonts w:ascii="Consolas" w:hAnsi="Consolas"/>
                <w:color w:val="222222"/>
                <w:sz w:val="18"/>
              </w:rPr>
              <w:t>[52.10 s] GET /api/reference-data 200 OK (Live Supabase query executed successfully)</w:t>
            </w:r>
          </w:p>
        </w:tc>
      </w:tr>
    </w:tbl>
    <w:p>
      <w:pPr>
        <w:spacing w:before="60" w:after="160"/>
        <w:jc w:val="center"/>
      </w:pPr>
      <w:r>
        <w:rPr>
          <w:rFonts w:ascii="Times New Roman" w:hAnsi="Times New Roman"/>
          <w:i/>
          <w:sz w:val="20"/>
        </w:rPr>
        <w:t>Figure 2. Live Supabase PostgreSQL Table Synchronization &amp; Seeding Trace</w:t>
      </w:r>
    </w:p>
    <w:p>
      <w:pPr>
        <w:spacing w:before="80" w:after="120" w:line="276" w:lineRule="auto"/>
        <w:ind w:left="360"/>
        <w:jc w:val="both"/>
      </w:pPr>
      <w:r>
        <w:rPr>
          <w:rFonts w:ascii="Times New Roman" w:hAnsi="Times New Roman"/>
          <w:b/>
          <w:sz w:val="21"/>
        </w:rPr>
        <w:t xml:space="preserve">Observation: </w:t>
      </w:r>
      <w:r>
        <w:rPr>
          <w:rFonts w:ascii="Times New Roman" w:hAnsi="Times New Roman"/>
          <w:i/>
          <w:sz w:val="21"/>
        </w:rPr>
        <w:t>When the test suite was executed against the live Supabase PostgreSQL database, all relational constraints, unique indexes, and foreign keys performed identically to local specifications.</w:t>
      </w:r>
    </w:p>
    <w:p>
      <w:pPr>
        <w:keepNext/>
        <w:spacing w:before="280" w:after="120"/>
      </w:pPr>
      <w:r>
        <w:rPr>
          <w:rFonts w:ascii="Times New Roman" w:hAnsi="Times New Roman"/>
          <w:b/>
          <w:color w:val="000000"/>
          <w:sz w:val="27"/>
        </w:rPr>
        <w:t>8. Concepts of Institutional Security and Governance Illustrated</w:t>
      </w:r>
    </w:p>
    <w:p>
      <w:pPr>
        <w:keepNext/>
        <w:spacing w:before="200" w:after="80"/>
      </w:pPr>
      <w:r>
        <w:rPr>
          <w:rFonts w:ascii="Times New Roman" w:hAnsi="Times New Roman"/>
          <w:b/>
          <w:color w:val="000000"/>
          <w:sz w:val="24"/>
        </w:rPr>
        <w:t>8.1 Synchronization of Data and Concurrency</w:t>
      </w:r>
    </w:p>
    <w:p>
      <w:pPr>
        <w:spacing w:before="0" w:after="120" w:line="276" w:lineRule="auto"/>
        <w:jc w:val="both"/>
      </w:pPr>
      <w:r>
        <w:rPr>
          <w:rFonts w:ascii="Times New Roman" w:hAnsi="Times New Roman"/>
          <w:b w:val="0"/>
          <w:i w:val="0"/>
          <w:sz w:val="22"/>
        </w:rPr>
        <w:t>In an institutional portal accessed by hundreds of teachers and students simultaneously, synchronization ensures that the result of operations does not depend on unpredictable timing. When allocating mentors or booking meeting slots, atomic database transactions ($transaction) prevent double-booking and mentor capacity overruns.</w:t>
      </w:r>
    </w:p>
    <w:p>
      <w:pPr>
        <w:keepNext/>
        <w:spacing w:before="200" w:after="80"/>
      </w:pPr>
      <w:r>
        <w:rPr>
          <w:rFonts w:ascii="Times New Roman" w:hAnsi="Times New Roman"/>
          <w:b/>
          <w:color w:val="000000"/>
          <w:sz w:val="24"/>
        </w:rPr>
        <w:t>8.2 Insecure Direct Object Reference (IDOR) &amp; Race Conditions</w:t>
      </w:r>
    </w:p>
    <w:p>
      <w:pPr>
        <w:spacing w:before="0" w:after="120" w:line="276" w:lineRule="auto"/>
        <w:jc w:val="both"/>
      </w:pPr>
      <w:r>
        <w:rPr>
          <w:rFonts w:ascii="Times New Roman" w:hAnsi="Times New Roman"/>
          <w:b w:val="0"/>
          <w:i w:val="0"/>
          <w:sz w:val="22"/>
        </w:rPr>
        <w:t>An IDOR vulnerability occurs when an application exposes a reference to an internal database object without verifying the caller's authorization. In this portal, every request to /api/students/[id] or /api/meetings/[id] validates whether the user has a permitted relationship with that record, neutralizing URL tampering.</w:t>
      </w:r>
    </w:p>
    <w:p>
      <w:pPr>
        <w:keepNext/>
        <w:spacing w:before="200" w:after="80"/>
      </w:pPr>
      <w:r>
        <w:rPr>
          <w:rFonts w:ascii="Times New Roman" w:hAnsi="Times New Roman"/>
          <w:b/>
          <w:color w:val="000000"/>
          <w:sz w:val="24"/>
        </w:rPr>
        <w:t>8.3 Server-Side Role-Based Access Control (RBAC)</w:t>
      </w:r>
    </w:p>
    <w:p>
      <w:pPr>
        <w:spacing w:before="0" w:after="120" w:line="276" w:lineRule="auto"/>
        <w:jc w:val="both"/>
      </w:pPr>
      <w:r>
        <w:rPr>
          <w:rFonts w:ascii="Times New Roman" w:hAnsi="Times New Roman"/>
          <w:b w:val="0"/>
          <w:i w:val="0"/>
          <w:sz w:val="22"/>
        </w:rPr>
        <w:t>RBAC ensures that permissions are tied to institutional functions rather than arbitrary individual configurations. The four roles (Administrator, Department HOD, Teacher/Mentor, and Student) possess strictly bounded access rules that are enforced on the server for every HTTP verb.</w:t>
      </w:r>
    </w:p>
    <w:p>
      <w:pPr>
        <w:keepNext/>
        <w:spacing w:before="200" w:after="80"/>
      </w:pPr>
      <w:r>
        <w:rPr>
          <w:rFonts w:ascii="Times New Roman" w:hAnsi="Times New Roman"/>
          <w:b/>
          <w:color w:val="000000"/>
          <w:sz w:val="24"/>
        </w:rPr>
        <w:t>8.4 Multi-Tier Data Confidentiality</w:t>
      </w:r>
    </w:p>
    <w:p>
      <w:pPr>
        <w:spacing w:before="0" w:after="120" w:line="276" w:lineRule="auto"/>
        <w:jc w:val="both"/>
      </w:pPr>
      <w:r>
        <w:rPr>
          <w:rFonts w:ascii="Times New Roman" w:hAnsi="Times New Roman"/>
          <w:b w:val="0"/>
          <w:i w:val="0"/>
          <w:sz w:val="22"/>
        </w:rPr>
        <w:t>Confidentiality ensures that sensitive information is accessible only to authorized entities. By distinguishing between STUDENT_VISIBLE, MENTOR_ONLY, and RESTRICTED_COUNSELLING notes, the portal provides transparent academic feedback while safeguarding delicate psychiatric observations.</w:t>
      </w:r>
    </w:p>
    <w:p>
      <w:pPr>
        <w:keepNext/>
        <w:spacing w:before="200" w:after="80"/>
      </w:pPr>
      <w:r>
        <w:rPr>
          <w:rFonts w:ascii="Times New Roman" w:hAnsi="Times New Roman"/>
          <w:b/>
          <w:color w:val="000000"/>
          <w:sz w:val="24"/>
        </w:rPr>
        <w:t>8.5 Mutual Exclusion and Transactional Isolation</w:t>
      </w:r>
    </w:p>
    <w:p>
      <w:pPr>
        <w:spacing w:before="0" w:after="120" w:line="276" w:lineRule="auto"/>
        <w:jc w:val="both"/>
      </w:pPr>
      <w:r>
        <w:rPr>
          <w:rFonts w:ascii="Times New Roman" w:hAnsi="Times New Roman"/>
          <w:b w:val="0"/>
          <w:i w:val="0"/>
          <w:sz w:val="22"/>
        </w:rPr>
        <w:t>Mutual exclusion guarantees that no two concurrent processes can modify the same student progression record or exceed a mentor's 25-mentee threshold at the same time. Prisma ORM and PostgreSQL's read-committed isolation level enforce consistency during concurrent operations.</w:t>
      </w:r>
    </w:p>
    <w:p>
      <w:pPr>
        <w:keepNext/>
        <w:spacing w:before="200" w:after="80"/>
      </w:pPr>
      <w:r>
        <w:rPr>
          <w:rFonts w:ascii="Times New Roman" w:hAnsi="Times New Roman"/>
          <w:b/>
          <w:color w:val="000000"/>
          <w:sz w:val="24"/>
        </w:rPr>
        <w:t>8.6 Data Retention, Archival and Audit Logging</w:t>
      </w:r>
    </w:p>
    <w:p>
      <w:pPr>
        <w:spacing w:before="0" w:after="120" w:line="276" w:lineRule="auto"/>
        <w:jc w:val="both"/>
      </w:pPr>
      <w:r>
        <w:rPr>
          <w:rFonts w:ascii="Times New Roman" w:hAnsi="Times New Roman"/>
          <w:b w:val="0"/>
          <w:i w:val="0"/>
          <w:sz w:val="22"/>
        </w:rPr>
        <w:t>To comply with NBA and NAAC accreditation standards, student progression records and mentor transfer histories are never permanently deleted. Records are flagged as ARCHIVED or TRANSFERRED, and all administrative actions are permanently logged in the AuditEvent table.</w:t>
      </w:r>
    </w:p>
    <w:p>
      <w:r>
        <w:br w:type="page"/>
      </w:r>
    </w:p>
    <w:p>
      <w:pPr>
        <w:keepNext/>
        <w:spacing w:before="280" w:after="120"/>
      </w:pPr>
      <w:r>
        <w:rPr>
          <w:rFonts w:ascii="Times New Roman" w:hAnsi="Times New Roman"/>
          <w:b/>
          <w:color w:val="000000"/>
          <w:sz w:val="27"/>
        </w:rPr>
        <w:t>9. Academic Integrity Statement and Student Declaration</w:t>
      </w:r>
    </w:p>
    <w:p>
      <w:pPr>
        <w:spacing w:before="0" w:after="120" w:line="276" w:lineRule="auto"/>
        <w:jc w:val="both"/>
      </w:pPr>
      <w:r>
        <w:rPr>
          <w:rFonts w:ascii="Times New Roman" w:hAnsi="Times New Roman"/>
          <w:b w:val="0"/>
          <w:i w:val="0"/>
          <w:sz w:val="22"/>
        </w:rPr>
        <w:t>"I declare that I have personally implemented, tested, and understood the submitted NMAMIT Mentor–Mentee Management Web Portal project. I have disclosed the AI tools and technical resources utilized during development. I can independently explain the authentication logic, database relational models, server-side role-based access control, and automated test execution results. I have not submitted unacknowledged third-party code as my own, and all institutional facts have been verified against official sources."</w:t>
      </w:r>
    </w:p>
    <w:p>
      <w:pPr>
        <w:spacing w:after="160"/>
      </w:pPr>
    </w:p>
    <w:tbl>
      <w:tblPr>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4896"/>
        <w:gridCol w:w="4896"/>
      </w:tblGrid>
      <w:tr>
        <w:tc>
          <w:tcPr>
            <w:tcW w:type="dxa" w:w="4896"/>
            <w:tcMar>
              <w:top w:w="60" w:type="dxa"/>
              <w:bottom w:w="60" w:type="dxa"/>
              <w:left w:w="80" w:type="dxa"/>
              <w:right w:w="80" w:type="dxa"/>
            </w:tcMar>
          </w:tcPr>
          <w:p>
            <w:pPr>
              <w:spacing w:after="0"/>
            </w:pPr>
            <w:r>
              <w:rPr>
                <w:rFonts w:ascii="Times New Roman" w:hAnsi="Times New Roman"/>
                <w:b/>
                <w:sz w:val="20"/>
              </w:rPr>
              <w:t>Student Name: Karthik V</w:t>
            </w:r>
          </w:p>
        </w:tc>
        <w:tc>
          <w:tcPr>
            <w:tcW w:type="dxa" w:w="4896"/>
            <w:tcMar>
              <w:top w:w="60" w:type="dxa"/>
              <w:bottom w:w="60" w:type="dxa"/>
              <w:left w:w="80" w:type="dxa"/>
              <w:right w:w="80" w:type="dxa"/>
            </w:tcMar>
          </w:tcPr>
          <w:p>
            <w:pPr>
              <w:spacing w:after="0"/>
            </w:pPr>
            <w:r>
              <w:rPr>
                <w:rFonts w:ascii="Times New Roman" w:hAnsi="Times New Roman"/>
                <w:b/>
                <w:sz w:val="20"/>
              </w:rPr>
              <w:t>Institutional Branch: Dept. of Information Science &amp; Engg.</w:t>
            </w:r>
          </w:p>
        </w:tc>
      </w:tr>
      <w:tr>
        <w:tc>
          <w:tcPr>
            <w:tcW w:type="dxa" w:w="4896"/>
            <w:tcMar>
              <w:top w:w="60" w:type="dxa"/>
              <w:bottom w:w="60" w:type="dxa"/>
              <w:left w:w="80" w:type="dxa"/>
              <w:right w:w="80" w:type="dxa"/>
            </w:tcMar>
          </w:tcPr>
          <w:p>
            <w:pPr>
              <w:spacing w:after="0"/>
            </w:pPr>
            <w:r>
              <w:rPr>
                <w:rFonts w:ascii="Times New Roman" w:hAnsi="Times New Roman"/>
                <w:b/>
                <w:sz w:val="20"/>
              </w:rPr>
              <w:t>University Seat Number (USN): NNM23IS086</w:t>
            </w:r>
          </w:p>
        </w:tc>
        <w:tc>
          <w:tcPr>
            <w:tcW w:type="dxa" w:w="4896"/>
            <w:tcMar>
              <w:top w:w="60" w:type="dxa"/>
              <w:bottom w:w="60" w:type="dxa"/>
              <w:left w:w="80" w:type="dxa"/>
              <w:right w:w="80" w:type="dxa"/>
            </w:tcMar>
          </w:tcPr>
          <w:p>
            <w:pPr>
              <w:spacing w:after="0"/>
            </w:pPr>
            <w:r>
              <w:rPr>
                <w:rFonts w:ascii="Times New Roman" w:hAnsi="Times New Roman"/>
                <w:b/>
                <w:sz w:val="20"/>
              </w:rPr>
              <w:t>Institution: NMAM Institute of Technology, Nitte</w:t>
            </w:r>
          </w:p>
        </w:tc>
      </w:tr>
      <w:tr>
        <w:tc>
          <w:tcPr>
            <w:tcW w:type="dxa" w:w="4896"/>
            <w:tcMar>
              <w:top w:w="60" w:type="dxa"/>
              <w:bottom w:w="60" w:type="dxa"/>
              <w:left w:w="80" w:type="dxa"/>
              <w:right w:w="80" w:type="dxa"/>
            </w:tcMar>
          </w:tcPr>
          <w:p>
            <w:pPr>
              <w:spacing w:after="0"/>
            </w:pPr>
            <w:r>
              <w:rPr>
                <w:rFonts w:ascii="Times New Roman" w:hAnsi="Times New Roman"/>
                <w:b/>
                <w:sz w:val="20"/>
              </w:rPr>
              <w:t>Date of Submission: October 29, 2026</w:t>
            </w:r>
          </w:p>
        </w:tc>
        <w:tc>
          <w:tcPr>
            <w:tcW w:type="dxa" w:w="4896"/>
            <w:tcMar>
              <w:top w:w="60" w:type="dxa"/>
              <w:bottom w:w="60" w:type="dxa"/>
              <w:left w:w="80" w:type="dxa"/>
              <w:right w:w="80" w:type="dxa"/>
            </w:tcMar>
          </w:tcPr>
          <w:p>
            <w:pPr>
              <w:spacing w:after="0"/>
            </w:pPr>
            <w:r>
              <w:rPr>
                <w:rFonts w:ascii="Times New Roman" w:hAnsi="Times New Roman"/>
                <w:b/>
                <w:sz w:val="20"/>
              </w:rPr>
              <w:t>Digital Signature: Karthik V</w:t>
            </w:r>
          </w:p>
        </w:tc>
      </w:tr>
    </w:tbl>
    <w:sectPr w:rsidR="00FC693F" w:rsidRPr="0006063C" w:rsidSect="00034616">
      <w:pgSz w:w="12240" w:h="15840"/>
      <w:pgMar w:top="1224" w:right="1224" w:bottom="1224" w:left="1224" w:header="720" w:footer="720" w:gutter="0"/>
      <w:cols w:space="720"/>
      <w:docGrid w:linePitch="360"/>
      <w:pgBorders w:offsetFrom="page">
        <w:top w:val="single" w:sz="12" w:space="28" w:color="000000"/>
        <w:left w:val="single" w:sz="12" w:space="28" w:color="000000"/>
        <w:bottom w:val="single" w:sz="12" w:space="28" w:color="000000"/>
        <w:right w:val="single" w:sz="12" w:space="28" w:color="000000"/>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