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Objective:</w:t>
        <w:br/>
        <w:t>- To examine the unique features of dyslipidemia in women across their lifetime</w:t>
        <w:br/>
        <w:t>- To develop a tailored approach to management for dyslipidemia in women</w:t>
        <w:br/>
        <w:br/>
        <w:t>Method:</w:t>
        <w:br/>
        <w:t>- Conducted a review of existing literature on dyslipidemia in women</w:t>
        <w:br/>
        <w:t>- Analyzed data on lipid levels and cardiovascular risk factors in women of different age groups</w:t>
        <w:br/>
        <w:t>- Identified key differences in dyslipidemia presentation and management between men and women</w:t>
        <w:br/>
        <w:t>- Developed a comprehensive management approach tailored specifically for women</w:t>
        <w:br/>
        <w:br/>
        <w:t>Result:</w:t>
        <w:br/>
        <w:t>- Found that women experience unique changes in lipid levels throughout their lifetime, influenced by hormonal fluctuations, pregnancy, and menopause</w:t>
        <w:br/>
        <w:t>- Discovered that traditional risk assessment tools may not accurately predict cardiovascular risk in women</w:t>
        <w:br/>
        <w:t>- Proposed a personalized approach to dyslipidemia management in women, considering their individual risk factors and hormonal influences</w:t>
        <w:br/>
        <w:t>- Suggested regular monitoring of lipid levels and cardiovascular risk factors in women to optimize management strategies.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