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AML Fraud Investigation System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Project Handoff Document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Kartik Hirijaganer  |  June 2026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Core Idea — What It Solves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Banks have a manual compliance bottleneck. Every flagged transaction triggers a chain of steps costing 6–8 analyst hours per case: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 Step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Cost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flagged transactions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2–4 hrs/case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Look up FinCEN/AML regulations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30–60 min/case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Suspicious Activity Report (SAR)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1–2 hrs/case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per investigation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~6–8 hours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system compresses the full pipeline to minutes using 4 components: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XGBoost — scores each transaction as fraudulent with a probability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SHAP — explains which features triggered the flag (explainability for audit)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RAG — retrieves the exact FinCEN/BSA regulation that applies to the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LangGraph — orchestrates all three agents and auto-drafts the SAR report</w:t>
      </w:r>
    </w:p>
    <w:p>
      <w:pPr>
        <w:spacing w:after="80" w:before="8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Real-World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Uses It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 Today</w:t>
            </w:r>
          </w:p>
        </w:tc>
        <w:tc>
          <w:tcPr>
            <w:tcW w:type="dxa" w:w="3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Solves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AML Analyst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Manually reviews 100s of flags/week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Auto-triages, surfaces top cases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Officer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Looks up FinCEN rules manually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 retrieves exact regulation instantly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SAR Writer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1–2 hrs writing per report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auto-drafts from SHAP + RAG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explain model decisions in audit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SHAP provides defensible audit trail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Target companies and why they care: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6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They Hire For This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Capital 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Largest US card issuer — millions of fraud flags daily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JPMC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dedicated AI Research division for financial crime (LLM Suite)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Morgan Stanley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Wealth management — high-value wire fraud detection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Deloitte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Sells AML compliance tools to banks as consulting product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Booz Allen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FinCEN and Treasury are government clients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 crime = national security threat + cap-exempt H-1B</w:t>
            </w:r>
          </w:p>
        </w:tc>
      </w:tr>
    </w:tbl>
    <w:p>
      <w:pPr>
        <w:spacing w:after="80" w:before="8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IEEE-CIS Fraud Detection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Kaggle (Vesta Corporation)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590,540 transactions, 3.5% fraud rate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FinCEN SAR Guidelines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treasury.gov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documents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BSA/AML Regulations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ffiec.gov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documents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 EDGAR Filings (optional)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sec.gov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Key dataset note: The IEEE-CIS dataset is highly imbalanced (3.5% fraud rate) — this is realistic and makes the model more impressive to hiring managers. Use SMOTE or class weighting to handle imbalance.</w:t>
      </w:r>
    </w:p>
    <w:p>
      <w:pPr>
        <w:spacing w:after="80" w:before="8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LangGraph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Multi-agent pipeline, already on resume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LangChain + ChromaDB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Free, runs in container, no extra infra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Embeddings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 text-embedding-3-small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Cheapest at $0.02/1M tokens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(Primary)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 Claude Haiku (direct API)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Cheapest, fastest, no markup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(Fallback)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OpenRouter → GPT-4o-mini → Gemini Flash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Fault-tolerant, demo never breaks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Fraud 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XGBoost + SHAP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Explainability = compliance gold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in stack, async, fast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+ Tailwind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in stack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via Supabase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tier, already used in Briefed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Terraform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on resume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Free, auto-deploy on push</w:t>
            </w:r>
          </w:p>
        </w:tc>
      </w:tr>
    </w:tbl>
    <w:p>
      <w:pPr>
        <w:spacing w:after="80" w:before="8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Cloud &amp; Infrastructure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Service Map (Azure + Vercel)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Equivalent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CloudFront + S3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Container Apps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ECS Fargate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$0–5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Registry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Container Registry (ACR)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 DB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ChromaDB (inside container)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equivalent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Blob 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~$0.50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Calls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 API (direct)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Bedrock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~$2–5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CI/CD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CodePipeline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~$3–8/month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URL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(what users visit)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aml-fraud-system.vercel.app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aml-api.azurecontainerapps.io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domain (optional ~$12/yr)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aml-fraud.kartik.dev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Why Azure Over AWS For This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AWS already covered by Briefed and Premier Health experience — Azure fills the resume gap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Azure AI-103 certification in progress — project creates direct synergy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JPMC, Morgan Stanley, Deloitte heavily use Azure in enterprise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Azure Container Apps has better free tier for low-traffic portfolio projects</w:t>
      </w:r>
    </w:p>
    <w:p>
      <w:pPr>
        <w:spacing w:after="80" w:before="8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Cold Start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Wait Time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Experience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visit of the 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45–75 sec (container + model load)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step-by-step progress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Subsequent clicks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&lt;2 sec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Snappy — container warm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first pipeline (warm)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~15–20 sec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XGBoost + SHAP + RAG + LLM streaming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Pre-warm before interview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sec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URL 5 min before demo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UX strategy: Show step-by-step progress banner on first load: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Waking up investigation engine... (0–45s)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Engine 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Scoring transaction with XGBoost...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Generating SHAP explanation...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Retrieving FinCEN regulations via RAG...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Drafting SAR report... (streaming)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Key insight: Stream the SAR draft token-by-token (like ChatGPT). The 15–20 sec processing time is fully believable for a real fraud investigation pipeline — do NOT pre-compute results as it looks fake.</w:t>
      </w:r>
    </w:p>
    <w:p>
      <w:pPr>
        <w:spacing w:after="80" w:before="8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User Flow On Live 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rPr>
          <w:tblHeader/>
        </w:trP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User Sees</w:t>
            </w:r>
          </w:p>
        </w:tc>
        <w:tc>
          <w:tcPr>
            <w:tcW w:type="dxa" w:w="5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 Behind 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Open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dashboard loads instantly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CDN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Select transaction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 of flagged transactions with fraud 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Pre-loaded demo data or CSV upload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Click Investigate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Step-by-step progress UI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wakes up (cold start)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Fraud 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Gauge showing 94% fraud probability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XGBoost inference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SHAP Chart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 chart of top triggering features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SHAP explainer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RAG Panel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Relevant FinCEN regulation retrieved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ChromaDB vector search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 SAR Draft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streams word-by-word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Haiku streaming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 Model Selector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between Claude / GPT-4o / Gemini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OpenRouter fallback layer</w:t>
            </w:r>
          </w:p>
        </w:tc>
      </w:tr>
    </w:tbl>
    <w:p>
      <w:pPr>
        <w:spacing w:after="80" w:before="8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LLM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5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 Claude Haiku (direct)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SAR draft generation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~$2–3/month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Fallback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OpenRouter → GPT-4o-mini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Anthropic down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~$0.50 (rare)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Fallback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OpenRouter → Gemini Flash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GPT-4o-mini down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~$0.10 (rare)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UI exposes a model selector so users can compare SAR draft quality across models — mirrors how real banks evaluate LLM vendors. This is a strong interview talking point.</w:t>
      </w:r>
    </w:p>
    <w:p>
      <w:pPr>
        <w:spacing w:after="80" w:before="8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Resume Signal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 Covered</w:t>
            </w:r>
          </w:p>
        </w:tc>
        <w:tc>
          <w:tcPr>
            <w:tcW w:type="dxa" w:w="6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ChromaDB + LangChain pipeline over FinCEN PDFs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LangGraph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Multi-agent orchestration (XGBoost + SHAP + RAG agents)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XGBoost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Fraud scoring model on 590K transactions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Explainability layer — compliance audit trail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 Apps + ACR + Blob 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API with streaming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Terraform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IaC for Azure deployment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 API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integration with streaming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OpenRouter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Fallback layer — fault-tolerant LLM pipeline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Containerized deployment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Resume Bullet (Draft)</w:t>
      </w:r>
    </w:p>
    <w:p>
      <w:pPr>
        <w:shd w:fill="F0F4F8" w:val="clear"/>
        <w:spacing w:after="80" w:before="80"/>
        <w:ind w:left="360" w:right="360"/>
      </w:pPr>
      <w:r>
        <w:rPr>
          <w:rFonts w:ascii="Arial" w:cs="Arial" w:eastAsia="Arial" w:hAnsi="Arial"/>
          <w:color w:val="1E3A5F"/>
          <w:sz w:val="18"/>
          <w:szCs w:val="18"/>
        </w:rPr>
        <w:t xml:space="preserve">Engineered a multi-agent AML Fraud Investigation System using LangGraph — RAG pipeline over 500+ FinCEN/BSA regulatory documents (ChromaDB) enabling real-time compliance Q&amp;A, paired with XGBoost fraud detection on 590K transactions with SHAP explainability for defensible audit trails and LLM-powered SAR auto-drafting. (LangGraph, RAG, ChromaDB, XGBoost, SHAP, FastAPI, Azure Container Apps, Terraform)</w:t>
      </w:r>
    </w:p>
    <w:p>
      <w:pPr>
        <w:spacing w:after="80" w:before="8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 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  <w:tc>
          <w:tcPr>
            <w:tcW w:type="dxa" w:w="4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During free tier (first 30 days)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$200 credit covers everything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free tier (scale-to-zero)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~$3–8/month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charges when container wakes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nobody visits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Scale-to-zero = no idle 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Always-on (optional)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~$20–25/month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recommended for portfolio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Interview day (pre-warmed)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~$0 extra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URL 5 min before = warm container</w:t>
            </w:r>
          </w:p>
        </w:tc>
      </w:tr>
    </w:tbl>
    <w:p>
      <w:pPr>
        <w:spacing w:after="80" w:before="8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 Build Order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760"/>
      </w:tblGrid>
      <w:tr>
        <w:trPr>
          <w:tblHeader/>
        </w:trP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prep — load IEEE-CIS, handle class imbalance (SMOTE)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1–2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 XGBoost model + SHAP explainer, save artifacts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2–3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 FinCEN PDFs → ChromaDB embeddings (one-time)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LangGraph multi-agent pipeline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2–3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backend + streaming endpoint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1–2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dashboard — transaction table + SHAP chart + SAR panel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3–4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OpenRouter fallback + model selector UI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Dockerize + deploy to Azure Container Apps via Terraform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1–2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React to Vercel + GitHub Actions CI/CD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Loom demo + write GitHub README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~2.5–3.5 weeks</w:t>
            </w:r>
          </w:p>
        </w:tc>
      </w:tr>
    </w:tbl>
    <w:p>
      <w:pPr>
        <w:spacing w:after="80" w:before="80"/>
      </w:pPr>
    </w:p>
    <w:p>
      <w:pPr>
        <w:pBdr>
          <w:bottom w:val="single" w:color="CCCCCC" w:sz="4" w:space="1"/>
        </w:pBdr>
        <w:spacing w:after="120" w:before="120"/>
      </w:pPr>
    </w:p>
    <w:p>
      <w:pPr>
        <w:spacing w:after="0" w:before="24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Generated for Kartik Hirijaganer  |  June 2026  |  AML Fraud Investigation System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2026-06-09T00:16:17.815Z</dcterms:created>
  <dcterms:modified xsi:type="dcterms:W3CDTF">2026-06-09T00:16:17.815Z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