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46DCEDE3" w14:textId="77777777" w:rsidR="00802C9B" w:rsidRDefault="00000000">
      <w:pPr>
        <w:pStyle w:val="papertitle"/>
      </w:pPr>
      <w:r>
        <w:t>IntelliContext: Cache-Safe, Type-Aware Context Compression for Large Language Model Agent Pipelines</w:t>
      </w:r>
    </w:p>
    <w:p w14:paraId="249EF49C" w14:textId="77777777" w:rsidR="00802C9B" w:rsidRDefault="00000000">
      <w:pPr>
        <w:pStyle w:val="Author"/>
      </w:pPr>
      <w:r>
        <w:t>Kartik Mehta</w:t>
      </w:r>
      <w:r>
        <w:br/>
      </w:r>
      <w:r>
        <w:rPr>
          <w:i/>
        </w:rPr>
        <w:t>HSBC Software (I) PVT LTD</w:t>
      </w:r>
      <w:r>
        <w:br/>
        <w:t>Pune, India</w:t>
      </w:r>
      <w:r>
        <w:br/>
        <w:t>kartik.mehta@hsbc.co.in</w:t>
      </w:r>
    </w:p>
    <w:p w14:paraId="011AC1AB" w14:textId="77777777" w:rsidR="00802C9B" w:rsidRDefault="00802C9B">
      <w:pPr>
        <w:sectPr w:rsidR="00802C9B">
          <w:footerReference w:type="even" r:id="rId8"/>
          <w:footerReference w:type="default" r:id="rId9"/>
          <w:footerReference w:type="first" r:id="rId10"/>
          <w:type w:val="continuous"/>
          <w:pgSz w:w="595.30pt" w:h="841.90pt" w:code="9"/>
          <w:pgMar w:top="54pt" w:right="45.35pt" w:bottom="72pt" w:left="45.35pt" w:header="36pt" w:footer="36pt" w:gutter="0pt"/>
          <w:cols w:space="18pt"/>
          <w:titlePg/>
          <w:docGrid w:linePitch="360"/>
        </w:sectPr>
      </w:pPr>
    </w:p>
    <w:p w14:paraId="7A846B0D" w14:textId="77777777" w:rsidR="00802C9B" w:rsidRDefault="00000000">
      <w:pPr>
        <w:pStyle w:val="Abstract"/>
      </w:pPr>
      <w:r>
        <w:t xml:space="preserve">Abstract—Long-running large language model (LLM) agents share a costly, under-examined problem: their prompts grow without bound. Each turn appends tool outputs, file listings, and prior-turn history, so latency and billed input tokens scale with session length rather than task difficulty. The obvious fix—dropping or summarising old turns—backfires, because it rewrites the prompt prefix that providers cache and forfeits a discount that can reach 90% of input cost. IntelliContext resolves this dilemma with a local-first middleware that confines all compression to the </w:t>
      </w:r>
      <w:r>
        <w:rPr>
          <w:i/>
        </w:rPr>
        <w:t>live zone</w:t>
      </w:r>
      <w:r>
        <w:t>—the newest, not-yet-cached blocks of each request—leaving the cached prefix byte-identical. Ten formally stated invariants define this boundary and are enforced at every module interface. Within the live zone, a content router dispatches each block to a type-specific compressor spanning JSON, logs, search output, diffs, prose, source code, and binary image and audio payloads, and every compressed block carries a content-addressed marker so the model can recover the exact original on demand: compression is aggressive yet fully reversible. One shared engine is reachable through three interoperable integration modes—an HTTPS proxy, harness runtime hooks, and wrapped tools—so it fits existing agents without code changes. Measured results: 20.3–85.2% fewer prompt tokens on five production workloads (up to 49,491 on a single request), an external provider's billing confirming 56.6%, cache-prefix stability rising from 0% to 100%, and a 1,485-fact retention audit showing 99.7% effective recovery with zero unrecoverable loss after a one-line safety fix.</w:t>
      </w:r>
    </w:p>
    <w:p w14:paraId="450BB8D3" w14:textId="77777777" w:rsidR="00802C9B" w:rsidRDefault="00000000">
      <w:pPr>
        <w:pStyle w:val="Keywords"/>
      </w:pPr>
      <w:r>
        <w:t>Keywords—context compression, large language models, AI agents, prompt caching, token efficiency, KV cache, content-aware compression, reversible compression, proxy middleware, interoperability</w:t>
      </w:r>
    </w:p>
    <w:p w14:paraId="6DBE59A1" w14:textId="055C01FD" w:rsidR="00802C9B" w:rsidRDefault="002F29E6">
      <w:pPr>
        <w:pStyle w:val="Heading1"/>
      </w:pPr>
      <w:r>
        <w:t>INTRODUCTION</w:t>
      </w:r>
    </w:p>
    <w:p w14:paraId="3A8173AB" w14:textId="77777777" w:rsidR="00802C9B" w:rsidRDefault="00000000">
      <w:pPr>
        <w:pStyle w:val="BodyText"/>
      </w:pPr>
      <w:r>
        <w:t>LLM-based coding and analysis assistants have changed how developers and knowledge workers operate, but they carry an operational cost that is easy to overlook: the prompt grows with every tool invocation, and input tokens are billed on every call. A session with an agentic assistant such as Claude Code [1] may open with a modest system prompt and a single question, yet many turns later it can be carrying the output of a full version-control log, a large incident report, and several rounds of code-search results—context accumulated one tool call at a time. Left unmanaged, that growth translates directly into latency and spend that scale with the length of the session rather than the difficulty of the task.</w:t>
      </w:r>
    </w:p>
    <w:p w14:paraId="133F3C78" w14:textId="77777777" w:rsidR="00802C9B" w:rsidRDefault="00000000">
      <w:pPr>
        <w:pStyle w:val="BodyText"/>
      </w:pPr>
      <w:r>
        <w:t>Provider APIs already offer a partial remedy. Both Anthropic and OpenAI support prompt caching [2], [3]: the server stores the transformer activations for a stable prefix and reuses them on subsequent requests, cutting the effective cost of long sessions substantially. In practice, though, any byte-</w:t>
      </w:r>
      <w:r>
        <w:t>level change to a prefix that has already been cached invalidates the cache from that point forward. A middleware that summarises or drops old turns to control token counts breaks the cache on every pass. Operators are left choosing between uncontrolled growth and cache loss.</w:t>
      </w:r>
    </w:p>
    <w:p w14:paraId="7BFF76CC" w14:textId="77777777" w:rsidR="00802C9B" w:rsidRDefault="00000000">
      <w:pPr>
        <w:pStyle w:val="BodyText"/>
      </w:pPr>
      <w:r>
        <w:t xml:space="preserve">IntelliContext resolves this by drawing a sharper distinction than prior work between the part of the prompt that is already cached and the part that has not yet been sent to the provider. We call these the </w:t>
      </w:r>
      <w:r>
        <w:rPr>
          <w:i/>
        </w:rPr>
        <w:t>hot zone</w:t>
      </w:r>
      <w:r>
        <w:t xml:space="preserve"> and the </w:t>
      </w:r>
      <w:r>
        <w:rPr>
          <w:i/>
        </w:rPr>
        <w:t>live zone</w:t>
      </w:r>
      <w:r>
        <w:t>, respectively. Compression is applied only to the live zone—the current turn's blocks. The hot zone is left byte-identical to what the provider has already seen, preserving the cache. Ten formally stated invariants encode this guarantee and are enforced at every component boundary in the implementation.</w:t>
      </w:r>
    </w:p>
    <w:p w14:paraId="127D5A96" w14:textId="77777777" w:rsidR="00802C9B" w:rsidRDefault="00000000">
      <w:pPr>
        <w:pStyle w:val="BodyText"/>
      </w:pPr>
      <w:r>
        <w:t>Within the live zone, IntelliContext routes each content block to a type-specific compressor. JSON tool output, build logs, search results, unified diffs, plain text, source code, and binary image or audio payloads each have distinct structural properties that a general-purpose compressor cannot exploit. This type-specific approach is what produces the wide range of savings seen across our evaluation workloads: a large, highly structured code bundle collapses to a small fraction of its original size, whereas an information-dense document such as a resume resists compression because there is little redundancy to remove.</w:t>
      </w:r>
    </w:p>
    <w:p w14:paraId="6E08E450" w14:textId="77777777" w:rsidR="00802C9B" w:rsidRDefault="00000000">
      <w:pPr>
        <w:pStyle w:val="BodyText"/>
      </w:pPr>
      <w:r>
        <w:t>Every compressed block retains a retrieval path. A content-addressed store keeps the original bytes, and the model can recover them through a registered tool call if it determines that the compressed form is insufficient. This makes compression aggressive-but-reversible rather than lossy: nothing is discarded, only deferred.</w:t>
      </w:r>
    </w:p>
    <w:p w14:paraId="662BB743" w14:textId="77777777" w:rsidR="00802C9B" w:rsidRDefault="00000000">
      <w:pPr>
        <w:pStyle w:val="BodyText"/>
      </w:pPr>
      <w:r>
        <w:t xml:space="preserve">A single compression engine is not tied to a single interception point. IntelliContext admits context through three interoperable integration modes—an HTTPS proxy that optimises the whole request, harness runtime hooks that attach to the agent's own lifecycle events, and wrapped tools that return already-compressed output. The modes are governed by one simple rule: </w:t>
      </w:r>
      <w:r>
        <w:rPr>
          <w:i/>
        </w:rPr>
        <w:t>a mode can only compress what it can see</w:t>
      </w:r>
      <w:r>
        <w:t>. Choosing a mode is choosing a scope, and the scope decides which engine stages are even reachable. The three modes compose, and none of them requires a change to agent code.</w:t>
      </w:r>
    </w:p>
    <w:p w14:paraId="36227C41" w14:textId="11D62E35" w:rsidR="00802C9B" w:rsidRDefault="00000000">
      <w:pPr>
        <w:pStyle w:val="BodyText"/>
      </w:pPr>
      <w:r>
        <w:t xml:space="preserve">Concretely, this paper contributes: (1) a formal live-zone/hot-zone partition with ten test-enforced cache-safety invariants that let a proxy compress aggressively without ever breaking the provider cache (Sections IV–V); (2) a typed content router that covers major agentic content type, including </w:t>
      </w:r>
      <w:r w:rsidR="00A30912">
        <w:t xml:space="preserve">code, log, prose, </w:t>
      </w:r>
      <w:r>
        <w:t xml:space="preserve">image and audio payloads (Sections V–VI); (3) content-addressed, reversible </w:t>
      </w:r>
      <w:r>
        <w:lastRenderedPageBreak/>
        <w:t>compression with a small fixed retrieval overhead, so no information is discarded—only deferred—audited here at 99.7% effective recoverability with zero unrecoverable loss (Sections VII, X); (4) a scope-driven integration model—proxy, runtime hooks, and wrapped tools—that makes the same engine portable across agent harnesses without client changes (Section IX); and (5) an empirical evaluation on five production workloads, four standard benchmarks, and a 1,485-fact reversibility audit, together with a measured account of a data-loss defect that measurement caught and a one-line change corrected (Section X).</w:t>
      </w:r>
    </w:p>
    <w:p w14:paraId="64058734" w14:textId="77777777" w:rsidR="00802C9B" w:rsidRDefault="00000000" w:rsidP="002F29E6">
      <w:pPr>
        <w:pStyle w:val="Heading1"/>
        <w:ind w:firstLine="0pt"/>
      </w:pPr>
      <w:r>
        <w:t>Background and Related Work</w:t>
      </w:r>
    </w:p>
    <w:p w14:paraId="4320BB92" w14:textId="77777777" w:rsidR="00802C9B" w:rsidRDefault="00000000">
      <w:pPr>
        <w:pStyle w:val="Heading2"/>
      </w:pPr>
      <w:r>
        <w:t>LLM Prompt Caching</w:t>
      </w:r>
    </w:p>
    <w:p w14:paraId="59C8962C" w14:textId="77777777" w:rsidR="00802C9B" w:rsidRDefault="00000000">
      <w:pPr>
        <w:pStyle w:val="BodyText"/>
      </w:pPr>
      <w:r>
        <w:t>Anthropic and OpenAI both offer server-side key–value (KV) caching [2], [3]: transformer activations for a stable prefix are stored, so a session that reuses its system prompt, tool definitions, and prior turns byte-for-byte pays only for the tokens appended in the current turn. The discount reaches up to 90% of input cost on long, stable sessions. The catch is byte-level exactness—a single changed character at position k invalidates the cache from k onward. Google's context caching offers a comparable discount under a different pricing model. Any middleware that aspires to reduce token counts must therefore treat the cached prefix as immutable.</w:t>
      </w:r>
    </w:p>
    <w:p w14:paraId="7F35F06B" w14:textId="77777777" w:rsidR="00802C9B" w:rsidRDefault="00000000">
      <w:pPr>
        <w:pStyle w:val="Heading2"/>
      </w:pPr>
      <w:r>
        <w:t>Neural Prompt Compression</w:t>
      </w:r>
    </w:p>
    <w:p w14:paraId="5355424A" w14:textId="77777777" w:rsidR="00802C9B" w:rsidRDefault="00000000">
      <w:pPr>
        <w:pStyle w:val="BodyText"/>
      </w:pPr>
      <w:r>
        <w:t>LLMLingua [5] passes the prompt through a smaller model that scores per-token perplexity and drops low-value tokens; LLMLingua-2 [6] adds a data-distillation procedure for better faithfulness. Both achieve real compression and are a natural choice when cache preservation is not required. The difficulty for our setting is that dropping tokens anywhere—including in the cached prefix—invalidates the cache, and these methods cannot be confined to the current turn without re-architecting the compression target. AutoCompressor [7] instead fine-tunes a model to emit compact summary vectors, folding context into a recurrent soft state, while Selective Context [8] prunes sentences below a self-information threshold. Both are full-prompt methods: neither is cache-safe, and neither targets the structured content types—JSON, diffs, logs—that dominate agentic tool output.</w:t>
      </w:r>
    </w:p>
    <w:p w14:paraId="08DCEFAC" w14:textId="77777777" w:rsidR="00802C9B" w:rsidRDefault="00000000">
      <w:pPr>
        <w:pStyle w:val="Heading2"/>
      </w:pPr>
      <w:r>
        <w:t>Memory-Augmented Approaches</w:t>
      </w:r>
    </w:p>
    <w:p w14:paraId="1EE34459" w14:textId="77777777" w:rsidR="00802C9B" w:rsidRDefault="00000000">
      <w:pPr>
        <w:pStyle w:val="BodyText"/>
      </w:pPr>
      <w:r>
        <w:t>MemGPT [9] treats context as virtual memory, paging old turns to a vector store as the window fills and retrieving them on demand. This bounds context growth but sacrifices cache stability—every eviction rewrites the prefix—and requires the LLM to cooperate with a specific tool interface, limiting portability. PagedAttention [10] addresses a distinct problem, KV-cache fragmentation inside the inference engine, by paging GPU memory at block granularity; it operates below the API surface and is orthogonal to proxy-layer compression.</w:t>
      </w:r>
    </w:p>
    <w:p w14:paraId="0FC1B9EA" w14:textId="77777777" w:rsidR="00802C9B" w:rsidRDefault="00000000">
      <w:pPr>
        <w:pStyle w:val="Heading2"/>
      </w:pPr>
      <w:r>
        <w:t>Compaction and Tool-Output Filtering</w:t>
      </w:r>
    </w:p>
    <w:p w14:paraId="16060699" w14:textId="77777777" w:rsidR="00802C9B" w:rsidRDefault="00000000">
      <w:pPr>
        <w:pStyle w:val="BodyText"/>
      </w:pPr>
      <w:r>
        <w:t xml:space="preserve">OpenAI compaction [4] replaces old turns with a model-generated summary on request—an intentional, one-shot cache invalidation that is reasonable when a session has grown large enough to justify a fresh cache, but not something that can run every turn without defeating caching. Shell-level tool rewriters are complementary: they trim bytes before they reach the proxy but do not handle binary payloads, offer no reversibility, and require changes to the shell environment. IntelliContext generalises this last idea into three principled interception points—proxy, runtime hooks, and wrapped tools </w:t>
      </w:r>
      <w:r>
        <w:t>(Section IX)—each backed by the same reversible engine, so byte trimming at the tool boundary and cache-safe rewriting at the API boundary become two faces of one system rather than disconnected point tools.</w:t>
      </w:r>
    </w:p>
    <w:p w14:paraId="0037E517" w14:textId="77777777" w:rsidR="00802C9B" w:rsidRDefault="00000000">
      <w:pPr>
        <w:pStyle w:val="Heading2"/>
      </w:pPr>
      <w:r>
        <w:t>Positioning</w:t>
      </w:r>
    </w:p>
    <w:p w14:paraId="7B5C5E19" w14:textId="77777777" w:rsidR="00802C9B" w:rsidRDefault="00000000">
      <w:pPr>
        <w:pStyle w:val="BodyText"/>
      </w:pPr>
      <w:r>
        <w:t>Table I positions IntelliContext against representative prior systems on the dimensions that matter most for production agentic deployments. None of the prior approaches preserves the provider KV cache while compressing structured and binary live-zone content reversibly, without a GPU, and without modifying agent code. IntelliContext is designed to occupy that gap: cache-safe by construction, type-aware, reversible, CPU-only, and transparent.</w:t>
      </w:r>
    </w:p>
    <w:p w14:paraId="2192CE83" w14:textId="77777777" w:rsidR="00802C9B" w:rsidRDefault="00000000">
      <w:pPr>
        <w:pStyle w:val="tablehead"/>
      </w:pPr>
      <w:r>
        <w:t>TABLE I</w:t>
      </w:r>
      <w:r>
        <w:br/>
        <w:t>Feature Comparison of Context-Compression Systems</w:t>
      </w:r>
    </w:p>
    <w:tbl>
      <w:tblPr>
        <w:tblW w:w="241.05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157"/>
        <w:gridCol w:w="887"/>
        <w:gridCol w:w="887"/>
        <w:gridCol w:w="810"/>
        <w:gridCol w:w="1080"/>
      </w:tblGrid>
      <w:tr w:rsidR="00802C9B" w14:paraId="740B788C" w14:textId="77777777">
        <w:trPr>
          <w:cantSplit/>
          <w:tblHeader/>
          <w:jc w:val="center"/>
        </w:trPr>
        <w:tc>
          <w:tcPr>
            <w:tcW w:w="57.85pt" w:type="dxa"/>
            <w:vAlign w:val="center"/>
          </w:tcPr>
          <w:p w14:paraId="180928D2" w14:textId="77777777" w:rsidR="00802C9B" w:rsidRDefault="00000000">
            <w:pPr>
              <w:pStyle w:val="tablecolhead"/>
            </w:pPr>
            <w:r>
              <w:t>Feature</w:t>
            </w:r>
          </w:p>
        </w:tc>
        <w:tc>
          <w:tcPr>
            <w:tcW w:w="44.35pt" w:type="dxa"/>
            <w:vAlign w:val="center"/>
          </w:tcPr>
          <w:p w14:paraId="326FC0BB" w14:textId="77777777" w:rsidR="00802C9B" w:rsidRDefault="00000000">
            <w:pPr>
              <w:pStyle w:val="tablecolhead"/>
            </w:pPr>
            <w:r>
              <w:t>LLMLingua [5]</w:t>
            </w:r>
          </w:p>
        </w:tc>
        <w:tc>
          <w:tcPr>
            <w:tcW w:w="44.35pt" w:type="dxa"/>
            <w:vAlign w:val="center"/>
          </w:tcPr>
          <w:p w14:paraId="04418181" w14:textId="77777777" w:rsidR="00802C9B" w:rsidRDefault="00000000">
            <w:pPr>
              <w:pStyle w:val="tablecolhead"/>
            </w:pPr>
            <w:r>
              <w:t>AutoCompr. [7]</w:t>
            </w:r>
          </w:p>
        </w:tc>
        <w:tc>
          <w:tcPr>
            <w:tcW w:w="40.50pt" w:type="dxa"/>
            <w:vAlign w:val="center"/>
          </w:tcPr>
          <w:p w14:paraId="6011F4D9" w14:textId="77777777" w:rsidR="00802C9B" w:rsidRDefault="00000000">
            <w:pPr>
              <w:pStyle w:val="tablecolhead"/>
            </w:pPr>
            <w:r>
              <w:t>MemGPT [9]</w:t>
            </w:r>
          </w:p>
        </w:tc>
        <w:tc>
          <w:tcPr>
            <w:tcW w:w="54pt" w:type="dxa"/>
            <w:vAlign w:val="center"/>
          </w:tcPr>
          <w:p w14:paraId="2BEB1182" w14:textId="77777777" w:rsidR="00802C9B" w:rsidRDefault="00000000">
            <w:pPr>
              <w:pStyle w:val="tablecolhead"/>
            </w:pPr>
            <w:r>
              <w:t>IntelliContext</w:t>
            </w:r>
          </w:p>
        </w:tc>
      </w:tr>
      <w:tr w:rsidR="00802C9B" w14:paraId="74175FDC" w14:textId="77777777">
        <w:trPr>
          <w:jc w:val="center"/>
        </w:trPr>
        <w:tc>
          <w:tcPr>
            <w:tcW w:w="57.85pt" w:type="dxa"/>
            <w:vAlign w:val="center"/>
          </w:tcPr>
          <w:p w14:paraId="771C8845" w14:textId="77777777" w:rsidR="00802C9B" w:rsidRDefault="00000000">
            <w:pPr>
              <w:pStyle w:val="tablecopy"/>
              <w:jc w:val="start"/>
            </w:pPr>
            <w:r>
              <w:t>Cache-safe</w:t>
            </w:r>
          </w:p>
        </w:tc>
        <w:tc>
          <w:tcPr>
            <w:tcW w:w="44.35pt" w:type="dxa"/>
            <w:vAlign w:val="center"/>
          </w:tcPr>
          <w:p w14:paraId="1CA4B12F" w14:textId="77777777" w:rsidR="00802C9B" w:rsidRDefault="00000000">
            <w:pPr>
              <w:pStyle w:val="tablecopy"/>
              <w:jc w:val="center"/>
            </w:pPr>
            <w:r>
              <w:t>No</w:t>
            </w:r>
          </w:p>
        </w:tc>
        <w:tc>
          <w:tcPr>
            <w:tcW w:w="44.35pt" w:type="dxa"/>
            <w:vAlign w:val="center"/>
          </w:tcPr>
          <w:p w14:paraId="752E2420" w14:textId="77777777" w:rsidR="00802C9B" w:rsidRDefault="00000000">
            <w:pPr>
              <w:pStyle w:val="tablecopy"/>
              <w:jc w:val="center"/>
            </w:pPr>
            <w:r>
              <w:t>No</w:t>
            </w:r>
          </w:p>
        </w:tc>
        <w:tc>
          <w:tcPr>
            <w:tcW w:w="40.50pt" w:type="dxa"/>
            <w:vAlign w:val="center"/>
          </w:tcPr>
          <w:p w14:paraId="062CC77B" w14:textId="77777777" w:rsidR="00802C9B" w:rsidRDefault="00000000">
            <w:pPr>
              <w:pStyle w:val="tablecopy"/>
              <w:jc w:val="center"/>
            </w:pPr>
            <w:r>
              <w:t>No</w:t>
            </w:r>
          </w:p>
        </w:tc>
        <w:tc>
          <w:tcPr>
            <w:tcW w:w="54pt" w:type="dxa"/>
            <w:vAlign w:val="center"/>
          </w:tcPr>
          <w:p w14:paraId="7EED63B7" w14:textId="77777777" w:rsidR="00802C9B" w:rsidRDefault="00000000">
            <w:pPr>
              <w:pStyle w:val="tablecopy"/>
              <w:jc w:val="center"/>
            </w:pPr>
            <w:r>
              <w:t>Yes</w:t>
            </w:r>
          </w:p>
        </w:tc>
      </w:tr>
      <w:tr w:rsidR="00802C9B" w14:paraId="428383D4" w14:textId="77777777">
        <w:trPr>
          <w:jc w:val="center"/>
        </w:trPr>
        <w:tc>
          <w:tcPr>
            <w:tcW w:w="57.85pt" w:type="dxa"/>
            <w:vAlign w:val="center"/>
          </w:tcPr>
          <w:p w14:paraId="3FC568D8" w14:textId="77777777" w:rsidR="00802C9B" w:rsidRDefault="00000000">
            <w:pPr>
              <w:pStyle w:val="tablecopy"/>
              <w:jc w:val="start"/>
            </w:pPr>
            <w:r>
              <w:t>Type-aware routing</w:t>
            </w:r>
          </w:p>
        </w:tc>
        <w:tc>
          <w:tcPr>
            <w:tcW w:w="44.35pt" w:type="dxa"/>
            <w:vAlign w:val="center"/>
          </w:tcPr>
          <w:p w14:paraId="1353EBEE" w14:textId="77777777" w:rsidR="00802C9B" w:rsidRDefault="00000000">
            <w:pPr>
              <w:pStyle w:val="tablecopy"/>
              <w:jc w:val="center"/>
            </w:pPr>
            <w:r>
              <w:t>No</w:t>
            </w:r>
          </w:p>
        </w:tc>
        <w:tc>
          <w:tcPr>
            <w:tcW w:w="44.35pt" w:type="dxa"/>
            <w:vAlign w:val="center"/>
          </w:tcPr>
          <w:p w14:paraId="158ECB8D" w14:textId="77777777" w:rsidR="00802C9B" w:rsidRDefault="00000000">
            <w:pPr>
              <w:pStyle w:val="tablecopy"/>
              <w:jc w:val="center"/>
            </w:pPr>
            <w:r>
              <w:t>No</w:t>
            </w:r>
          </w:p>
        </w:tc>
        <w:tc>
          <w:tcPr>
            <w:tcW w:w="40.50pt" w:type="dxa"/>
            <w:vAlign w:val="center"/>
          </w:tcPr>
          <w:p w14:paraId="22239BA5" w14:textId="77777777" w:rsidR="00802C9B" w:rsidRDefault="00000000">
            <w:pPr>
              <w:pStyle w:val="tablecopy"/>
              <w:jc w:val="center"/>
            </w:pPr>
            <w:r>
              <w:t>No</w:t>
            </w:r>
          </w:p>
        </w:tc>
        <w:tc>
          <w:tcPr>
            <w:tcW w:w="54pt" w:type="dxa"/>
            <w:vAlign w:val="center"/>
          </w:tcPr>
          <w:p w14:paraId="4B16BDFE" w14:textId="77777777" w:rsidR="00802C9B" w:rsidRDefault="00000000">
            <w:pPr>
              <w:pStyle w:val="tablecopy"/>
              <w:jc w:val="center"/>
            </w:pPr>
            <w:r>
              <w:t>Yes</w:t>
            </w:r>
          </w:p>
        </w:tc>
      </w:tr>
      <w:tr w:rsidR="00802C9B" w14:paraId="07BBD692" w14:textId="77777777">
        <w:trPr>
          <w:jc w:val="center"/>
        </w:trPr>
        <w:tc>
          <w:tcPr>
            <w:tcW w:w="57.85pt" w:type="dxa"/>
            <w:vAlign w:val="center"/>
          </w:tcPr>
          <w:p w14:paraId="4A652B97" w14:textId="77777777" w:rsidR="00802C9B" w:rsidRDefault="00000000">
            <w:pPr>
              <w:pStyle w:val="tablecopy"/>
              <w:jc w:val="start"/>
            </w:pPr>
            <w:r>
              <w:t>Reversible (CCR)</w:t>
            </w:r>
          </w:p>
        </w:tc>
        <w:tc>
          <w:tcPr>
            <w:tcW w:w="44.35pt" w:type="dxa"/>
            <w:vAlign w:val="center"/>
          </w:tcPr>
          <w:p w14:paraId="264615F3" w14:textId="77777777" w:rsidR="00802C9B" w:rsidRDefault="00000000">
            <w:pPr>
              <w:pStyle w:val="tablecopy"/>
              <w:jc w:val="center"/>
            </w:pPr>
            <w:r>
              <w:t>No</w:t>
            </w:r>
          </w:p>
        </w:tc>
        <w:tc>
          <w:tcPr>
            <w:tcW w:w="44.35pt" w:type="dxa"/>
            <w:vAlign w:val="center"/>
          </w:tcPr>
          <w:p w14:paraId="69C4D9CD" w14:textId="77777777" w:rsidR="00802C9B" w:rsidRDefault="00000000">
            <w:pPr>
              <w:pStyle w:val="tablecopy"/>
              <w:jc w:val="center"/>
            </w:pPr>
            <w:r>
              <w:t>No</w:t>
            </w:r>
          </w:p>
        </w:tc>
        <w:tc>
          <w:tcPr>
            <w:tcW w:w="40.50pt" w:type="dxa"/>
            <w:vAlign w:val="center"/>
          </w:tcPr>
          <w:p w14:paraId="3FE47519" w14:textId="77777777" w:rsidR="00802C9B" w:rsidRDefault="00000000">
            <w:pPr>
              <w:pStyle w:val="tablecopy"/>
              <w:jc w:val="center"/>
            </w:pPr>
            <w:r>
              <w:t>Partial</w:t>
            </w:r>
          </w:p>
        </w:tc>
        <w:tc>
          <w:tcPr>
            <w:tcW w:w="54pt" w:type="dxa"/>
            <w:vAlign w:val="center"/>
          </w:tcPr>
          <w:p w14:paraId="3A6D21F0" w14:textId="77777777" w:rsidR="00802C9B" w:rsidRDefault="00000000">
            <w:pPr>
              <w:pStyle w:val="tablecopy"/>
              <w:jc w:val="center"/>
            </w:pPr>
            <w:r>
              <w:t>Yes</w:t>
            </w:r>
          </w:p>
        </w:tc>
      </w:tr>
      <w:tr w:rsidR="00802C9B" w14:paraId="71706889" w14:textId="77777777">
        <w:trPr>
          <w:jc w:val="center"/>
        </w:trPr>
        <w:tc>
          <w:tcPr>
            <w:tcW w:w="57.85pt" w:type="dxa"/>
            <w:vAlign w:val="center"/>
          </w:tcPr>
          <w:p w14:paraId="4C236579" w14:textId="77777777" w:rsidR="00802C9B" w:rsidRDefault="00000000">
            <w:pPr>
              <w:pStyle w:val="tablecopy"/>
              <w:jc w:val="start"/>
            </w:pPr>
            <w:r>
              <w:t>Local-first</w:t>
            </w:r>
          </w:p>
        </w:tc>
        <w:tc>
          <w:tcPr>
            <w:tcW w:w="44.35pt" w:type="dxa"/>
            <w:vAlign w:val="center"/>
          </w:tcPr>
          <w:p w14:paraId="04F8A2E9" w14:textId="77777777" w:rsidR="00802C9B" w:rsidRDefault="00000000">
            <w:pPr>
              <w:pStyle w:val="tablecopy"/>
              <w:jc w:val="center"/>
            </w:pPr>
            <w:r>
              <w:t>Yes</w:t>
            </w:r>
          </w:p>
        </w:tc>
        <w:tc>
          <w:tcPr>
            <w:tcW w:w="44.35pt" w:type="dxa"/>
            <w:vAlign w:val="center"/>
          </w:tcPr>
          <w:p w14:paraId="518E70DA" w14:textId="77777777" w:rsidR="00802C9B" w:rsidRDefault="00000000">
            <w:pPr>
              <w:pStyle w:val="tablecopy"/>
              <w:jc w:val="center"/>
            </w:pPr>
            <w:r>
              <w:t>Yes</w:t>
            </w:r>
          </w:p>
        </w:tc>
        <w:tc>
          <w:tcPr>
            <w:tcW w:w="40.50pt" w:type="dxa"/>
            <w:vAlign w:val="center"/>
          </w:tcPr>
          <w:p w14:paraId="608C3B7A" w14:textId="77777777" w:rsidR="00802C9B" w:rsidRDefault="00000000">
            <w:pPr>
              <w:pStyle w:val="tablecopy"/>
              <w:jc w:val="center"/>
            </w:pPr>
            <w:r>
              <w:t>Yes</w:t>
            </w:r>
          </w:p>
        </w:tc>
        <w:tc>
          <w:tcPr>
            <w:tcW w:w="54pt" w:type="dxa"/>
            <w:vAlign w:val="center"/>
          </w:tcPr>
          <w:p w14:paraId="7ED2A0D1" w14:textId="77777777" w:rsidR="00802C9B" w:rsidRDefault="00000000">
            <w:pPr>
              <w:pStyle w:val="tablecopy"/>
              <w:jc w:val="center"/>
            </w:pPr>
            <w:r>
              <w:t>Yes</w:t>
            </w:r>
          </w:p>
        </w:tc>
      </w:tr>
      <w:tr w:rsidR="00802C9B" w14:paraId="11938C7B" w14:textId="77777777">
        <w:trPr>
          <w:jc w:val="center"/>
        </w:trPr>
        <w:tc>
          <w:tcPr>
            <w:tcW w:w="57.85pt" w:type="dxa"/>
            <w:vAlign w:val="center"/>
          </w:tcPr>
          <w:p w14:paraId="00673E4B" w14:textId="77777777" w:rsidR="00802C9B" w:rsidRDefault="00000000">
            <w:pPr>
              <w:pStyle w:val="tablecopy"/>
              <w:jc w:val="start"/>
            </w:pPr>
            <w:r>
              <w:t>Binary modalities</w:t>
            </w:r>
          </w:p>
        </w:tc>
        <w:tc>
          <w:tcPr>
            <w:tcW w:w="44.35pt" w:type="dxa"/>
            <w:vAlign w:val="center"/>
          </w:tcPr>
          <w:p w14:paraId="13CD73BA" w14:textId="77777777" w:rsidR="00802C9B" w:rsidRDefault="00000000">
            <w:pPr>
              <w:pStyle w:val="tablecopy"/>
              <w:jc w:val="center"/>
            </w:pPr>
            <w:r>
              <w:t>No</w:t>
            </w:r>
          </w:p>
        </w:tc>
        <w:tc>
          <w:tcPr>
            <w:tcW w:w="44.35pt" w:type="dxa"/>
            <w:vAlign w:val="center"/>
          </w:tcPr>
          <w:p w14:paraId="4BDD6E0E" w14:textId="77777777" w:rsidR="00802C9B" w:rsidRDefault="00000000">
            <w:pPr>
              <w:pStyle w:val="tablecopy"/>
              <w:jc w:val="center"/>
            </w:pPr>
            <w:r>
              <w:t>No</w:t>
            </w:r>
          </w:p>
        </w:tc>
        <w:tc>
          <w:tcPr>
            <w:tcW w:w="40.50pt" w:type="dxa"/>
            <w:vAlign w:val="center"/>
          </w:tcPr>
          <w:p w14:paraId="08D3DBDF" w14:textId="77777777" w:rsidR="00802C9B" w:rsidRDefault="00000000">
            <w:pPr>
              <w:pStyle w:val="tablecopy"/>
              <w:jc w:val="center"/>
            </w:pPr>
            <w:r>
              <w:t>No</w:t>
            </w:r>
          </w:p>
        </w:tc>
        <w:tc>
          <w:tcPr>
            <w:tcW w:w="54pt" w:type="dxa"/>
            <w:vAlign w:val="center"/>
          </w:tcPr>
          <w:p w14:paraId="42A6BC53" w14:textId="77777777" w:rsidR="00802C9B" w:rsidRDefault="00000000">
            <w:pPr>
              <w:pStyle w:val="tablecopy"/>
              <w:jc w:val="center"/>
            </w:pPr>
            <w:r>
              <w:t>Yes</w:t>
            </w:r>
          </w:p>
        </w:tc>
      </w:tr>
      <w:tr w:rsidR="00802C9B" w14:paraId="12C5BA70" w14:textId="77777777">
        <w:trPr>
          <w:jc w:val="center"/>
        </w:trPr>
        <w:tc>
          <w:tcPr>
            <w:tcW w:w="57.85pt" w:type="dxa"/>
            <w:vAlign w:val="center"/>
          </w:tcPr>
          <w:p w14:paraId="6480F35E" w14:textId="77777777" w:rsidR="00802C9B" w:rsidRDefault="00000000">
            <w:pPr>
              <w:pStyle w:val="tablecopy"/>
              <w:jc w:val="start"/>
            </w:pPr>
            <w:r>
              <w:t>GPU required</w:t>
            </w:r>
          </w:p>
        </w:tc>
        <w:tc>
          <w:tcPr>
            <w:tcW w:w="44.35pt" w:type="dxa"/>
            <w:vAlign w:val="center"/>
          </w:tcPr>
          <w:p w14:paraId="42054F31" w14:textId="77777777" w:rsidR="00802C9B" w:rsidRDefault="00000000">
            <w:pPr>
              <w:pStyle w:val="tablecopy"/>
              <w:jc w:val="center"/>
            </w:pPr>
            <w:r>
              <w:t>Yes</w:t>
            </w:r>
          </w:p>
        </w:tc>
        <w:tc>
          <w:tcPr>
            <w:tcW w:w="44.35pt" w:type="dxa"/>
            <w:vAlign w:val="center"/>
          </w:tcPr>
          <w:p w14:paraId="60BBCFCF" w14:textId="77777777" w:rsidR="00802C9B" w:rsidRDefault="00000000">
            <w:pPr>
              <w:pStyle w:val="tablecopy"/>
              <w:jc w:val="center"/>
            </w:pPr>
            <w:r>
              <w:t>Yes</w:t>
            </w:r>
          </w:p>
        </w:tc>
        <w:tc>
          <w:tcPr>
            <w:tcW w:w="40.50pt" w:type="dxa"/>
            <w:vAlign w:val="center"/>
          </w:tcPr>
          <w:p w14:paraId="20201D34" w14:textId="77777777" w:rsidR="00802C9B" w:rsidRDefault="00000000">
            <w:pPr>
              <w:pStyle w:val="tablecopy"/>
              <w:jc w:val="center"/>
            </w:pPr>
            <w:r>
              <w:t>No</w:t>
            </w:r>
          </w:p>
        </w:tc>
        <w:tc>
          <w:tcPr>
            <w:tcW w:w="54pt" w:type="dxa"/>
            <w:vAlign w:val="center"/>
          </w:tcPr>
          <w:p w14:paraId="0B0D280A" w14:textId="77777777" w:rsidR="00802C9B" w:rsidRDefault="00000000">
            <w:pPr>
              <w:pStyle w:val="tablecopy"/>
              <w:jc w:val="center"/>
            </w:pPr>
            <w:r>
              <w:t>No</w:t>
            </w:r>
          </w:p>
        </w:tc>
      </w:tr>
      <w:tr w:rsidR="00802C9B" w14:paraId="5AFA4C97" w14:textId="77777777">
        <w:trPr>
          <w:jc w:val="center"/>
        </w:trPr>
        <w:tc>
          <w:tcPr>
            <w:tcW w:w="57.85pt" w:type="dxa"/>
            <w:vAlign w:val="center"/>
          </w:tcPr>
          <w:p w14:paraId="468E1402" w14:textId="77777777" w:rsidR="00802C9B" w:rsidRDefault="00000000">
            <w:pPr>
              <w:pStyle w:val="tablecopy"/>
              <w:jc w:val="start"/>
            </w:pPr>
            <w:r>
              <w:t>Zero client changes</w:t>
            </w:r>
          </w:p>
        </w:tc>
        <w:tc>
          <w:tcPr>
            <w:tcW w:w="44.35pt" w:type="dxa"/>
            <w:vAlign w:val="center"/>
          </w:tcPr>
          <w:p w14:paraId="53A268D7" w14:textId="77777777" w:rsidR="00802C9B" w:rsidRDefault="00000000">
            <w:pPr>
              <w:pStyle w:val="tablecopy"/>
              <w:jc w:val="center"/>
            </w:pPr>
            <w:r>
              <w:t>No</w:t>
            </w:r>
          </w:p>
        </w:tc>
        <w:tc>
          <w:tcPr>
            <w:tcW w:w="44.35pt" w:type="dxa"/>
            <w:vAlign w:val="center"/>
          </w:tcPr>
          <w:p w14:paraId="189CF153" w14:textId="77777777" w:rsidR="00802C9B" w:rsidRDefault="00000000">
            <w:pPr>
              <w:pStyle w:val="tablecopy"/>
              <w:jc w:val="center"/>
            </w:pPr>
            <w:r>
              <w:t>No</w:t>
            </w:r>
          </w:p>
        </w:tc>
        <w:tc>
          <w:tcPr>
            <w:tcW w:w="40.50pt" w:type="dxa"/>
            <w:vAlign w:val="center"/>
          </w:tcPr>
          <w:p w14:paraId="57E2C23C" w14:textId="77777777" w:rsidR="00802C9B" w:rsidRDefault="00000000">
            <w:pPr>
              <w:pStyle w:val="tablecopy"/>
              <w:jc w:val="center"/>
            </w:pPr>
            <w:r>
              <w:t>No</w:t>
            </w:r>
          </w:p>
        </w:tc>
        <w:tc>
          <w:tcPr>
            <w:tcW w:w="54pt" w:type="dxa"/>
            <w:vAlign w:val="center"/>
          </w:tcPr>
          <w:p w14:paraId="314263C5" w14:textId="77777777" w:rsidR="00802C9B" w:rsidRDefault="00000000">
            <w:pPr>
              <w:pStyle w:val="tablecopy"/>
              <w:jc w:val="center"/>
            </w:pPr>
            <w:r>
              <w:t>Yes</w:t>
            </w:r>
          </w:p>
        </w:tc>
      </w:tr>
    </w:tbl>
    <w:p w14:paraId="4F591665" w14:textId="77777777" w:rsidR="00802C9B" w:rsidRDefault="00000000">
      <w:pPr>
        <w:pStyle w:val="tablefootnote"/>
      </w:pPr>
      <w:r>
        <w:t>Partial = supported only for conversation history, not structured tool output.</w:t>
      </w:r>
    </w:p>
    <w:p w14:paraId="27BCFCDB" w14:textId="77777777" w:rsidR="00802C9B" w:rsidRDefault="00802C9B">
      <w:pPr>
        <w:rPr>
          <w:sz w:val="8"/>
        </w:rPr>
      </w:pPr>
    </w:p>
    <w:p w14:paraId="183D2112" w14:textId="77777777" w:rsidR="00802C9B" w:rsidRDefault="00000000" w:rsidP="002F29E6">
      <w:pPr>
        <w:pStyle w:val="Heading1"/>
        <w:ind w:firstLine="0pt"/>
      </w:pPr>
      <w:r>
        <w:t>System Architecture</w:t>
      </w:r>
    </w:p>
    <w:p w14:paraId="7C2A7C43" w14:textId="77777777" w:rsidR="00802C9B" w:rsidRDefault="00000000">
      <w:pPr>
        <w:pStyle w:val="BodyText"/>
      </w:pPr>
      <w:r>
        <w:t xml:space="preserve">IntelliContext separates cleanly into two concerns that vary independently. The </w:t>
      </w:r>
      <w:r>
        <w:rPr>
          <w:i/>
        </w:rPr>
        <w:t>engine</w:t>
      </w:r>
      <w:r>
        <w:t xml:space="preserve"> is shared and deterministic: it holds no model of its own, makes no external calls, and knows nothing about how it was invoked. The </w:t>
      </w:r>
      <w:r>
        <w:rPr>
          <w:i/>
        </w:rPr>
        <w:t>integration modes</w:t>
      </w:r>
      <w:r>
        <w:t xml:space="preserve"> are pluggable adapters, and they are where all the architectural variation lives—a mode is defined by the scope of request it can observe and mutate (Section IX). This section describes the engine; from the agent's perspective it is just a local HTTPS endpoint, and from the provider's perspective it is just another client. The pipeline is organised as four stages that mirror the four correctness concerns of cache-safe compression: aligning the cacheable prefix, routing each block to the right compressor, compressing reversibly, and shaping the outbound request. Fig. 1 gives an end-to-end view.</w:t>
      </w:r>
    </w:p>
    <w:p w14:paraId="04EE168C" w14:textId="77777777" w:rsidR="00802C9B" w:rsidRDefault="00802C9B">
      <w:pPr>
        <w:keepNext/>
        <w:spacing w:after="2pt"/>
      </w:pPr>
    </w:p>
    <w:tbl>
      <w:tblPr>
        <w:tblW w:w="180pt" w:type="dxa"/>
        <w:jc w:val="center"/>
        <w:tblLayout w:type="fixed"/>
        <w:tblLook w:firstRow="0" w:lastRow="0" w:firstColumn="0" w:lastColumn="0" w:noHBand="1" w:noVBand="1"/>
      </w:tblPr>
      <w:tblGrid>
        <w:gridCol w:w="3600"/>
      </w:tblGrid>
      <w:tr w:rsidR="00802C9B" w14:paraId="0420BEE3"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3CE3A43E" w14:textId="77777777" w:rsidR="00802C9B" w:rsidRDefault="00000000">
            <w:pPr>
              <w:keepNext/>
              <w:spacing w:line="10pt" w:lineRule="atLeast"/>
              <w:rPr>
                <w:sz w:val="15"/>
              </w:rPr>
            </w:pPr>
            <w:r>
              <w:rPr>
                <w:b/>
                <w:sz w:val="15"/>
                <w:szCs w:val="15"/>
              </w:rPr>
              <w:t>Agent application</w:t>
            </w:r>
            <w:r>
              <w:br/>
            </w:r>
            <w:r>
              <w:rPr>
                <w:i/>
                <w:sz w:val="13"/>
                <w:szCs w:val="13"/>
              </w:rPr>
              <w:t>VS Code / terminal agents · MCP clients</w:t>
            </w:r>
          </w:p>
        </w:tc>
      </w:tr>
    </w:tbl>
    <w:p w14:paraId="7747AE34" w14:textId="77777777" w:rsidR="00802C9B" w:rsidRDefault="00000000">
      <w:pPr>
        <w:keepNext/>
        <w:spacing w:before="0.50pt" w:after="0.50pt" w:line="10pt" w:lineRule="atLeast"/>
      </w:pPr>
      <w:r>
        <w:t>↓</w:t>
      </w:r>
      <w:r>
        <w:rPr>
          <w:i/>
          <w:sz w:val="13"/>
        </w:rPr>
        <w:t xml:space="preserve">  request</w:t>
      </w:r>
    </w:p>
    <w:tbl>
      <w:tblPr>
        <w:tblW w:w="180pt" w:type="dxa"/>
        <w:jc w:val="center"/>
        <w:tblLayout w:type="fixed"/>
        <w:tblLook w:firstRow="0" w:lastRow="0" w:firstColumn="0" w:lastColumn="0" w:noHBand="1" w:noVBand="1"/>
      </w:tblPr>
      <w:tblGrid>
        <w:gridCol w:w="3600"/>
      </w:tblGrid>
      <w:tr w:rsidR="00802C9B" w14:paraId="6A6FBF0E"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13F2F362" w14:textId="77777777" w:rsidR="00802C9B" w:rsidRDefault="00000000">
            <w:pPr>
              <w:keepNext/>
              <w:spacing w:line="10pt" w:lineRule="atLeast"/>
              <w:rPr>
                <w:sz w:val="15"/>
              </w:rPr>
            </w:pPr>
            <w:r>
              <w:rPr>
                <w:b/>
                <w:sz w:val="15"/>
                <w:szCs w:val="15"/>
              </w:rPr>
              <w:t>Auth classifier + zone partition</w:t>
            </w:r>
            <w:r>
              <w:br/>
            </w:r>
            <w:r>
              <w:rPr>
                <w:i/>
                <w:sz w:val="13"/>
                <w:szCs w:val="13"/>
              </w:rPr>
              <w:t>hot zone frozen · live zone selected</w:t>
            </w:r>
          </w:p>
        </w:tc>
      </w:tr>
    </w:tbl>
    <w:p w14:paraId="5C016EBA" w14:textId="77777777" w:rsidR="00802C9B" w:rsidRDefault="00000000">
      <w:pPr>
        <w:keepNext/>
        <w:spacing w:before="0.50pt" w:after="0.50pt" w:line="10pt" w:lineRule="atLeast"/>
      </w:pPr>
      <w:r>
        <w:t>↓</w:t>
      </w:r>
      <w:r>
        <w:rPr>
          <w:i/>
          <w:sz w:val="13"/>
        </w:rPr>
        <w:t xml:space="preserve">  live-zone blocks</w:t>
      </w:r>
    </w:p>
    <w:tbl>
      <w:tblPr>
        <w:tblW w:w="180pt" w:type="dxa"/>
        <w:jc w:val="center"/>
        <w:tblLayout w:type="fixed"/>
        <w:tblLook w:firstRow="0" w:lastRow="0" w:firstColumn="0" w:lastColumn="0" w:noHBand="1" w:noVBand="1"/>
      </w:tblPr>
      <w:tblGrid>
        <w:gridCol w:w="3600"/>
      </w:tblGrid>
      <w:tr w:rsidR="00802C9B" w14:paraId="612EE6C3"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3E01ABF7" w14:textId="77777777" w:rsidR="00802C9B" w:rsidRDefault="00000000">
            <w:pPr>
              <w:keepNext/>
              <w:spacing w:line="10pt" w:lineRule="atLeast"/>
              <w:rPr>
                <w:sz w:val="15"/>
              </w:rPr>
            </w:pPr>
            <w:r>
              <w:rPr>
                <w:b/>
                <w:sz w:val="15"/>
                <w:szCs w:val="15"/>
              </w:rPr>
              <w:t>ContentRouter</w:t>
            </w:r>
            <w:r>
              <w:br/>
            </w:r>
            <w:r>
              <w:rPr>
                <w:i/>
                <w:sz w:val="13"/>
                <w:szCs w:val="13"/>
              </w:rPr>
              <w:t>detect type → typed compressor</w:t>
            </w:r>
          </w:p>
        </w:tc>
      </w:tr>
    </w:tbl>
    <w:p w14:paraId="5F57C458" w14:textId="77777777" w:rsidR="00802C9B" w:rsidRDefault="00000000">
      <w:pPr>
        <w:keepNext/>
        <w:spacing w:before="0.50pt" w:after="0.50pt" w:line="10pt" w:lineRule="atLeast"/>
      </w:pPr>
      <w:r>
        <w:t>↓</w:t>
      </w:r>
      <w:r>
        <w:rPr>
          <w:i/>
          <w:sz w:val="13"/>
        </w:rPr>
        <w:t xml:space="preserve">  compressed block + marker</w:t>
      </w:r>
    </w:p>
    <w:tbl>
      <w:tblPr>
        <w:tblW w:w="180pt" w:type="dxa"/>
        <w:jc w:val="center"/>
        <w:tblLayout w:type="fixed"/>
        <w:tblLook w:firstRow="0" w:lastRow="0" w:firstColumn="0" w:lastColumn="0" w:noHBand="1" w:noVBand="1"/>
      </w:tblPr>
      <w:tblGrid>
        <w:gridCol w:w="3600"/>
      </w:tblGrid>
      <w:tr w:rsidR="00802C9B" w14:paraId="36010F73"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45144753" w14:textId="77777777" w:rsidR="00802C9B" w:rsidRDefault="00000000">
            <w:pPr>
              <w:keepNext/>
              <w:spacing w:line="10pt" w:lineRule="atLeast"/>
              <w:rPr>
                <w:sz w:val="15"/>
              </w:rPr>
            </w:pPr>
            <w:r>
              <w:rPr>
                <w:b/>
                <w:sz w:val="15"/>
                <w:szCs w:val="15"/>
              </w:rPr>
              <w:t>CCR store</w:t>
            </w:r>
            <w:r>
              <w:br/>
            </w:r>
            <w:r>
              <w:rPr>
                <w:i/>
                <w:sz w:val="13"/>
                <w:szCs w:val="13"/>
              </w:rPr>
              <w:t>content-addressed original · retrievable</w:t>
            </w:r>
          </w:p>
        </w:tc>
      </w:tr>
    </w:tbl>
    <w:p w14:paraId="61BA6F83" w14:textId="77777777" w:rsidR="00802C9B" w:rsidRDefault="00000000">
      <w:pPr>
        <w:keepNext/>
        <w:spacing w:before="0.50pt" w:after="0.50pt" w:line="10pt" w:lineRule="atLeast"/>
      </w:pPr>
      <w:r>
        <w:t>↓</w:t>
      </w:r>
      <w:r>
        <w:rPr>
          <w:i/>
          <w:sz w:val="13"/>
        </w:rPr>
        <w:t xml:space="preserve">  byte-range surgery</w:t>
      </w:r>
    </w:p>
    <w:tbl>
      <w:tblPr>
        <w:tblW w:w="180pt" w:type="dxa"/>
        <w:jc w:val="center"/>
        <w:tblLayout w:type="fixed"/>
        <w:tblLook w:firstRow="0" w:lastRow="0" w:firstColumn="0" w:lastColumn="0" w:noHBand="1" w:noVBand="1"/>
      </w:tblPr>
      <w:tblGrid>
        <w:gridCol w:w="3600"/>
      </w:tblGrid>
      <w:tr w:rsidR="00802C9B" w14:paraId="7DE3E58E"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4854F265" w14:textId="77777777" w:rsidR="00802C9B" w:rsidRDefault="00000000">
            <w:pPr>
              <w:keepNext/>
              <w:spacing w:line="10pt" w:lineRule="atLeast"/>
              <w:rPr>
                <w:sz w:val="15"/>
              </w:rPr>
            </w:pPr>
            <w:r>
              <w:rPr>
                <w:b/>
                <w:sz w:val="15"/>
                <w:szCs w:val="15"/>
              </w:rPr>
              <w:t>Compressed, byte-faithful request</w:t>
            </w:r>
            <w:r>
              <w:br/>
            </w:r>
            <w:r>
              <w:rPr>
                <w:i/>
                <w:sz w:val="13"/>
                <w:szCs w:val="13"/>
              </w:rPr>
              <w:t>cached prefix untouched</w:t>
            </w:r>
          </w:p>
        </w:tc>
      </w:tr>
    </w:tbl>
    <w:p w14:paraId="2AEA62C3" w14:textId="77777777" w:rsidR="00802C9B" w:rsidRDefault="00000000">
      <w:pPr>
        <w:keepNext/>
        <w:spacing w:before="0.50pt" w:after="0.50pt" w:line="10pt" w:lineRule="atLeast"/>
      </w:pPr>
      <w:r>
        <w:t>↓</w:t>
      </w:r>
      <w:r>
        <w:rPr>
          <w:i/>
          <w:sz w:val="13"/>
        </w:rPr>
        <w:t xml:space="preserve">  TLS egress</w:t>
      </w:r>
    </w:p>
    <w:tbl>
      <w:tblPr>
        <w:tblW w:w="180pt" w:type="dxa"/>
        <w:jc w:val="center"/>
        <w:tblLayout w:type="fixed"/>
        <w:tblLook w:firstRow="0" w:lastRow="0" w:firstColumn="0" w:lastColumn="0" w:noHBand="1" w:noVBand="1"/>
      </w:tblPr>
      <w:tblGrid>
        <w:gridCol w:w="3600"/>
      </w:tblGrid>
      <w:tr w:rsidR="00802C9B" w14:paraId="0EF5C97F"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7CDB9526" w14:textId="77777777" w:rsidR="00802C9B" w:rsidRDefault="00000000">
            <w:pPr>
              <w:keepNext/>
              <w:spacing w:line="10pt" w:lineRule="atLeast"/>
              <w:rPr>
                <w:sz w:val="15"/>
              </w:rPr>
            </w:pPr>
            <w:r>
              <w:rPr>
                <w:b/>
                <w:sz w:val="15"/>
                <w:szCs w:val="15"/>
              </w:rPr>
              <w:t>LLM provider API</w:t>
            </w:r>
            <w:r>
              <w:br/>
            </w:r>
            <w:r>
              <w:rPr>
                <w:i/>
                <w:sz w:val="13"/>
                <w:szCs w:val="13"/>
              </w:rPr>
              <w:t>approved gateway</w:t>
            </w:r>
          </w:p>
        </w:tc>
      </w:tr>
    </w:tbl>
    <w:p w14:paraId="063FB5D4" w14:textId="77777777" w:rsidR="00802C9B" w:rsidRDefault="00000000">
      <w:pPr>
        <w:pStyle w:val="figurecaption"/>
      </w:pPr>
      <w:r>
        <w:t>Fig. 1. IntelliContext end-to-end architecture. The core classifies each request, partitions the live zone, routes every block to a typed compressor, stores the reversible original in the CCR store, and forwards a compressed, byte-faithful request.</w:t>
      </w:r>
    </w:p>
    <w:p w14:paraId="552F2B54" w14:textId="77777777" w:rsidR="00802C9B" w:rsidRDefault="00000000">
      <w:pPr>
        <w:pStyle w:val="Heading2"/>
      </w:pPr>
      <w:r>
        <w:t>Logical Architecture</w:t>
      </w:r>
    </w:p>
    <w:p w14:paraId="0D9E20E4" w14:textId="77777777" w:rsidR="00802C9B" w:rsidRDefault="00000000">
      <w:pPr>
        <w:pStyle w:val="BodyText"/>
      </w:pPr>
      <w:r>
        <w:t>The processing tier exposes three deployment surfaces—an HTTP proxy, an inline library, and an MCP server—all backed by a single core. Sharing one core means all three surfaces have identical compression behaviour; there is no risk of the library and the proxy disagreeing on what constitutes the live zone. The core contains the cache-alignment pass, the zone partitioner, the ContentRouter, the tokenizer gate, and the Compress-Cache-Retrieve (CCR) store. A telemetry aggregator records per-session statistics but never touches request-time decisions. Fig. 2 shows the three-tier structure.</w:t>
      </w:r>
    </w:p>
    <w:p w14:paraId="06608979" w14:textId="77777777" w:rsidR="00802C9B" w:rsidRDefault="00802C9B">
      <w:pPr>
        <w:keepNext/>
        <w:spacing w:after="2pt"/>
      </w:pPr>
    </w:p>
    <w:tbl>
      <w:tblPr>
        <w:tblW w:w="180pt" w:type="dxa"/>
        <w:jc w:val="center"/>
        <w:tblLayout w:type="fixed"/>
        <w:tblLook w:firstRow="0" w:lastRow="0" w:firstColumn="0" w:lastColumn="0" w:noHBand="1" w:noVBand="1"/>
      </w:tblPr>
      <w:tblGrid>
        <w:gridCol w:w="3600"/>
      </w:tblGrid>
      <w:tr w:rsidR="00802C9B" w14:paraId="0604EFD4"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408694BD" w14:textId="77777777" w:rsidR="00802C9B" w:rsidRDefault="00000000">
            <w:pPr>
              <w:keepNext/>
              <w:spacing w:line="10pt" w:lineRule="atLeast"/>
              <w:rPr>
                <w:sz w:val="15"/>
              </w:rPr>
            </w:pPr>
            <w:r>
              <w:rPr>
                <w:b/>
                <w:sz w:val="15"/>
                <w:szCs w:val="15"/>
              </w:rPr>
              <w:t>Tier 1 — Agent applications</w:t>
            </w:r>
            <w:r>
              <w:br/>
            </w:r>
            <w:r>
              <w:rPr>
                <w:i/>
                <w:sz w:val="13"/>
                <w:szCs w:val="13"/>
              </w:rPr>
              <w:t>VS Code agents · terminal agents · MCP clients</w:t>
            </w:r>
          </w:p>
        </w:tc>
      </w:tr>
    </w:tbl>
    <w:p w14:paraId="06715157" w14:textId="77777777" w:rsidR="00802C9B" w:rsidRDefault="00000000">
      <w:pPr>
        <w:keepNext/>
        <w:spacing w:before="0.50pt" w:after="0.50pt" w:line="10pt" w:lineRule="atLeast"/>
      </w:pPr>
      <w:r>
        <w:t>↓</w:t>
      </w:r>
      <w:r>
        <w:rPr>
          <w:i/>
          <w:sz w:val="13"/>
        </w:rPr>
        <w:t xml:space="preserve">  requests / responses</w:t>
      </w:r>
    </w:p>
    <w:tbl>
      <w:tblPr>
        <w:tblW w:w="180pt" w:type="dxa"/>
        <w:jc w:val="center"/>
        <w:tblLayout w:type="fixed"/>
        <w:tblLook w:firstRow="0" w:lastRow="0" w:firstColumn="0" w:lastColumn="0" w:noHBand="1" w:noVBand="1"/>
      </w:tblPr>
      <w:tblGrid>
        <w:gridCol w:w="3600"/>
      </w:tblGrid>
      <w:tr w:rsidR="00802C9B" w14:paraId="6BFB1C46" w14:textId="77777777">
        <w:trPr>
          <w:cantSplit/>
          <w:jc w:val="center"/>
        </w:trPr>
        <w:tc>
          <w:tcPr>
            <w:tcW w:w="180pt" w:type="dxa"/>
            <w:tcBorders>
              <w:top w:val="single" w:sz="8" w:space="0" w:color="3C763D"/>
              <w:start w:val="single" w:sz="8" w:space="0" w:color="3C763D"/>
              <w:bottom w:val="single" w:sz="8" w:space="0" w:color="3C763D"/>
              <w:end w:val="single" w:sz="8" w:space="0" w:color="3C763D"/>
            </w:tcBorders>
            <w:shd w:val="clear" w:color="auto" w:fill="CFE2CF"/>
            <w:tcMar>
              <w:top w:w="2pt" w:type="dxa"/>
              <w:start w:w="4pt" w:type="dxa"/>
              <w:bottom w:w="2pt" w:type="dxa"/>
              <w:end w:w="4pt" w:type="dxa"/>
            </w:tcMar>
            <w:vAlign w:val="center"/>
          </w:tcPr>
          <w:p w14:paraId="444A285C" w14:textId="77777777" w:rsidR="00802C9B" w:rsidRDefault="00000000">
            <w:pPr>
              <w:keepNext/>
              <w:spacing w:line="10pt" w:lineRule="atLeast"/>
              <w:rPr>
                <w:sz w:val="15"/>
              </w:rPr>
            </w:pPr>
            <w:r>
              <w:rPr>
                <w:b/>
                <w:sz w:val="15"/>
                <w:szCs w:val="15"/>
              </w:rPr>
              <w:t>Tier 2 — Processing tier</w:t>
            </w:r>
            <w:r>
              <w:br/>
            </w:r>
            <w:r>
              <w:rPr>
                <w:i/>
                <w:sz w:val="13"/>
                <w:szCs w:val="13"/>
              </w:rPr>
              <w:t>proxy · library · MCP server, one core: CacheAligner, ContentRouter, CCR, tokenizer</w:t>
            </w:r>
          </w:p>
        </w:tc>
      </w:tr>
    </w:tbl>
    <w:p w14:paraId="1B7894E1" w14:textId="77777777" w:rsidR="00802C9B" w:rsidRDefault="00000000">
      <w:pPr>
        <w:keepNext/>
        <w:spacing w:before="0.50pt" w:after="0.50pt" w:line="10pt" w:lineRule="atLeast"/>
      </w:pPr>
      <w:r>
        <w:t>↓</w:t>
      </w:r>
      <w:r>
        <w:rPr>
          <w:i/>
          <w:sz w:val="13"/>
        </w:rPr>
        <w:t xml:space="preserve">  compressed prompt / response</w:t>
      </w:r>
    </w:p>
    <w:tbl>
      <w:tblPr>
        <w:tblW w:w="180pt" w:type="dxa"/>
        <w:jc w:val="center"/>
        <w:tblLayout w:type="fixed"/>
        <w:tblLook w:firstRow="0" w:lastRow="0" w:firstColumn="0" w:lastColumn="0" w:noHBand="1" w:noVBand="1"/>
      </w:tblPr>
      <w:tblGrid>
        <w:gridCol w:w="3600"/>
      </w:tblGrid>
      <w:tr w:rsidR="00802C9B" w14:paraId="647BC35B" w14:textId="77777777">
        <w:trPr>
          <w:cantSplit/>
          <w:jc w:val="center"/>
        </w:trPr>
        <w:tc>
          <w:tcPr>
            <w:tcW w:w="18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7BF44158" w14:textId="77777777" w:rsidR="00802C9B" w:rsidRDefault="00000000">
            <w:pPr>
              <w:keepNext/>
              <w:spacing w:line="10pt" w:lineRule="atLeast"/>
              <w:rPr>
                <w:sz w:val="15"/>
              </w:rPr>
            </w:pPr>
            <w:r>
              <w:rPr>
                <w:b/>
                <w:sz w:val="15"/>
                <w:szCs w:val="15"/>
              </w:rPr>
              <w:t>Tier 3 — LLM provider APIs</w:t>
            </w:r>
            <w:r>
              <w:br/>
            </w:r>
            <w:r>
              <w:rPr>
                <w:i/>
                <w:sz w:val="13"/>
                <w:szCs w:val="13"/>
              </w:rPr>
              <w:t>via approved gateway</w:t>
            </w:r>
          </w:p>
        </w:tc>
      </w:tr>
    </w:tbl>
    <w:p w14:paraId="7B025398" w14:textId="77777777" w:rsidR="00802C9B" w:rsidRDefault="00000000">
      <w:pPr>
        <w:pStyle w:val="figurecaption"/>
      </w:pPr>
      <w:r>
        <w:t>Fig. 2. Three-tier logical architecture. The processing tier is the sole point of contact between agent applications and provider APIs; no agent-side code changes are required.</w:t>
      </w:r>
    </w:p>
    <w:p w14:paraId="234DF0BF" w14:textId="77777777" w:rsidR="00802C9B" w:rsidRDefault="00000000">
      <w:pPr>
        <w:pStyle w:val="Heading2"/>
      </w:pPr>
      <w:r>
        <w:t>Request Processing Pipeline</w:t>
      </w:r>
    </w:p>
    <w:p w14:paraId="001992E7" w14:textId="77777777" w:rsidR="00802C9B" w:rsidRDefault="00000000">
      <w:pPr>
        <w:pStyle w:val="BodyText"/>
      </w:pPr>
      <w:r>
        <w:t xml:space="preserve">For every request, the proxy executes a deterministic sequence of transforms on the request envelope, of which the live-zone compression kernel (Section V) is the centrepiece. Steps before and after the kernel handle request preparation, tool-definition normalisation, and byte-faithful forwarding. Performance-critical paths—streaming (SSE) parsing, byte-range surgery, tokenization, and the per-type compressors—are implemented in a compiled core, while a host layer provides the command-line interface, agent-wrap shims, the telemetry aggregator, and the failure-mining subsystem. Fig. 3 traces the message flow for a single agentic turn, including </w:t>
      </w:r>
      <w:r>
        <w:t>the optional retrieval path taken when the model requests the original bytes of a compressed block.</w:t>
      </w:r>
    </w:p>
    <w:p w14:paraId="70254E47" w14:textId="77777777" w:rsidR="00802C9B" w:rsidRDefault="00802C9B">
      <w:pPr>
        <w:keepNext/>
        <w:spacing w:after="2pt"/>
      </w:pPr>
    </w:p>
    <w:tbl>
      <w:tblPr>
        <w:tblW w:w="210pt" w:type="dxa"/>
        <w:jc w:val="center"/>
        <w:tblLayout w:type="fixed"/>
        <w:tblLook w:firstRow="0" w:lastRow="0" w:firstColumn="0" w:lastColumn="0" w:noHBand="1" w:noVBand="1"/>
      </w:tblPr>
      <w:tblGrid>
        <w:gridCol w:w="4200"/>
      </w:tblGrid>
      <w:tr w:rsidR="00802C9B" w14:paraId="3EDB8B05"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6238F9FF" w14:textId="77777777" w:rsidR="00802C9B" w:rsidRDefault="00000000">
            <w:pPr>
              <w:keepNext/>
              <w:spacing w:line="10pt" w:lineRule="atLeast"/>
              <w:rPr>
                <w:sz w:val="15"/>
              </w:rPr>
            </w:pPr>
            <w:r>
              <w:rPr>
                <w:b/>
                <w:sz w:val="15"/>
                <w:szCs w:val="15"/>
              </w:rPr>
              <w:t>Agent → Proxy:  send request</w:t>
            </w:r>
          </w:p>
        </w:tc>
      </w:tr>
    </w:tbl>
    <w:p w14:paraId="0771216D"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405B55FD"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1A1C0793" w14:textId="77777777" w:rsidR="00802C9B" w:rsidRDefault="00000000">
            <w:pPr>
              <w:keepNext/>
              <w:spacing w:line="10pt" w:lineRule="atLeast"/>
              <w:rPr>
                <w:sz w:val="15"/>
              </w:rPr>
            </w:pPr>
            <w:r>
              <w:rPr>
                <w:b/>
                <w:sz w:val="15"/>
                <w:szCs w:val="15"/>
              </w:rPr>
              <w:t>Proxy:  compress live-zone block</w:t>
            </w:r>
          </w:p>
        </w:tc>
      </w:tr>
    </w:tbl>
    <w:p w14:paraId="0AFE9E9C"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5017BC97"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65177606" w14:textId="77777777" w:rsidR="00802C9B" w:rsidRDefault="00000000">
            <w:pPr>
              <w:keepNext/>
              <w:spacing w:line="10pt" w:lineRule="atLeast"/>
              <w:rPr>
                <w:sz w:val="15"/>
              </w:rPr>
            </w:pPr>
            <w:r>
              <w:rPr>
                <w:b/>
                <w:sz w:val="15"/>
                <w:szCs w:val="15"/>
              </w:rPr>
              <w:t>Proxy → CCR store:  put(original, hash)</w:t>
            </w:r>
          </w:p>
        </w:tc>
      </w:tr>
    </w:tbl>
    <w:p w14:paraId="39AAC2B9"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15D60C6E"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66FD1330" w14:textId="77777777" w:rsidR="00802C9B" w:rsidRDefault="00000000">
            <w:pPr>
              <w:keepNext/>
              <w:spacing w:line="10pt" w:lineRule="atLeast"/>
              <w:rPr>
                <w:sz w:val="15"/>
              </w:rPr>
            </w:pPr>
            <w:r>
              <w:rPr>
                <w:b/>
                <w:sz w:val="15"/>
                <w:szCs w:val="15"/>
              </w:rPr>
              <w:t>Proxy:  byte-range surgery</w:t>
            </w:r>
          </w:p>
        </w:tc>
      </w:tr>
    </w:tbl>
    <w:p w14:paraId="4FA79254"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6C30C5C0"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6AA58D76" w14:textId="77777777" w:rsidR="00802C9B" w:rsidRDefault="00000000">
            <w:pPr>
              <w:keepNext/>
              <w:spacing w:line="10pt" w:lineRule="atLeast"/>
              <w:rPr>
                <w:sz w:val="15"/>
              </w:rPr>
            </w:pPr>
            <w:r>
              <w:rPr>
                <w:b/>
                <w:sz w:val="15"/>
                <w:szCs w:val="15"/>
              </w:rPr>
              <w:t>Proxy → Provider:  forward compressed request</w:t>
            </w:r>
          </w:p>
        </w:tc>
      </w:tr>
    </w:tbl>
    <w:p w14:paraId="261F4772"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60BE5715" w14:textId="77777777">
        <w:trPr>
          <w:cantSplit/>
          <w:jc w:val="center"/>
        </w:trPr>
        <w:tc>
          <w:tcPr>
            <w:tcW w:w="210pt" w:type="dxa"/>
            <w:tcBorders>
              <w:top w:val="single" w:sz="8" w:space="0" w:color="2E5C99"/>
              <w:start w:val="single" w:sz="8" w:space="0" w:color="2E5C99"/>
              <w:bottom w:val="single" w:sz="8" w:space="0" w:color="2E5C99"/>
              <w:end w:val="single" w:sz="8" w:space="0" w:color="2E5C99"/>
            </w:tcBorders>
            <w:shd w:val="clear" w:color="auto" w:fill="DCE6F2"/>
            <w:tcMar>
              <w:top w:w="2pt" w:type="dxa"/>
              <w:start w:w="4pt" w:type="dxa"/>
              <w:bottom w:w="2pt" w:type="dxa"/>
              <w:end w:w="4pt" w:type="dxa"/>
            </w:tcMar>
            <w:vAlign w:val="center"/>
          </w:tcPr>
          <w:p w14:paraId="19049B16" w14:textId="77777777" w:rsidR="00802C9B" w:rsidRDefault="00000000">
            <w:pPr>
              <w:keepNext/>
              <w:spacing w:line="10pt" w:lineRule="atLeast"/>
              <w:rPr>
                <w:sz w:val="15"/>
              </w:rPr>
            </w:pPr>
            <w:r>
              <w:rPr>
                <w:b/>
                <w:sz w:val="15"/>
                <w:szCs w:val="15"/>
              </w:rPr>
              <w:t>Provider → Proxy → Agent:  stream response</w:t>
            </w:r>
          </w:p>
        </w:tc>
      </w:tr>
    </w:tbl>
    <w:p w14:paraId="011FB466" w14:textId="77777777" w:rsidR="00802C9B" w:rsidRDefault="00000000">
      <w:pPr>
        <w:keepNext/>
        <w:spacing w:before="0.50pt" w:after="0.50pt" w:line="10pt" w:lineRule="atLeast"/>
      </w:pPr>
      <w:r>
        <w:t>↓</w:t>
      </w:r>
      <w:r>
        <w:rPr>
          <w:i/>
          <w:sz w:val="13"/>
        </w:rPr>
        <w:t xml:space="preserve">  if original needed</w:t>
      </w:r>
    </w:p>
    <w:tbl>
      <w:tblPr>
        <w:tblW w:w="210pt" w:type="dxa"/>
        <w:jc w:val="center"/>
        <w:tblLayout w:type="fixed"/>
        <w:tblLook w:firstRow="0" w:lastRow="0" w:firstColumn="0" w:lastColumn="0" w:noHBand="1" w:noVBand="1"/>
      </w:tblPr>
      <w:tblGrid>
        <w:gridCol w:w="4200"/>
      </w:tblGrid>
      <w:tr w:rsidR="00802C9B" w14:paraId="2F628B44" w14:textId="77777777">
        <w:trPr>
          <w:cantSplit/>
          <w:jc w:val="center"/>
        </w:trPr>
        <w:tc>
          <w:tcPr>
            <w:tcW w:w="210pt" w:type="dxa"/>
            <w:tcBorders>
              <w:top w:val="single" w:sz="8" w:space="0" w:color="808080"/>
              <w:start w:val="single" w:sz="8" w:space="0" w:color="808080"/>
              <w:bottom w:val="single" w:sz="8" w:space="0" w:color="808080"/>
              <w:end w:val="single" w:sz="8" w:space="0" w:color="808080"/>
            </w:tcBorders>
            <w:shd w:val="clear" w:color="auto" w:fill="ECECEC"/>
            <w:tcMar>
              <w:top w:w="2pt" w:type="dxa"/>
              <w:start w:w="4pt" w:type="dxa"/>
              <w:bottom w:w="2pt" w:type="dxa"/>
              <w:end w:w="4pt" w:type="dxa"/>
            </w:tcMar>
            <w:vAlign w:val="center"/>
          </w:tcPr>
          <w:p w14:paraId="38585285" w14:textId="77777777" w:rsidR="00802C9B" w:rsidRDefault="00000000">
            <w:pPr>
              <w:keepNext/>
              <w:spacing w:line="10pt" w:lineRule="atLeast"/>
              <w:rPr>
                <w:sz w:val="15"/>
              </w:rPr>
            </w:pPr>
            <w:r>
              <w:rPr>
                <w:b/>
                <w:sz w:val="15"/>
                <w:szCs w:val="15"/>
              </w:rPr>
              <w:t>Model → Proxy:  retrieve(hash)</w:t>
            </w:r>
          </w:p>
        </w:tc>
      </w:tr>
    </w:tbl>
    <w:p w14:paraId="72857190" w14:textId="77777777" w:rsidR="00802C9B" w:rsidRDefault="00000000">
      <w:pPr>
        <w:keepNext/>
        <w:spacing w:before="0.50pt" w:after="0.50pt" w:line="10pt" w:lineRule="atLeast"/>
      </w:pPr>
      <w:r>
        <w:t>↓</w:t>
      </w:r>
    </w:p>
    <w:tbl>
      <w:tblPr>
        <w:tblW w:w="210pt" w:type="dxa"/>
        <w:jc w:val="center"/>
        <w:tblLayout w:type="fixed"/>
        <w:tblLook w:firstRow="0" w:lastRow="0" w:firstColumn="0" w:lastColumn="0" w:noHBand="1" w:noVBand="1"/>
      </w:tblPr>
      <w:tblGrid>
        <w:gridCol w:w="4200"/>
      </w:tblGrid>
      <w:tr w:rsidR="00802C9B" w14:paraId="54E9CCFF" w14:textId="77777777">
        <w:trPr>
          <w:cantSplit/>
          <w:jc w:val="center"/>
        </w:trPr>
        <w:tc>
          <w:tcPr>
            <w:tcW w:w="210pt" w:type="dxa"/>
            <w:tcBorders>
              <w:top w:val="single" w:sz="8" w:space="0" w:color="808080"/>
              <w:start w:val="single" w:sz="8" w:space="0" w:color="808080"/>
              <w:bottom w:val="single" w:sz="8" w:space="0" w:color="808080"/>
              <w:end w:val="single" w:sz="8" w:space="0" w:color="808080"/>
            </w:tcBorders>
            <w:shd w:val="clear" w:color="auto" w:fill="ECECEC"/>
            <w:tcMar>
              <w:top w:w="2pt" w:type="dxa"/>
              <w:start w:w="4pt" w:type="dxa"/>
              <w:bottom w:w="2pt" w:type="dxa"/>
              <w:end w:w="4pt" w:type="dxa"/>
            </w:tcMar>
            <w:vAlign w:val="center"/>
          </w:tcPr>
          <w:p w14:paraId="0462948E" w14:textId="77777777" w:rsidR="00802C9B" w:rsidRDefault="00000000">
            <w:pPr>
              <w:keepNext/>
              <w:spacing w:line="10pt" w:lineRule="atLeast"/>
              <w:rPr>
                <w:sz w:val="15"/>
              </w:rPr>
            </w:pPr>
            <w:r>
              <w:rPr>
                <w:b/>
                <w:sz w:val="15"/>
                <w:szCs w:val="15"/>
              </w:rPr>
              <w:t>Proxy → CCR store → Model:  return original bytes</w:t>
            </w:r>
          </w:p>
        </w:tc>
      </w:tr>
    </w:tbl>
    <w:p w14:paraId="286A426E" w14:textId="77777777" w:rsidR="00802C9B" w:rsidRDefault="00000000">
      <w:pPr>
        <w:pStyle w:val="figurecaption"/>
      </w:pPr>
      <w:r>
        <w:t>Fig. 3. Request lifecycle. Normal path (blue): the proxy compresses the live-zone block, stores the original in the CCR store, applies byte-range surgery, and forwards. Optional path (grey): the model calls the retrieval tool when it requires the uncompressed original.</w:t>
      </w:r>
    </w:p>
    <w:p w14:paraId="0F83501A" w14:textId="77777777" w:rsidR="00802C9B" w:rsidRDefault="00000000" w:rsidP="002F29E6">
      <w:pPr>
        <w:pStyle w:val="Heading1"/>
        <w:ind w:firstLine="0pt"/>
      </w:pPr>
      <w:r>
        <w:t>Cache-Safety Invariants</w:t>
      </w:r>
    </w:p>
    <w:p w14:paraId="3BA4BCA1" w14:textId="77777777" w:rsidR="00802C9B" w:rsidRDefault="00000000">
      <w:pPr>
        <w:pStyle w:val="BodyText"/>
      </w:pPr>
      <w:r>
        <w:t>The value of live-zone compression depends entirely on whether the hot zone stays intact. A single incidental change to a cached prefix—reordered JSON keys, a trailing space added during re-serialisation—silently invalidates the cache for that session. To make this guarantee explicit and checkable, we define ten invariants that every component in the stack is required to uphold.</w:t>
      </w:r>
    </w:p>
    <w:p w14:paraId="39E53565" w14:textId="77777777" w:rsidR="00802C9B" w:rsidRDefault="00000000">
      <w:pPr>
        <w:pStyle w:val="BodyText"/>
      </w:pPr>
      <w:r>
        <w:rPr>
          <w:b/>
        </w:rPr>
        <w:t>I1 — Byte-faithful passthrough.</w:t>
      </w:r>
      <w:r>
        <w:t xml:space="preserve"> Bytes sent upstream are byte-equal (verified by SHA-256) to bytes received from the client, modulo only the byte ranges that a transform explicitly modified. No JSON re-serialisation, no whitespace insertion, no Unicode re-escaping.</w:t>
      </w:r>
    </w:p>
    <w:p w14:paraId="293E336B" w14:textId="77777777" w:rsidR="00802C9B" w:rsidRDefault="00000000">
      <w:pPr>
        <w:pStyle w:val="BodyText"/>
      </w:pPr>
      <w:r>
        <w:rPr>
          <w:b/>
        </w:rPr>
        <w:t>I2 — Hot zone inviolable.</w:t>
      </w:r>
      <w:r>
        <w:t xml:space="preserve"> The system field, the tools array, any message before the frozen boundary, signed thinking blocks, redacted-thinking data, and compaction items are never processed by any compressor.</w:t>
      </w:r>
    </w:p>
    <w:p w14:paraId="52474D89" w14:textId="77777777" w:rsidR="00802C9B" w:rsidRDefault="00000000">
      <w:pPr>
        <w:pStyle w:val="BodyText"/>
      </w:pPr>
      <w:r>
        <w:rPr>
          <w:b/>
        </w:rPr>
        <w:t>I3 — Append-only.</w:t>
      </w:r>
      <w:r>
        <w:t xml:space="preserve"> Once a message has appeared in any prior request to upstream, its bytes are frozen. Compression operates on the live zone (the latest turn) only.</w:t>
      </w:r>
    </w:p>
    <w:p w14:paraId="14766D6B" w14:textId="77777777" w:rsidR="00802C9B" w:rsidRDefault="00000000">
      <w:pPr>
        <w:pStyle w:val="BodyText"/>
      </w:pPr>
      <w:r>
        <w:rPr>
          <w:b/>
        </w:rPr>
        <w:t>I4 — Determinism.</w:t>
      </w:r>
      <w:r>
        <w:t xml:space="preserve"> For the same input, frozen boundary, and auth mode, the compressor produces byte-equal output. No timestamps, random seeds, or time-dependent decisions.</w:t>
      </w:r>
    </w:p>
    <w:p w14:paraId="1E5063E3" w14:textId="77777777" w:rsidR="00802C9B" w:rsidRDefault="00000000">
      <w:pPr>
        <w:pStyle w:val="BodyText"/>
      </w:pPr>
      <w:r>
        <w:rPr>
          <w:b/>
        </w:rPr>
        <w:t>I5 — Token-aware acceptance.</w:t>
      </w:r>
      <w:r>
        <w:t xml:space="preserve"> Every compression is validated post hoc with a model-specific tokenizer. If the compressed form is not strictly shorter in tokens, the original bytes are forwarded.</w:t>
      </w:r>
    </w:p>
    <w:p w14:paraId="0D14AFEB" w14:textId="77777777" w:rsidR="00802C9B" w:rsidRDefault="00000000">
      <w:pPr>
        <w:pStyle w:val="BodyText"/>
      </w:pPr>
      <w:r>
        <w:rPr>
          <w:b/>
        </w:rPr>
        <w:t>I6 — Position-preserving.</w:t>
      </w:r>
      <w:r>
        <w:t xml:space="preserve"> Compression never reorders blocks, splits one block into several, or adds inline metadata fields to existing blocks.</w:t>
      </w:r>
    </w:p>
    <w:p w14:paraId="6DAD838A" w14:textId="77777777" w:rsidR="00802C9B" w:rsidRDefault="00000000">
      <w:pPr>
        <w:pStyle w:val="BodyText"/>
      </w:pPr>
      <w:r>
        <w:rPr>
          <w:b/>
        </w:rPr>
        <w:t>I7 — Tool definitions normalised, not compressed.</w:t>
      </w:r>
      <w:r>
        <w:t xml:space="preserve"> Tools are sorted by name, schema keys are sorted recursively, and description whitespace is normalised. The normalisation </w:t>
      </w:r>
      <w:r>
        <w:lastRenderedPageBreak/>
        <w:t>is idempotent: an already-canonical tools array produces byte-identical output on subsequent passes, so it is cache-stable after the first request.</w:t>
      </w:r>
    </w:p>
    <w:p w14:paraId="349C35AD" w14:textId="77777777" w:rsidR="00802C9B" w:rsidRDefault="00000000">
      <w:pPr>
        <w:pStyle w:val="BodyText"/>
      </w:pPr>
      <w:r>
        <w:rPr>
          <w:b/>
        </w:rPr>
        <w:t>I8 — Encrypted content sacrosanct.</w:t>
      </w:r>
      <w:r>
        <w:t xml:space="preserve"> Signatures, encrypted content, and redacted-thinking data are passthrough only—never inspected, decoded, or transformed.</w:t>
      </w:r>
    </w:p>
    <w:p w14:paraId="67C400F1" w14:textId="77777777" w:rsidR="00802C9B" w:rsidRDefault="00000000">
      <w:pPr>
        <w:pStyle w:val="BodyText"/>
      </w:pPr>
      <w:r>
        <w:rPr>
          <w:b/>
        </w:rPr>
        <w:t>I9 — Telemetry observes, never mutates.</w:t>
      </w:r>
      <w:r>
        <w:t xml:space="preserve"> The telemetry aggregator records per-request statistics but never alters request-time decisions. Recommendations are loaded at startup only.</w:t>
      </w:r>
    </w:p>
    <w:p w14:paraId="6565083F" w14:textId="77777777" w:rsidR="00802C9B" w:rsidRDefault="00000000">
      <w:pPr>
        <w:pStyle w:val="BodyText"/>
      </w:pPr>
      <w:r>
        <w:rPr>
          <w:b/>
        </w:rPr>
        <w:t>I10 — Auth mode gates policy.</w:t>
      </w:r>
      <w:r>
        <w:t xml:space="preserve"> Pay-as-you-go traffic receives aggressive compression; OAuth clients receive lossless-only compression; subscription clients receive a stealth-preferring policy with no header injection.</w:t>
      </w:r>
    </w:p>
    <w:p w14:paraId="6FFA4BE6" w14:textId="77777777" w:rsidR="00802C9B" w:rsidRDefault="00000000">
      <w:pPr>
        <w:pStyle w:val="BodyText"/>
      </w:pPr>
      <w:r>
        <w:t xml:space="preserve">Invariants I1–I3 are pinned by a SHA-256 byte-faithful round-trip test suite. Invariants I4–I6 are enforced by property-based tests: for arbitrary valid inputs, compressing a block and then reconstituting its stored original yields the input unchanged. Invariants I2 and I7 both touch the tools array but are not contradictory: I2 forbids </w:t>
      </w:r>
      <w:r>
        <w:rPr>
          <w:i/>
        </w:rPr>
        <w:t>compressing</w:t>
      </w:r>
      <w:r>
        <w:t xml:space="preserve"> it, while I7 permits a separate, deterministic </w:t>
      </w:r>
      <w:r>
        <w:rPr>
          <w:i/>
        </w:rPr>
        <w:t>normaliser</w:t>
      </w:r>
      <w:r>
        <w:t xml:space="preserve"> to place it in a canonical byte form. The only caching cost is one extra cache miss the first time the tool definitions change—identical to the cost of any tools change in a non-proxied deployment.</w:t>
      </w:r>
    </w:p>
    <w:p w14:paraId="703EAFC9" w14:textId="77777777" w:rsidR="00802C9B" w:rsidRDefault="00000000" w:rsidP="002F29E6">
      <w:pPr>
        <w:pStyle w:val="Heading1"/>
        <w:ind w:firstLine="0pt"/>
      </w:pPr>
      <w:r>
        <w:t>Live-Zone Compression Engine</w:t>
      </w:r>
    </w:p>
    <w:p w14:paraId="2FEAAE2D" w14:textId="77777777" w:rsidR="00802C9B" w:rsidRDefault="00000000">
      <w:pPr>
        <w:pStyle w:val="Heading2"/>
      </w:pPr>
      <w:r>
        <w:t>Cache Alignment and Live-Zone Definition</w:t>
      </w:r>
    </w:p>
    <w:p w14:paraId="5928CD70" w14:textId="77777777" w:rsidR="00802C9B" w:rsidRDefault="00000000">
      <w:pPr>
        <w:pStyle w:val="BodyText"/>
      </w:pPr>
      <w:r>
        <w:t>Before compression begins, a CacheAligner pass reorders dynamic content in the system prompt so that the stable portion forms a fixed prefix that the provider's KV cache can reuse across requests. Many system prompts embed variable content—the current date, a session identifier, a user name—in the middle of an otherwise stable instruction, which breaks the cacheable prefix and forces a full cache miss on every call. CacheAligner is a pure repositioning pass: it emits the stable prefix first, appends the dynamic tail in a delimited block, and wraps the prefix in a provider-specific cache hint. No content is removed.</w:t>
      </w:r>
    </w:p>
    <w:p w14:paraId="0D5E1A68" w14:textId="77777777" w:rsidR="00802C9B" w:rsidRDefault="00000000">
      <w:pPr>
        <w:pStyle w:val="BodyText"/>
      </w:pPr>
      <w:r>
        <w:t>For an Anthropic messages request, the live zone is bounded below by the frozen boundary computed from cache-control markers, bounded above by the latest user message, and comprises every block inside that message subject to content-type detection. For OpenAI chat completions the live zone is the latest tool message's content and the latest user message's text blocks.</w:t>
      </w:r>
    </w:p>
    <w:p w14:paraId="6E27BDA7" w14:textId="77777777" w:rsidR="00802C9B" w:rsidRDefault="00000000">
      <w:pPr>
        <w:pStyle w:val="Heading2"/>
      </w:pPr>
      <w:r>
        <w:t>Byte-Range Surgery</w:t>
      </w:r>
    </w:p>
    <w:p w14:paraId="05A3A084" w14:textId="77777777" w:rsidR="00802C9B" w:rsidRDefault="00000000">
      <w:pPr>
        <w:pStyle w:val="BodyText"/>
      </w:pPr>
      <w:r>
        <w:t>Compression rewrites only the selected block's JSON string value, leaving the surrounding body bytes untouched. The implementation uses borrowed raw-value slices that retain their exact byte offset into the original buffer. Replacement concatenates the untouched prefix, the replacement, and the untouched suffix; every retained byte range is a literal copy, with no re-encoding. This is how the byte-fidelity property of Invariant I1 is maintained even for passthrough traffic, where a naive parse-then-re-encode step would silently shift byte offsets and break the cache.</w:t>
      </w:r>
    </w:p>
    <w:p w14:paraId="71518A31" w14:textId="77777777" w:rsidR="00802C9B" w:rsidRDefault="00000000">
      <w:pPr>
        <w:pStyle w:val="Heading2"/>
      </w:pPr>
      <w:r>
        <w:t>Content-Type Detection</w:t>
      </w:r>
    </w:p>
    <w:p w14:paraId="602F7A60" w14:textId="77777777" w:rsidR="00802C9B" w:rsidRDefault="00000000">
      <w:pPr>
        <w:pStyle w:val="BodyText"/>
      </w:pPr>
      <w:r>
        <w:t xml:space="preserve">The ContentRouter classifies each block using a cascade of detectors: a fast Aho–Corasick [12] automaton for keyword signals, format-specific state machines for log and diff </w:t>
      </w:r>
      <w:r>
        <w:t>formats, a unified-diff line-prefix detector, and a file-magic heuristic for binary content. The detected content type controls both the compressor dispatch and the per-type byte threshold below which no compression is attempted (Table II).</w:t>
      </w:r>
    </w:p>
    <w:p w14:paraId="1876A964" w14:textId="77777777" w:rsidR="00802C9B" w:rsidRDefault="00000000">
      <w:pPr>
        <w:pStyle w:val="tablehead"/>
      </w:pPr>
      <w:r>
        <w:t>TABLE II</w:t>
      </w:r>
      <w:r>
        <w:br/>
        <w:t>Per-Content-Type Byte Thresholds and Compressor Dispatch</w:t>
      </w:r>
    </w:p>
    <w:tbl>
      <w:tblPr>
        <w:tblW w:w="241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785"/>
        <w:gridCol w:w="1250"/>
        <w:gridCol w:w="1785"/>
      </w:tblGrid>
      <w:tr w:rsidR="00802C9B" w14:paraId="5E95F276" w14:textId="77777777">
        <w:trPr>
          <w:cantSplit/>
          <w:tblHeader/>
          <w:jc w:val="center"/>
        </w:trPr>
        <w:tc>
          <w:tcPr>
            <w:tcW w:w="89.25pt" w:type="dxa"/>
            <w:vAlign w:val="center"/>
          </w:tcPr>
          <w:p w14:paraId="1B4D261D" w14:textId="77777777" w:rsidR="00802C9B" w:rsidRDefault="00000000">
            <w:pPr>
              <w:pStyle w:val="tablecolhead"/>
            </w:pPr>
            <w:r>
              <w:t>Content type</w:t>
            </w:r>
          </w:p>
        </w:tc>
        <w:tc>
          <w:tcPr>
            <w:tcW w:w="62.50pt" w:type="dxa"/>
            <w:vAlign w:val="center"/>
          </w:tcPr>
          <w:p w14:paraId="79BBF6A1" w14:textId="77777777" w:rsidR="00802C9B" w:rsidRDefault="00000000">
            <w:pPr>
              <w:pStyle w:val="tablecolhead"/>
            </w:pPr>
            <w:r>
              <w:t>Threshold (B)</w:t>
            </w:r>
          </w:p>
        </w:tc>
        <w:tc>
          <w:tcPr>
            <w:tcW w:w="89.25pt" w:type="dxa"/>
            <w:vAlign w:val="center"/>
          </w:tcPr>
          <w:p w14:paraId="3AF1855C" w14:textId="77777777" w:rsidR="00802C9B" w:rsidRDefault="00000000">
            <w:pPr>
              <w:pStyle w:val="tablecolhead"/>
            </w:pPr>
            <w:r>
              <w:t>Compressor</w:t>
            </w:r>
          </w:p>
        </w:tc>
      </w:tr>
      <w:tr w:rsidR="00802C9B" w14:paraId="00D37D8C" w14:textId="77777777">
        <w:trPr>
          <w:jc w:val="center"/>
        </w:trPr>
        <w:tc>
          <w:tcPr>
            <w:tcW w:w="89.25pt" w:type="dxa"/>
            <w:vAlign w:val="center"/>
          </w:tcPr>
          <w:p w14:paraId="3983831E" w14:textId="77777777" w:rsidR="00802C9B" w:rsidRDefault="00000000">
            <w:pPr>
              <w:pStyle w:val="tablecopy"/>
              <w:jc w:val="start"/>
            </w:pPr>
            <w:r>
              <w:t>JSON array</w:t>
            </w:r>
          </w:p>
        </w:tc>
        <w:tc>
          <w:tcPr>
            <w:tcW w:w="62.50pt" w:type="dxa"/>
            <w:vAlign w:val="center"/>
          </w:tcPr>
          <w:p w14:paraId="0549DF1B" w14:textId="77777777" w:rsidR="00802C9B" w:rsidRDefault="00000000">
            <w:pPr>
              <w:pStyle w:val="tablecopy"/>
              <w:jc w:val="center"/>
            </w:pPr>
            <w:r>
              <w:t>512</w:t>
            </w:r>
          </w:p>
        </w:tc>
        <w:tc>
          <w:tcPr>
            <w:tcW w:w="89.25pt" w:type="dxa"/>
            <w:vAlign w:val="center"/>
          </w:tcPr>
          <w:p w14:paraId="7E00D40A" w14:textId="77777777" w:rsidR="00802C9B" w:rsidRDefault="00000000">
            <w:pPr>
              <w:pStyle w:val="tablecopy"/>
              <w:jc w:val="center"/>
            </w:pPr>
            <w:r>
              <w:t>SmartCrusher</w:t>
            </w:r>
          </w:p>
        </w:tc>
      </w:tr>
      <w:tr w:rsidR="00802C9B" w14:paraId="350B7BD4" w14:textId="77777777">
        <w:trPr>
          <w:jc w:val="center"/>
        </w:trPr>
        <w:tc>
          <w:tcPr>
            <w:tcW w:w="89.25pt" w:type="dxa"/>
            <w:vAlign w:val="center"/>
          </w:tcPr>
          <w:p w14:paraId="4C84055A" w14:textId="77777777" w:rsidR="00802C9B" w:rsidRDefault="00000000">
            <w:pPr>
              <w:pStyle w:val="tablecopy"/>
              <w:jc w:val="start"/>
            </w:pPr>
            <w:r>
              <w:t>Build / log output</w:t>
            </w:r>
          </w:p>
        </w:tc>
        <w:tc>
          <w:tcPr>
            <w:tcW w:w="62.50pt" w:type="dxa"/>
            <w:vAlign w:val="center"/>
          </w:tcPr>
          <w:p w14:paraId="7FCE2EF3" w14:textId="77777777" w:rsidR="00802C9B" w:rsidRDefault="00000000">
            <w:pPr>
              <w:pStyle w:val="tablecopy"/>
              <w:jc w:val="center"/>
            </w:pPr>
            <w:r>
              <w:t>512</w:t>
            </w:r>
          </w:p>
        </w:tc>
        <w:tc>
          <w:tcPr>
            <w:tcW w:w="89.25pt" w:type="dxa"/>
            <w:vAlign w:val="center"/>
          </w:tcPr>
          <w:p w14:paraId="23EC231B" w14:textId="77777777" w:rsidR="00802C9B" w:rsidRDefault="00000000">
            <w:pPr>
              <w:pStyle w:val="tablecopy"/>
              <w:jc w:val="center"/>
            </w:pPr>
            <w:r>
              <w:t>LogCompressor</w:t>
            </w:r>
          </w:p>
        </w:tc>
      </w:tr>
      <w:tr w:rsidR="00802C9B" w14:paraId="3B65809A" w14:textId="77777777">
        <w:trPr>
          <w:jc w:val="center"/>
        </w:trPr>
        <w:tc>
          <w:tcPr>
            <w:tcW w:w="89.25pt" w:type="dxa"/>
            <w:vAlign w:val="center"/>
          </w:tcPr>
          <w:p w14:paraId="149A56A0" w14:textId="77777777" w:rsidR="00802C9B" w:rsidRDefault="00000000">
            <w:pPr>
              <w:pStyle w:val="tablecopy"/>
              <w:jc w:val="start"/>
            </w:pPr>
            <w:r>
              <w:t>Search results</w:t>
            </w:r>
          </w:p>
        </w:tc>
        <w:tc>
          <w:tcPr>
            <w:tcW w:w="62.50pt" w:type="dxa"/>
            <w:vAlign w:val="center"/>
          </w:tcPr>
          <w:p w14:paraId="7FF9ED19" w14:textId="77777777" w:rsidR="00802C9B" w:rsidRDefault="00000000">
            <w:pPr>
              <w:pStyle w:val="tablecopy"/>
              <w:jc w:val="center"/>
            </w:pPr>
            <w:r>
              <w:t>512</w:t>
            </w:r>
          </w:p>
        </w:tc>
        <w:tc>
          <w:tcPr>
            <w:tcW w:w="89.25pt" w:type="dxa"/>
            <w:vAlign w:val="center"/>
          </w:tcPr>
          <w:p w14:paraId="3209C208" w14:textId="77777777" w:rsidR="00802C9B" w:rsidRDefault="00000000">
            <w:pPr>
              <w:pStyle w:val="tablecopy"/>
              <w:jc w:val="center"/>
            </w:pPr>
            <w:r>
              <w:t>SearchCompressor</w:t>
            </w:r>
          </w:p>
        </w:tc>
      </w:tr>
      <w:tr w:rsidR="00802C9B" w14:paraId="77492D5F" w14:textId="77777777">
        <w:trPr>
          <w:jc w:val="center"/>
        </w:trPr>
        <w:tc>
          <w:tcPr>
            <w:tcW w:w="89.25pt" w:type="dxa"/>
            <w:vAlign w:val="center"/>
          </w:tcPr>
          <w:p w14:paraId="400369AA" w14:textId="77777777" w:rsidR="00802C9B" w:rsidRDefault="00000000">
            <w:pPr>
              <w:pStyle w:val="tablecopy"/>
              <w:jc w:val="start"/>
            </w:pPr>
            <w:r>
              <w:t>Unified diff</w:t>
            </w:r>
          </w:p>
        </w:tc>
        <w:tc>
          <w:tcPr>
            <w:tcW w:w="62.50pt" w:type="dxa"/>
            <w:vAlign w:val="center"/>
          </w:tcPr>
          <w:p w14:paraId="5DF970CE" w14:textId="77777777" w:rsidR="00802C9B" w:rsidRDefault="00000000">
            <w:pPr>
              <w:pStyle w:val="tablecopy"/>
              <w:jc w:val="center"/>
            </w:pPr>
            <w:r>
              <w:t>512</w:t>
            </w:r>
          </w:p>
        </w:tc>
        <w:tc>
          <w:tcPr>
            <w:tcW w:w="89.25pt" w:type="dxa"/>
            <w:vAlign w:val="center"/>
          </w:tcPr>
          <w:p w14:paraId="456964B4" w14:textId="77777777" w:rsidR="00802C9B" w:rsidRDefault="00000000">
            <w:pPr>
              <w:pStyle w:val="tablecopy"/>
              <w:jc w:val="center"/>
            </w:pPr>
            <w:r>
              <w:t>DiffCompressor</w:t>
            </w:r>
          </w:p>
        </w:tc>
      </w:tr>
      <w:tr w:rsidR="00802C9B" w14:paraId="1E3B0F20" w14:textId="77777777">
        <w:trPr>
          <w:jc w:val="center"/>
        </w:trPr>
        <w:tc>
          <w:tcPr>
            <w:tcW w:w="89.25pt" w:type="dxa"/>
            <w:vAlign w:val="center"/>
          </w:tcPr>
          <w:p w14:paraId="4D5E8980" w14:textId="77777777" w:rsidR="00802C9B" w:rsidRDefault="00000000">
            <w:pPr>
              <w:pStyle w:val="tablecopy"/>
              <w:jc w:val="start"/>
            </w:pPr>
            <w:r>
              <w:t>Plain text</w:t>
            </w:r>
          </w:p>
        </w:tc>
        <w:tc>
          <w:tcPr>
            <w:tcW w:w="62.50pt" w:type="dxa"/>
            <w:vAlign w:val="center"/>
          </w:tcPr>
          <w:p w14:paraId="3ECDD43C" w14:textId="77777777" w:rsidR="00802C9B" w:rsidRDefault="00000000">
            <w:pPr>
              <w:pStyle w:val="tablecopy"/>
              <w:jc w:val="center"/>
            </w:pPr>
            <w:r>
              <w:t>512</w:t>
            </w:r>
          </w:p>
        </w:tc>
        <w:tc>
          <w:tcPr>
            <w:tcW w:w="89.25pt" w:type="dxa"/>
            <w:vAlign w:val="center"/>
          </w:tcPr>
          <w:p w14:paraId="7953C860" w14:textId="77777777" w:rsidR="00802C9B" w:rsidRDefault="00000000">
            <w:pPr>
              <w:pStyle w:val="tablecopy"/>
              <w:jc w:val="center"/>
            </w:pPr>
            <w:r>
              <w:t>Kompress-base</w:t>
            </w:r>
          </w:p>
        </w:tc>
      </w:tr>
      <w:tr w:rsidR="00802C9B" w14:paraId="45B72428" w14:textId="77777777">
        <w:trPr>
          <w:jc w:val="center"/>
        </w:trPr>
        <w:tc>
          <w:tcPr>
            <w:tcW w:w="89.25pt" w:type="dxa"/>
            <w:vAlign w:val="center"/>
          </w:tcPr>
          <w:p w14:paraId="5AC00907" w14:textId="77777777" w:rsidR="00802C9B" w:rsidRDefault="00000000">
            <w:pPr>
              <w:pStyle w:val="tablecopy"/>
              <w:jc w:val="start"/>
            </w:pPr>
            <w:r>
              <w:t>Source code</w:t>
            </w:r>
          </w:p>
        </w:tc>
        <w:tc>
          <w:tcPr>
            <w:tcW w:w="62.50pt" w:type="dxa"/>
            <w:vAlign w:val="center"/>
          </w:tcPr>
          <w:p w14:paraId="1427398C" w14:textId="77777777" w:rsidR="00802C9B" w:rsidRDefault="00000000">
            <w:pPr>
              <w:pStyle w:val="tablecopy"/>
              <w:jc w:val="center"/>
            </w:pPr>
            <w:r>
              <w:t>512</w:t>
            </w:r>
          </w:p>
        </w:tc>
        <w:tc>
          <w:tcPr>
            <w:tcW w:w="89.25pt" w:type="dxa"/>
            <w:vAlign w:val="center"/>
          </w:tcPr>
          <w:p w14:paraId="3FD767D5" w14:textId="77777777" w:rsidR="00802C9B" w:rsidRDefault="00000000">
            <w:pPr>
              <w:pStyle w:val="tablecopy"/>
              <w:jc w:val="center"/>
            </w:pPr>
            <w:r>
              <w:t>CodeCompressor</w:t>
            </w:r>
          </w:p>
        </w:tc>
      </w:tr>
      <w:tr w:rsidR="00802C9B" w14:paraId="7721C201" w14:textId="77777777">
        <w:trPr>
          <w:jc w:val="center"/>
        </w:trPr>
        <w:tc>
          <w:tcPr>
            <w:tcW w:w="89.25pt" w:type="dxa"/>
            <w:vAlign w:val="center"/>
          </w:tcPr>
          <w:p w14:paraId="1DF2DAD7" w14:textId="77777777" w:rsidR="00802C9B" w:rsidRDefault="00000000">
            <w:pPr>
              <w:pStyle w:val="tablecopy"/>
              <w:jc w:val="start"/>
            </w:pPr>
            <w:r>
              <w:t>Image (encoded)</w:t>
            </w:r>
          </w:p>
        </w:tc>
        <w:tc>
          <w:tcPr>
            <w:tcW w:w="62.50pt" w:type="dxa"/>
            <w:vAlign w:val="center"/>
          </w:tcPr>
          <w:p w14:paraId="08C22873" w14:textId="77777777" w:rsidR="00802C9B" w:rsidRDefault="00000000">
            <w:pPr>
              <w:pStyle w:val="tablecopy"/>
              <w:jc w:val="center"/>
            </w:pPr>
            <w:r>
              <w:t>10,240</w:t>
            </w:r>
          </w:p>
        </w:tc>
        <w:tc>
          <w:tcPr>
            <w:tcW w:w="89.25pt" w:type="dxa"/>
            <w:vAlign w:val="center"/>
          </w:tcPr>
          <w:p w14:paraId="1B967C0D" w14:textId="77777777" w:rsidR="00802C9B" w:rsidRDefault="00000000">
            <w:pPr>
              <w:pStyle w:val="tablecopy"/>
              <w:jc w:val="center"/>
            </w:pPr>
            <w:r>
              <w:t>MediaCompressor</w:t>
            </w:r>
          </w:p>
        </w:tc>
      </w:tr>
      <w:tr w:rsidR="00802C9B" w14:paraId="7E413C14" w14:textId="77777777">
        <w:trPr>
          <w:jc w:val="center"/>
        </w:trPr>
        <w:tc>
          <w:tcPr>
            <w:tcW w:w="89.25pt" w:type="dxa"/>
            <w:vAlign w:val="center"/>
          </w:tcPr>
          <w:p w14:paraId="651CA4E9" w14:textId="77777777" w:rsidR="00802C9B" w:rsidRDefault="00000000">
            <w:pPr>
              <w:pStyle w:val="tablecopy"/>
              <w:jc w:val="start"/>
            </w:pPr>
            <w:r>
              <w:t>Audio (encoded)</w:t>
            </w:r>
          </w:p>
        </w:tc>
        <w:tc>
          <w:tcPr>
            <w:tcW w:w="62.50pt" w:type="dxa"/>
            <w:vAlign w:val="center"/>
          </w:tcPr>
          <w:p w14:paraId="16EF64ED" w14:textId="77777777" w:rsidR="00802C9B" w:rsidRDefault="00000000">
            <w:pPr>
              <w:pStyle w:val="tablecopy"/>
              <w:jc w:val="center"/>
            </w:pPr>
            <w:r>
              <w:t>51,200</w:t>
            </w:r>
          </w:p>
        </w:tc>
        <w:tc>
          <w:tcPr>
            <w:tcW w:w="89.25pt" w:type="dxa"/>
            <w:vAlign w:val="center"/>
          </w:tcPr>
          <w:p w14:paraId="78FF893F" w14:textId="77777777" w:rsidR="00802C9B" w:rsidRDefault="00000000">
            <w:pPr>
              <w:pStyle w:val="tablecopy"/>
              <w:jc w:val="center"/>
            </w:pPr>
            <w:r>
              <w:t>MediaCompressor</w:t>
            </w:r>
          </w:p>
        </w:tc>
      </w:tr>
    </w:tbl>
    <w:p w14:paraId="27AAD7C2" w14:textId="77777777" w:rsidR="00802C9B" w:rsidRDefault="00802C9B">
      <w:pPr>
        <w:rPr>
          <w:sz w:val="8"/>
        </w:rPr>
      </w:pPr>
    </w:p>
    <w:p w14:paraId="6023F721" w14:textId="77777777" w:rsidR="00802C9B" w:rsidRDefault="00000000">
      <w:pPr>
        <w:pStyle w:val="Heading2"/>
      </w:pPr>
      <w:r>
        <w:t>Tokenizer-Validated Acceptance Gate</w:t>
      </w:r>
    </w:p>
    <w:p w14:paraId="5ECC9C08" w14:textId="77777777" w:rsidR="00802C9B" w:rsidRDefault="00000000">
      <w:pPr>
        <w:pStyle w:val="BodyText"/>
      </w:pPr>
      <w:r>
        <w:t>After each compressor produces a candidate string, IntelliContext counts tokens in both the original and the compressed string using a per-model tokenizer. Compression is accepted only if the compressed form is strictly shorter in tokens; otherwise the original bytes are forwarded (Invariant I5). This gate is essential because pathological inputs—dense base64, for example—can shrink in bytes while growing in tokens after transformation.</w:t>
      </w:r>
    </w:p>
    <w:p w14:paraId="6A8AC016" w14:textId="77777777" w:rsidR="00802C9B" w:rsidRDefault="00000000" w:rsidP="002F29E6">
      <w:pPr>
        <w:pStyle w:val="Heading1"/>
        <w:ind w:firstLine="0pt"/>
      </w:pPr>
      <w:r>
        <w:t>Compression Algorithms</w:t>
      </w:r>
    </w:p>
    <w:p w14:paraId="67F7FC62" w14:textId="77777777" w:rsidR="00802C9B" w:rsidRDefault="00000000">
      <w:pPr>
        <w:pStyle w:val="Heading2"/>
      </w:pPr>
      <w:r>
        <w:t>SmartCrusher (JSON Arrays)</w:t>
      </w:r>
    </w:p>
    <w:p w14:paraId="2F9A2720" w14:textId="77777777" w:rsidR="00802C9B" w:rsidRDefault="00000000">
      <w:pPr>
        <w:pStyle w:val="BodyText"/>
      </w:pPr>
      <w:r>
        <w:t>Tool outputs from database queries, API calls, and search indexes arrive as JSON arrays of objects. SmartCrusher parses the array and groups entries by key signature, scores each value field by information density (high-entropy strings such as hashes score low; human-readable identifiers score high), drops near-duplicate rows, and truncates value strings to a model-calibrated budget while preserving structure. Its output is deterministic (Invariant I4).</w:t>
      </w:r>
    </w:p>
    <w:p w14:paraId="47DBC334" w14:textId="77777777" w:rsidR="00802C9B" w:rsidRDefault="00000000">
      <w:pPr>
        <w:pStyle w:val="Heading2"/>
      </w:pPr>
      <w:r>
        <w:t>LogCompressor (Build / Test Output)</w:t>
      </w:r>
    </w:p>
    <w:p w14:paraId="54DC6DCB" w14:textId="77777777" w:rsidR="00802C9B" w:rsidRDefault="00000000">
      <w:pPr>
        <w:pStyle w:val="BodyText"/>
      </w:pPr>
      <w:r>
        <w:t>Build and test logs exhibit a characteristic structure: thousands of INFO or DEBUG lines with a handful of ERROR or FAIL entries and stack traces. LogCompressor detects the log flavour with an Aho–Corasick automaton, classifies each line by level and stack-trace membership, scores lines so that errors and summaries dominate, and selects errors, deduplicated warnings, up to a few bounded stack traces, and a small context window. Its per-flavour state machine handles the fact that Python tracebacks continue across blank lines while JavaScript and Java traces terminate on the first non-</w:t>
      </w:r>
      <w:r>
        <w:rPr>
          <w:rFonts w:ascii="Consolas" w:hAnsi="Consolas"/>
        </w:rPr>
        <w:t>at</w:t>
      </w:r>
      <w:r>
        <w:t xml:space="preserve"> line, preventing the silent mid-trace truncation common to line-oriented parsers.</w:t>
      </w:r>
    </w:p>
    <w:p w14:paraId="276CDEA9" w14:textId="77777777" w:rsidR="00802C9B" w:rsidRDefault="00000000">
      <w:pPr>
        <w:pStyle w:val="Heading2"/>
      </w:pPr>
      <w:r>
        <w:t>SearchCompressor (Grep / Ripgrep Output)</w:t>
      </w:r>
    </w:p>
    <w:p w14:paraId="16A6D20A" w14:textId="77777777" w:rsidR="00802C9B" w:rsidRDefault="00000000">
      <w:pPr>
        <w:pStyle w:val="BodyText"/>
      </w:pPr>
      <w:r>
        <w:t>Search results from grep, ripgrep, or code-search tools typically contain hundreds of matches, most of them irrelevant to the current task. SearchCompressor scores each result by proximity to the user's latest query using BM25 [14], keeps the top-k results with adaptive k, and emits a summary of the omitted matches.</w:t>
      </w:r>
    </w:p>
    <w:p w14:paraId="18D4788A" w14:textId="77777777" w:rsidR="00802C9B" w:rsidRDefault="00000000">
      <w:pPr>
        <w:pStyle w:val="Heading2"/>
      </w:pPr>
      <w:r>
        <w:t>DiffCompressor (Unified Diffs)</w:t>
      </w:r>
    </w:p>
    <w:p w14:paraId="2A2114BC" w14:textId="77777777" w:rsidR="00802C9B" w:rsidRDefault="00000000">
      <w:pPr>
        <w:pStyle w:val="BodyText"/>
      </w:pPr>
      <w:r>
        <w:t xml:space="preserve">Unified diffs from version control can be large when many files change. DiffCompressor retains hunks whose context lines overlap with the user's most recent file references, collapses binary hunks to a single marker line, and </w:t>
      </w:r>
      <w:r>
        <w:lastRenderedPageBreak/>
        <w:t>deduplicates identical hunk bodies across files. Hunk reordering is forbidden (Invariant I6).</w:t>
      </w:r>
    </w:p>
    <w:p w14:paraId="52253887" w14:textId="77777777" w:rsidR="00802C9B" w:rsidRDefault="00000000">
      <w:pPr>
        <w:pStyle w:val="Heading2"/>
      </w:pPr>
      <w:r>
        <w:t>Kompress-base (Plain Text)</w:t>
      </w:r>
    </w:p>
    <w:p w14:paraId="78F670C6" w14:textId="77777777" w:rsidR="00802C9B" w:rsidRDefault="00000000">
      <w:pPr>
        <w:pStyle w:val="BodyText"/>
      </w:pPr>
      <w:r>
        <w:t>For unstructured prose and agentic text, IntelliContext uses Kompress-base, a fine-tuned encoder–decoder model invoked through a local runtime. To bound how much meaning a generative compressor can change, Kompress-base adds a semantic-fidelity gate: it computes the embedding cosine similarity between the original and compressed text using a small local sentence encoder [24], and if the similarity falls below a threshold it falls back to extractive summarisation—selecting the most informative sentences—which cannot introduce new information and therefore degrades gracefully. The generative path fires only as a last resort for large live-zone text that no structural compressor can handle.</w:t>
      </w:r>
    </w:p>
    <w:p w14:paraId="2151650D" w14:textId="77777777" w:rsidR="00802C9B" w:rsidRDefault="00000000">
      <w:pPr>
        <w:pStyle w:val="Heading2"/>
      </w:pPr>
      <w:r>
        <w:t>CodeCompressor (Source Code)</w:t>
      </w:r>
    </w:p>
    <w:p w14:paraId="4A9E66A2" w14:textId="77777777" w:rsidR="00802C9B" w:rsidRDefault="00000000">
      <w:pPr>
        <w:pStyle w:val="BodyText"/>
      </w:pPr>
      <w:r>
        <w:t>Source-code payloads—tool results from file reads and code search—appear as large plain-text blocks. CodeCompressor performs language-aware structural analysis rather than generic text compression. It parses each block with a tree-sitter grammar for one of six supported language families, so that it works from a real abstract syntax tree rather than line heuristics, and ranks declarations by three signals: recency of reference in the live-zone message, overlap between the symbols a declaration defines or calls and the user's latest query, and API-surface visibility. Function and method signatures and public interfaces are preserved verbatim; implementation bodies that fall below the retention budget are stripped and remain recoverable through CCR. The top-ranked declarations are emitted in original source order (Invariant I6); collapsed declarations are replaced by a single-line stub, import blocks are condensed to a one-line summary unless an imported symbol appears in the query, and licence headers are reduced to a single attribution line.</w:t>
      </w:r>
    </w:p>
    <w:p w14:paraId="39D4368F" w14:textId="77777777" w:rsidR="00802C9B" w:rsidRDefault="00000000">
      <w:pPr>
        <w:pStyle w:val="Heading2"/>
      </w:pPr>
      <w:r>
        <w:t>MediaCompressor (Image and Audio)</w:t>
      </w:r>
    </w:p>
    <w:p w14:paraId="1D3DE065" w14:textId="77777777" w:rsidR="00802C9B" w:rsidRDefault="00000000">
      <w:pPr>
        <w:pStyle w:val="BodyText"/>
      </w:pPr>
      <w:r>
        <w:t>Binary modalities appear in agentic workflows as base64-encoded payloads in multimodal content blocks and tool results. MediaCompressor integrates these into live-zone dispatch as a parallel stage operating on binary blocks before byte-range surgery. For images, a lightweight classifier assigns each block to one of four categories—diagram, screenshot, natural photo, or chart—and the pipeline rescales oversized images, re-encodes them with category-appropriate codec settings, and validates perceptual quality with a structural-similarity floor [23] before applying the tokenizer gate. For audio, payloads are resampled to 16 kHz mono and re-encoded with a speech-optimised codec; when a local speech-recognition model is configured, speech audio can instead be replaced by a text transcript, enabling the model to reason directly over spoken content. All of these paths slot into live-zone dispatch without touching any of the ten cache-safety invariants.</w:t>
      </w:r>
    </w:p>
    <w:p w14:paraId="69D6515D" w14:textId="5D8AA9A7" w:rsidR="00802C9B" w:rsidRDefault="00000000">
      <w:pPr>
        <w:pStyle w:val="Heading2"/>
      </w:pPr>
      <w:r>
        <w:t>IntelliContext (Conversation History)</w:t>
      </w:r>
    </w:p>
    <w:p w14:paraId="5DFC5259" w14:textId="664B1E4F" w:rsidR="00802C9B" w:rsidRDefault="00000000">
      <w:pPr>
        <w:pStyle w:val="BodyText"/>
      </w:pPr>
      <w:r>
        <w:t xml:space="preserve">When a session's conversation history itself grows beyond the working budget, IntelliContext scores each prior turn by a combination of importance and recency, using an exponential age decay of the form w = importance · exp(−λ·age), and drops the lowest-scoring turns to fit the window. Because the dropped turns are parked in the CCR store rather than discarded, the model can recover any of them on demand, and </w:t>
      </w:r>
      <w:r>
        <w:t>the eviction is confined to the live zone so that the cached prefix is left intact (Invariants I2, I3).</w:t>
      </w:r>
    </w:p>
    <w:p w14:paraId="33EFF9F3" w14:textId="77777777" w:rsidR="00802C9B" w:rsidRDefault="00000000">
      <w:pPr>
        <w:pStyle w:val="Heading2"/>
      </w:pPr>
      <w:r>
        <w:t>Output Shaper (Response-Side Savings)</w:t>
      </w:r>
    </w:p>
    <w:p w14:paraId="18549C0C" w14:textId="77777777" w:rsidR="00802C9B" w:rsidRDefault="00000000">
      <w:pPr>
        <w:pStyle w:val="BodyText"/>
      </w:pPr>
      <w:r>
        <w:t>Token cost is incurred on the response as well as the prompt. The Output Shaper addresses response-side waste with two lightweight classifiers. A query classifier appends a terseness instruction matched to the request class—returning a direct answer for factual queries, code without preamble for code generation, and a structured response for analysis—while a turn classifier lowers the requested model effort on mechanical steps and restores full effort for new questions and error conditions. Shaping is advisory and never alters the cached prefix, so it composes with the live-zone discipline without affecting cache safety.</w:t>
      </w:r>
    </w:p>
    <w:p w14:paraId="00F337C1" w14:textId="77777777" w:rsidR="00802C9B" w:rsidRDefault="00000000">
      <w:pPr>
        <w:pStyle w:val="Heading1"/>
      </w:pPr>
      <w:r>
        <w:t>Compress–Cache–Retrieve</w:t>
      </w:r>
    </w:p>
    <w:p w14:paraId="0DAE8DDB" w14:textId="77777777" w:rsidR="00802C9B" w:rsidRDefault="00000000">
      <w:pPr>
        <w:pStyle w:val="BodyText"/>
      </w:pPr>
      <w:r>
        <w:t xml:space="preserve">Aggressive compression is acceptable only if the model can recover originals on demand. IntelliContext implements this through the Compress–Cache–Retrieve (CCR) mechanism. When a block is compressed, the system computes a content-addressed hash of the original and stores the original bytes in a local store (SQLite or LMDB, or Redis for multi-worker deployments) under a configurable time-to-live. The default store is a hash-keyed LRU cache holding up to 1,000 entries with a 3,600-second sliding-window time-to-live. A retrieval marker of the form </w:t>
      </w:r>
      <w:r>
        <w:rPr>
          <w:rFonts w:ascii="Consolas" w:hAnsi="Consolas"/>
        </w:rPr>
        <w:t>&lt;&lt;ccr:HASH&gt;&gt;</w:t>
      </w:r>
      <w:r>
        <w:t xml:space="preserve"> carrying that hash is appended to the compressed block, so nothing delivered to the model is a dead end. A retrieval tool is registered on every request for sessions that have ever performed CCR—registered unconditionally so that the tools array stays stable (Invariant I2). When the model determines that it needs the original content, it calls the tool with the hash—optionally with a BM25 query that returns only the matching subset of a large cached payload—and a local Model Context Protocol (MCP) server [15] answers it from the on-device store, byte-exact, in the next tool result. Because the store never leaves the device, retrieval is a purely local read: reversibility and data residency are the same property here—the original is recoverable precisely because it never crossed the provider boundary. The marker costs only a few tokens, and the tokenizer-validated gate (Invariant I5) ensures that no block is compressed if the marker alone would exceed the savings. A context tracker additionally monitors multi-turn sessions and can proactively expand previously compressed content when a new query is semantically related to it, so the model often finds what it needs without an explicit retrieval call.</w:t>
      </w:r>
    </w:p>
    <w:p w14:paraId="7C84BA83" w14:textId="77777777" w:rsidR="00802C9B" w:rsidRDefault="00000000">
      <w:pPr>
        <w:pStyle w:val="BodyText"/>
      </w:pPr>
      <w:r>
        <w:rPr>
          <w:b/>
          <w:sz w:val="16"/>
        </w:rPr>
        <w:t>Algorithm 1: Live-Zone Compression with CCR</w:t>
      </w:r>
    </w:p>
    <w:p w14:paraId="0AF42286" w14:textId="77777777" w:rsidR="00802C9B" w:rsidRDefault="00000000">
      <w:pPr>
        <w:pStyle w:val="BodyText"/>
      </w:pPr>
      <w:r>
        <w:rPr>
          <w:rFonts w:ascii="Consolas" w:hAnsi="Consolas"/>
          <w:sz w:val="15"/>
        </w:rPr>
        <w:t>Input: request body B, frozen count f, auth mode m, CCR store S</w:t>
      </w:r>
    </w:p>
    <w:p w14:paraId="52DD3230" w14:textId="77777777" w:rsidR="00802C9B" w:rsidRDefault="00000000">
      <w:pPr>
        <w:pStyle w:val="BodyText"/>
      </w:pPr>
      <w:r>
        <w:rPr>
          <w:rFonts w:ascii="Consolas" w:hAnsi="Consolas"/>
          <w:sz w:val="15"/>
        </w:rPr>
        <w:t>Output: modified body B′ or NoChange</w:t>
      </w:r>
    </w:p>
    <w:p w14:paraId="0ADB4E88" w14:textId="77777777" w:rsidR="00802C9B" w:rsidRDefault="00000000">
      <w:pPr>
        <w:pStyle w:val="BodyText"/>
      </w:pPr>
      <w:r>
        <w:rPr>
          <w:rFonts w:ascii="Consolas" w:hAnsi="Consolas"/>
          <w:sz w:val="15"/>
        </w:rPr>
        <w:t>1:  M ← messages(B)</w:t>
      </w:r>
    </w:p>
    <w:p w14:paraId="1A606AE2" w14:textId="77777777" w:rsidR="00802C9B" w:rsidRDefault="00000000">
      <w:pPr>
        <w:pStyle w:val="BodyText"/>
      </w:pPr>
      <w:r>
        <w:rPr>
          <w:rFonts w:ascii="Consolas" w:hAnsi="Consolas"/>
          <w:sz w:val="15"/>
        </w:rPr>
        <w:t>2:  i* ← max{ i ≥ f : M_i.role = “user” }</w:t>
      </w:r>
    </w:p>
    <w:p w14:paraId="7FF131C5" w14:textId="77777777" w:rsidR="00802C9B" w:rsidRDefault="00000000">
      <w:pPr>
        <w:pStyle w:val="BodyText"/>
      </w:pPr>
      <w:r>
        <w:rPr>
          <w:rFonts w:ascii="Consolas" w:hAnsi="Consolas"/>
          <w:sz w:val="15"/>
        </w:rPr>
        <w:t>3:  if i* = ∅ then return NoChange</w:t>
      </w:r>
    </w:p>
    <w:p w14:paraId="630F5251" w14:textId="77777777" w:rsidR="00802C9B" w:rsidRDefault="00000000">
      <w:pPr>
        <w:pStyle w:val="BodyText"/>
      </w:pPr>
      <w:r>
        <w:rPr>
          <w:rFonts w:ascii="Consolas" w:hAnsi="Consolas"/>
          <w:sz w:val="15"/>
        </w:rPr>
        <w:t>4:  slots ← plan_replacements(B, i*)</w:t>
      </w:r>
    </w:p>
    <w:p w14:paraId="5DD5E216" w14:textId="77777777" w:rsidR="00802C9B" w:rsidRDefault="00000000">
      <w:pPr>
        <w:pStyle w:val="BodyText"/>
      </w:pPr>
      <w:r>
        <w:rPr>
          <w:rFonts w:ascii="Consolas" w:hAnsi="Consolas"/>
          <w:sz w:val="15"/>
        </w:rPr>
        <w:t>5:  for each slot in slots do</w:t>
      </w:r>
    </w:p>
    <w:p w14:paraId="714F5F13" w14:textId="77777777" w:rsidR="00802C9B" w:rsidRDefault="00000000">
      <w:pPr>
        <w:pStyle w:val="BodyText"/>
      </w:pPr>
      <w:r>
        <w:rPr>
          <w:rFonts w:ascii="Consolas" w:hAnsi="Consolas"/>
          <w:sz w:val="15"/>
        </w:rPr>
        <w:t>6:      t ← detect_content_type(slot.text)</w:t>
      </w:r>
    </w:p>
    <w:p w14:paraId="0CFF4A20" w14:textId="77777777" w:rsidR="00802C9B" w:rsidRDefault="00000000">
      <w:pPr>
        <w:pStyle w:val="BodyText"/>
      </w:pPr>
      <w:r>
        <w:rPr>
          <w:rFonts w:ascii="Consolas" w:hAnsi="Consolas"/>
          <w:sz w:val="15"/>
        </w:rPr>
        <w:t>7:      if |slot.text| &lt; threshold(t) then continue</w:t>
      </w:r>
    </w:p>
    <w:p w14:paraId="38CB6898" w14:textId="77777777" w:rsidR="00802C9B" w:rsidRDefault="00000000">
      <w:pPr>
        <w:pStyle w:val="BodyText"/>
      </w:pPr>
      <w:r>
        <w:rPr>
          <w:rFonts w:ascii="Consolas" w:hAnsi="Consolas"/>
          <w:sz w:val="15"/>
        </w:rPr>
        <w:t>8:      c ← dispatch(slot.text, t)</w:t>
      </w:r>
    </w:p>
    <w:p w14:paraId="6E78672F" w14:textId="77777777" w:rsidR="00802C9B" w:rsidRDefault="00000000">
      <w:pPr>
        <w:pStyle w:val="BodyText"/>
      </w:pPr>
      <w:r>
        <w:rPr>
          <w:rFonts w:ascii="Consolas" w:hAnsi="Consolas"/>
          <w:sz w:val="15"/>
        </w:rPr>
        <w:t>9:      if c = ∅ then continue</w:t>
      </w:r>
    </w:p>
    <w:p w14:paraId="1C1B595B" w14:textId="77777777" w:rsidR="00802C9B" w:rsidRDefault="00000000">
      <w:pPr>
        <w:pStyle w:val="BodyText"/>
      </w:pPr>
      <w:r>
        <w:rPr>
          <w:rFonts w:ascii="Consolas" w:hAnsi="Consolas"/>
          <w:sz w:val="15"/>
        </w:rPr>
        <w:lastRenderedPageBreak/>
        <w:t>10:     h ← hash(slot.text)</w:t>
      </w:r>
    </w:p>
    <w:p w14:paraId="603FC575" w14:textId="77777777" w:rsidR="00802C9B" w:rsidRDefault="00000000">
      <w:pPr>
        <w:pStyle w:val="BodyText"/>
      </w:pPr>
      <w:r>
        <w:rPr>
          <w:rFonts w:ascii="Consolas" w:hAnsi="Consolas"/>
          <w:sz w:val="15"/>
        </w:rPr>
        <w:t>11:     c′ ← c ‖ marker(h)</w:t>
      </w:r>
    </w:p>
    <w:p w14:paraId="09870BB3" w14:textId="77777777" w:rsidR="00802C9B" w:rsidRDefault="00000000">
      <w:pPr>
        <w:pStyle w:val="BodyText"/>
      </w:pPr>
      <w:r>
        <w:rPr>
          <w:rFonts w:ascii="Consolas" w:hAnsi="Consolas"/>
          <w:sz w:val="15"/>
        </w:rPr>
        <w:t>12:     if tokens(c′) ≥ tokens(slot.text) then continue</w:t>
      </w:r>
    </w:p>
    <w:p w14:paraId="1CD87E9D" w14:textId="77777777" w:rsidR="00802C9B" w:rsidRDefault="00000000">
      <w:pPr>
        <w:pStyle w:val="BodyText"/>
      </w:pPr>
      <w:r>
        <w:rPr>
          <w:rFonts w:ascii="Consolas" w:hAnsi="Consolas"/>
          <w:sz w:val="15"/>
        </w:rPr>
        <w:t>13:     S.put(h, slot.text)</w:t>
      </w:r>
    </w:p>
    <w:p w14:paraId="387E036F" w14:textId="77777777" w:rsidR="00802C9B" w:rsidRDefault="00000000">
      <w:pPr>
        <w:pStyle w:val="BodyText"/>
      </w:pPr>
      <w:r>
        <w:rPr>
          <w:rFonts w:ascii="Consolas" w:hAnsi="Consolas"/>
          <w:sz w:val="15"/>
        </w:rPr>
        <w:t>14:     replacements ← replacements ∪ {(slot.range, c′)}</w:t>
      </w:r>
    </w:p>
    <w:p w14:paraId="55568E38" w14:textId="77777777" w:rsidR="00802C9B" w:rsidRDefault="00000000">
      <w:pPr>
        <w:pStyle w:val="BodyText"/>
      </w:pPr>
      <w:r>
        <w:rPr>
          <w:rFonts w:ascii="Consolas" w:hAnsi="Consolas"/>
          <w:sz w:val="15"/>
        </w:rPr>
        <w:t>15: if replacements = ∅ then return NoChange</w:t>
      </w:r>
    </w:p>
    <w:p w14:paraId="749ACC76" w14:textId="77777777" w:rsidR="00802C9B" w:rsidRDefault="00000000">
      <w:pPr>
        <w:pStyle w:val="BodyText"/>
      </w:pPr>
      <w:r>
        <w:rPr>
          <w:rFonts w:ascii="Consolas" w:hAnsi="Consolas"/>
          <w:sz w:val="15"/>
        </w:rPr>
        <w:t>16: B′ ← byte_surgery(B, replacements)</w:t>
      </w:r>
    </w:p>
    <w:p w14:paraId="71A2CE10" w14:textId="77777777" w:rsidR="00802C9B" w:rsidRDefault="00000000">
      <w:pPr>
        <w:pStyle w:val="BodyText"/>
      </w:pPr>
      <w:r>
        <w:rPr>
          <w:rFonts w:ascii="Consolas" w:hAnsi="Consolas"/>
          <w:sz w:val="15"/>
        </w:rPr>
        <w:t>17: return B′</w:t>
      </w:r>
    </w:p>
    <w:p w14:paraId="0DC83E1E" w14:textId="77777777" w:rsidR="00802C9B" w:rsidRDefault="00000000" w:rsidP="002F29E6">
      <w:pPr>
        <w:pStyle w:val="Heading1"/>
        <w:ind w:firstLine="0pt"/>
      </w:pPr>
      <w:r>
        <w:t>Implementation</w:t>
      </w:r>
    </w:p>
    <w:p w14:paraId="5603B394" w14:textId="77777777" w:rsidR="00802C9B" w:rsidRDefault="00000000">
      <w:pPr>
        <w:pStyle w:val="Heading2"/>
      </w:pPr>
      <w:r>
        <w:t>Multi-Language Architecture</w:t>
      </w:r>
    </w:p>
    <w:p w14:paraId="670D14D2" w14:textId="77777777" w:rsidR="00802C9B" w:rsidRDefault="00000000">
      <w:pPr>
        <w:pStyle w:val="BodyText"/>
      </w:pPr>
      <w:r>
        <w:t>IntelliContext's core is a compiled Rust workspace of several crates: a core library (compressors, tokenizer, CCR, content detection), a proxy (HTTP server, SSE parser, and native provider routes), language bindings, and a parity-test crate that compares the compiled and host implementations byte-for-byte. All compression engines—roughly 68,000 lines of Rust—compile into a single native module exposed to Python through a stable application binary interface (ABI) built with PyO3 and maturin. The module is constructed once per process and shared across threads behind an atomically reference-counted handle, which lets a single proxy compress concurrent requests without a Python fallback path. A host layer provides the command-line interface, agent-wrap shims, the MCP server, the telemetry aggregator, and a failure-mining subsystem.</w:t>
      </w:r>
    </w:p>
    <w:p w14:paraId="7BE4B73E" w14:textId="77777777" w:rsidR="00802C9B" w:rsidRDefault="00000000">
      <w:pPr>
        <w:pStyle w:val="Heading2"/>
      </w:pPr>
      <w:r>
        <w:t>Streaming State Machine</w:t>
      </w:r>
    </w:p>
    <w:p w14:paraId="1056C880" w14:textId="77777777" w:rsidR="00802C9B" w:rsidRDefault="00000000">
      <w:pPr>
        <w:pStyle w:val="BodyText"/>
      </w:pPr>
      <w:r>
        <w:t>Streaming responses use Server-Sent Events (SSE). Earlier implementations decoded incoming chunks while ignoring errors, silently dropping bytes of multi-byte Unicode characters split across TCP reads. The compiled SSE parser instead maintains a byte-level buffer, finds event boundaries in bytes, and decodes each complete event only after splitting, handling every provider delta type and eliminating the silent data loss of prior implementations.</w:t>
      </w:r>
    </w:p>
    <w:p w14:paraId="6C569D74" w14:textId="77777777" w:rsidR="00802C9B" w:rsidRDefault="00000000">
      <w:pPr>
        <w:pStyle w:val="Heading2"/>
      </w:pPr>
      <w:r>
        <w:t>Auth-Mode Policy</w:t>
      </w:r>
    </w:p>
    <w:p w14:paraId="51E36BDE" w14:textId="77777777" w:rsidR="00802C9B" w:rsidRDefault="00000000">
      <w:pPr>
        <w:pStyle w:val="BodyText"/>
      </w:pPr>
      <w:r>
        <w:t>A classifier assigns each request to one of three modes—pay-as-you-go (API key), OAuth (bearer token), or subscription (seat)—and this classification drives the compression-policy matrix in Table III. The subscription stealth posture (no injected headers, preserved accept-encoding, unmodified user-agent) makes subscription traffic indistinguishable from unproxied traffic, protecting against fingerprinting.</w:t>
      </w:r>
    </w:p>
    <w:p w14:paraId="1CADFFBD" w14:textId="77777777" w:rsidR="00802C9B" w:rsidRDefault="00000000">
      <w:pPr>
        <w:pStyle w:val="tablehead"/>
      </w:pPr>
      <w:r>
        <w:t>TABLE III</w:t>
      </w:r>
      <w:r>
        <w:br/>
        <w:t>Auth-Mode Compression Policy Matrix</w:t>
      </w:r>
    </w:p>
    <w:tbl>
      <w:tblPr>
        <w:tblW w:w="241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2321"/>
        <w:gridCol w:w="803"/>
        <w:gridCol w:w="803"/>
        <w:gridCol w:w="893"/>
      </w:tblGrid>
      <w:tr w:rsidR="00802C9B" w14:paraId="348944EC" w14:textId="77777777">
        <w:trPr>
          <w:cantSplit/>
          <w:tblHeader/>
          <w:jc w:val="center"/>
        </w:trPr>
        <w:tc>
          <w:tcPr>
            <w:tcW w:w="116.05pt" w:type="dxa"/>
            <w:vAlign w:val="center"/>
          </w:tcPr>
          <w:p w14:paraId="5A38B233" w14:textId="77777777" w:rsidR="00802C9B" w:rsidRDefault="00000000">
            <w:pPr>
              <w:pStyle w:val="tablecolhead"/>
            </w:pPr>
            <w:r>
              <w:t>Policy</w:t>
            </w:r>
          </w:p>
        </w:tc>
        <w:tc>
          <w:tcPr>
            <w:tcW w:w="40.15pt" w:type="dxa"/>
            <w:vAlign w:val="center"/>
          </w:tcPr>
          <w:p w14:paraId="4C1945BD" w14:textId="77777777" w:rsidR="00802C9B" w:rsidRDefault="00000000">
            <w:pPr>
              <w:pStyle w:val="tablecolhead"/>
            </w:pPr>
            <w:r>
              <w:t>PAYG</w:t>
            </w:r>
          </w:p>
        </w:tc>
        <w:tc>
          <w:tcPr>
            <w:tcW w:w="40.15pt" w:type="dxa"/>
            <w:vAlign w:val="center"/>
          </w:tcPr>
          <w:p w14:paraId="00953D21" w14:textId="77777777" w:rsidR="00802C9B" w:rsidRDefault="00000000">
            <w:pPr>
              <w:pStyle w:val="tablecolhead"/>
            </w:pPr>
            <w:r>
              <w:t>OAuth</w:t>
            </w:r>
          </w:p>
        </w:tc>
        <w:tc>
          <w:tcPr>
            <w:tcW w:w="44.65pt" w:type="dxa"/>
            <w:vAlign w:val="center"/>
          </w:tcPr>
          <w:p w14:paraId="7856C9D1" w14:textId="77777777" w:rsidR="00802C9B" w:rsidRDefault="00000000">
            <w:pPr>
              <w:pStyle w:val="tablecolhead"/>
            </w:pPr>
            <w:r>
              <w:t>Subscr.</w:t>
            </w:r>
          </w:p>
        </w:tc>
      </w:tr>
      <w:tr w:rsidR="00802C9B" w14:paraId="399EC6FD" w14:textId="77777777">
        <w:trPr>
          <w:jc w:val="center"/>
        </w:trPr>
        <w:tc>
          <w:tcPr>
            <w:tcW w:w="116.05pt" w:type="dxa"/>
            <w:vAlign w:val="center"/>
          </w:tcPr>
          <w:p w14:paraId="1125E9A1" w14:textId="77777777" w:rsidR="00802C9B" w:rsidRDefault="00000000">
            <w:pPr>
              <w:pStyle w:val="tablecopy"/>
              <w:jc w:val="start"/>
            </w:pPr>
            <w:r>
              <w:t>Lossy compression</w:t>
            </w:r>
          </w:p>
        </w:tc>
        <w:tc>
          <w:tcPr>
            <w:tcW w:w="40.15pt" w:type="dxa"/>
            <w:vAlign w:val="center"/>
          </w:tcPr>
          <w:p w14:paraId="76807B6F" w14:textId="77777777" w:rsidR="00802C9B" w:rsidRDefault="00000000">
            <w:pPr>
              <w:pStyle w:val="tablecopy"/>
              <w:jc w:val="center"/>
            </w:pPr>
            <w:r>
              <w:t>Yes</w:t>
            </w:r>
          </w:p>
        </w:tc>
        <w:tc>
          <w:tcPr>
            <w:tcW w:w="40.15pt" w:type="dxa"/>
            <w:vAlign w:val="center"/>
          </w:tcPr>
          <w:p w14:paraId="3A0C4923" w14:textId="77777777" w:rsidR="00802C9B" w:rsidRDefault="00000000">
            <w:pPr>
              <w:pStyle w:val="tablecopy"/>
              <w:jc w:val="center"/>
            </w:pPr>
            <w:r>
              <w:t>No</w:t>
            </w:r>
          </w:p>
        </w:tc>
        <w:tc>
          <w:tcPr>
            <w:tcW w:w="44.65pt" w:type="dxa"/>
            <w:vAlign w:val="center"/>
          </w:tcPr>
          <w:p w14:paraId="045E8847" w14:textId="77777777" w:rsidR="00802C9B" w:rsidRDefault="00000000">
            <w:pPr>
              <w:pStyle w:val="tablecopy"/>
              <w:jc w:val="center"/>
            </w:pPr>
            <w:r>
              <w:t>No</w:t>
            </w:r>
          </w:p>
        </w:tc>
      </w:tr>
      <w:tr w:rsidR="00802C9B" w14:paraId="70D49F3F" w14:textId="77777777">
        <w:trPr>
          <w:jc w:val="center"/>
        </w:trPr>
        <w:tc>
          <w:tcPr>
            <w:tcW w:w="116.05pt" w:type="dxa"/>
            <w:vAlign w:val="center"/>
          </w:tcPr>
          <w:p w14:paraId="1B449E6C" w14:textId="77777777" w:rsidR="00802C9B" w:rsidRDefault="00000000">
            <w:pPr>
              <w:pStyle w:val="tablecopy"/>
              <w:jc w:val="start"/>
            </w:pPr>
            <w:r>
              <w:t>Auto cache-control</w:t>
            </w:r>
          </w:p>
        </w:tc>
        <w:tc>
          <w:tcPr>
            <w:tcW w:w="40.15pt" w:type="dxa"/>
            <w:vAlign w:val="center"/>
          </w:tcPr>
          <w:p w14:paraId="327E45CA" w14:textId="77777777" w:rsidR="00802C9B" w:rsidRDefault="00000000">
            <w:pPr>
              <w:pStyle w:val="tablecopy"/>
              <w:jc w:val="center"/>
            </w:pPr>
            <w:r>
              <w:t>Yes</w:t>
            </w:r>
          </w:p>
        </w:tc>
        <w:tc>
          <w:tcPr>
            <w:tcW w:w="40.15pt" w:type="dxa"/>
            <w:vAlign w:val="center"/>
          </w:tcPr>
          <w:p w14:paraId="314824D5" w14:textId="77777777" w:rsidR="00802C9B" w:rsidRDefault="00000000">
            <w:pPr>
              <w:pStyle w:val="tablecopy"/>
              <w:jc w:val="center"/>
            </w:pPr>
            <w:r>
              <w:t>No</w:t>
            </w:r>
          </w:p>
        </w:tc>
        <w:tc>
          <w:tcPr>
            <w:tcW w:w="44.65pt" w:type="dxa"/>
            <w:vAlign w:val="center"/>
          </w:tcPr>
          <w:p w14:paraId="37B9E00A" w14:textId="77777777" w:rsidR="00802C9B" w:rsidRDefault="00000000">
            <w:pPr>
              <w:pStyle w:val="tablecopy"/>
              <w:jc w:val="center"/>
            </w:pPr>
            <w:r>
              <w:t>No</w:t>
            </w:r>
          </w:p>
        </w:tc>
      </w:tr>
      <w:tr w:rsidR="00802C9B" w14:paraId="57EF0CC5" w14:textId="77777777">
        <w:trPr>
          <w:jc w:val="center"/>
        </w:trPr>
        <w:tc>
          <w:tcPr>
            <w:tcW w:w="116.05pt" w:type="dxa"/>
            <w:vAlign w:val="center"/>
          </w:tcPr>
          <w:p w14:paraId="27EE15E5" w14:textId="77777777" w:rsidR="00802C9B" w:rsidRDefault="00000000">
            <w:pPr>
              <w:pStyle w:val="tablecopy"/>
              <w:jc w:val="start"/>
            </w:pPr>
            <w:r>
              <w:t>CCR enabled</w:t>
            </w:r>
          </w:p>
        </w:tc>
        <w:tc>
          <w:tcPr>
            <w:tcW w:w="40.15pt" w:type="dxa"/>
            <w:vAlign w:val="center"/>
          </w:tcPr>
          <w:p w14:paraId="73CABC25" w14:textId="77777777" w:rsidR="00802C9B" w:rsidRDefault="00000000">
            <w:pPr>
              <w:pStyle w:val="tablecopy"/>
              <w:jc w:val="center"/>
            </w:pPr>
            <w:r>
              <w:t>Yes</w:t>
            </w:r>
          </w:p>
        </w:tc>
        <w:tc>
          <w:tcPr>
            <w:tcW w:w="40.15pt" w:type="dxa"/>
            <w:vAlign w:val="center"/>
          </w:tcPr>
          <w:p w14:paraId="43A0BBFF" w14:textId="77777777" w:rsidR="00802C9B" w:rsidRDefault="00000000">
            <w:pPr>
              <w:pStyle w:val="tablecopy"/>
              <w:jc w:val="center"/>
            </w:pPr>
            <w:r>
              <w:t>Yes</w:t>
            </w:r>
          </w:p>
        </w:tc>
        <w:tc>
          <w:tcPr>
            <w:tcW w:w="44.65pt" w:type="dxa"/>
            <w:vAlign w:val="center"/>
          </w:tcPr>
          <w:p w14:paraId="0858F657" w14:textId="77777777" w:rsidR="00802C9B" w:rsidRDefault="00000000">
            <w:pPr>
              <w:pStyle w:val="tablecopy"/>
              <w:jc w:val="center"/>
            </w:pPr>
            <w:r>
              <w:t>Yes</w:t>
            </w:r>
          </w:p>
        </w:tc>
      </w:tr>
      <w:tr w:rsidR="00802C9B" w14:paraId="16958852" w14:textId="77777777">
        <w:trPr>
          <w:jc w:val="center"/>
        </w:trPr>
        <w:tc>
          <w:tcPr>
            <w:tcW w:w="116.05pt" w:type="dxa"/>
            <w:vAlign w:val="center"/>
          </w:tcPr>
          <w:p w14:paraId="08C9BF01" w14:textId="77777777" w:rsidR="00802C9B" w:rsidRDefault="00000000">
            <w:pPr>
              <w:pStyle w:val="tablecopy"/>
              <w:jc w:val="start"/>
            </w:pPr>
            <w:r>
              <w:t>X-Forwarded-* upstream</w:t>
            </w:r>
          </w:p>
        </w:tc>
        <w:tc>
          <w:tcPr>
            <w:tcW w:w="40.15pt" w:type="dxa"/>
            <w:vAlign w:val="center"/>
          </w:tcPr>
          <w:p w14:paraId="3EB1503F" w14:textId="77777777" w:rsidR="00802C9B" w:rsidRDefault="00000000">
            <w:pPr>
              <w:pStyle w:val="tablecopy"/>
              <w:jc w:val="center"/>
            </w:pPr>
            <w:r>
              <w:t>Yes</w:t>
            </w:r>
          </w:p>
        </w:tc>
        <w:tc>
          <w:tcPr>
            <w:tcW w:w="40.15pt" w:type="dxa"/>
            <w:vAlign w:val="center"/>
          </w:tcPr>
          <w:p w14:paraId="33605448" w14:textId="77777777" w:rsidR="00802C9B" w:rsidRDefault="00000000">
            <w:pPr>
              <w:pStyle w:val="tablecopy"/>
              <w:jc w:val="center"/>
            </w:pPr>
            <w:r>
              <w:t>Yes</w:t>
            </w:r>
          </w:p>
        </w:tc>
        <w:tc>
          <w:tcPr>
            <w:tcW w:w="44.65pt" w:type="dxa"/>
            <w:vAlign w:val="center"/>
          </w:tcPr>
          <w:p w14:paraId="118E2E5E" w14:textId="77777777" w:rsidR="00802C9B" w:rsidRDefault="00000000">
            <w:pPr>
              <w:pStyle w:val="tablecopy"/>
              <w:jc w:val="center"/>
            </w:pPr>
            <w:r>
              <w:t>No</w:t>
            </w:r>
          </w:p>
        </w:tc>
      </w:tr>
      <w:tr w:rsidR="00802C9B" w14:paraId="3E4AB97E" w14:textId="77777777">
        <w:trPr>
          <w:jc w:val="center"/>
        </w:trPr>
        <w:tc>
          <w:tcPr>
            <w:tcW w:w="116.05pt" w:type="dxa"/>
            <w:vAlign w:val="center"/>
          </w:tcPr>
          <w:p w14:paraId="019B5FCD" w14:textId="77777777" w:rsidR="00802C9B" w:rsidRDefault="00000000">
            <w:pPr>
              <w:pStyle w:val="tablecopy"/>
              <w:jc w:val="start"/>
            </w:pPr>
            <w:r>
              <w:t>Accept-encoding strip</w:t>
            </w:r>
          </w:p>
        </w:tc>
        <w:tc>
          <w:tcPr>
            <w:tcW w:w="40.15pt" w:type="dxa"/>
            <w:vAlign w:val="center"/>
          </w:tcPr>
          <w:p w14:paraId="40B6DCD1" w14:textId="77777777" w:rsidR="00802C9B" w:rsidRDefault="00000000">
            <w:pPr>
              <w:pStyle w:val="tablecopy"/>
              <w:jc w:val="center"/>
            </w:pPr>
            <w:r>
              <w:t>Yes</w:t>
            </w:r>
          </w:p>
        </w:tc>
        <w:tc>
          <w:tcPr>
            <w:tcW w:w="40.15pt" w:type="dxa"/>
            <w:vAlign w:val="center"/>
          </w:tcPr>
          <w:p w14:paraId="4242113F" w14:textId="77777777" w:rsidR="00802C9B" w:rsidRDefault="00000000">
            <w:pPr>
              <w:pStyle w:val="tablecopy"/>
              <w:jc w:val="center"/>
            </w:pPr>
            <w:r>
              <w:t>Yes</w:t>
            </w:r>
          </w:p>
        </w:tc>
        <w:tc>
          <w:tcPr>
            <w:tcW w:w="44.65pt" w:type="dxa"/>
            <w:vAlign w:val="center"/>
          </w:tcPr>
          <w:p w14:paraId="7B9C8296" w14:textId="77777777" w:rsidR="00802C9B" w:rsidRDefault="00000000">
            <w:pPr>
              <w:pStyle w:val="tablecopy"/>
              <w:jc w:val="center"/>
            </w:pPr>
            <w:r>
              <w:t>No</w:t>
            </w:r>
          </w:p>
        </w:tc>
      </w:tr>
      <w:tr w:rsidR="00802C9B" w14:paraId="0865872E" w14:textId="77777777">
        <w:trPr>
          <w:jc w:val="center"/>
        </w:trPr>
        <w:tc>
          <w:tcPr>
            <w:tcW w:w="116.05pt" w:type="dxa"/>
            <w:vAlign w:val="center"/>
          </w:tcPr>
          <w:p w14:paraId="53BADA22" w14:textId="77777777" w:rsidR="00802C9B" w:rsidRDefault="00000000">
            <w:pPr>
              <w:pStyle w:val="tablecopy"/>
              <w:jc w:val="start"/>
            </w:pPr>
            <w:r>
              <w:t>User-Agent rewrite</w:t>
            </w:r>
          </w:p>
        </w:tc>
        <w:tc>
          <w:tcPr>
            <w:tcW w:w="40.15pt" w:type="dxa"/>
            <w:vAlign w:val="center"/>
          </w:tcPr>
          <w:p w14:paraId="424F2F81" w14:textId="77777777" w:rsidR="00802C9B" w:rsidRDefault="00000000">
            <w:pPr>
              <w:pStyle w:val="tablecopy"/>
              <w:jc w:val="center"/>
            </w:pPr>
            <w:r>
              <w:t>No</w:t>
            </w:r>
          </w:p>
        </w:tc>
        <w:tc>
          <w:tcPr>
            <w:tcW w:w="40.15pt" w:type="dxa"/>
            <w:vAlign w:val="center"/>
          </w:tcPr>
          <w:p w14:paraId="72DE49F1" w14:textId="77777777" w:rsidR="00802C9B" w:rsidRDefault="00000000">
            <w:pPr>
              <w:pStyle w:val="tablecopy"/>
              <w:jc w:val="center"/>
            </w:pPr>
            <w:r>
              <w:t>No</w:t>
            </w:r>
          </w:p>
        </w:tc>
        <w:tc>
          <w:tcPr>
            <w:tcW w:w="44.65pt" w:type="dxa"/>
            <w:vAlign w:val="center"/>
          </w:tcPr>
          <w:p w14:paraId="54C799D6" w14:textId="77777777" w:rsidR="00802C9B" w:rsidRDefault="00000000">
            <w:pPr>
              <w:pStyle w:val="tablecopy"/>
              <w:jc w:val="center"/>
            </w:pPr>
            <w:r>
              <w:t>No</w:t>
            </w:r>
          </w:p>
        </w:tc>
      </w:tr>
    </w:tbl>
    <w:p w14:paraId="39FF9A6C" w14:textId="77777777" w:rsidR="00802C9B" w:rsidRDefault="00802C9B">
      <w:pPr>
        <w:rPr>
          <w:sz w:val="8"/>
        </w:rPr>
      </w:pPr>
    </w:p>
    <w:p w14:paraId="1DD3E93E" w14:textId="77777777" w:rsidR="00802C9B" w:rsidRDefault="00000000">
      <w:pPr>
        <w:pStyle w:val="Heading2"/>
      </w:pPr>
      <w:r>
        <w:t>Deployment Surfaces</w:t>
      </w:r>
    </w:p>
    <w:p w14:paraId="65A7B85A" w14:textId="77777777" w:rsidR="00802C9B" w:rsidRDefault="00000000">
      <w:pPr>
        <w:pStyle w:val="BodyText"/>
      </w:pPr>
      <w:r>
        <w:t xml:space="preserve">The same core is exposed through three packaging surfaces so that it drops into existing stacks unchanged. As a </w:t>
      </w:r>
      <w:r>
        <w:rPr>
          <w:b/>
        </w:rPr>
        <w:t>proxy</w:t>
      </w:r>
      <w:r>
        <w:t xml:space="preserve"> it is a transparent HTTPS endpoint that any OpenAI- or Anthropic-compatible client reaches by a single base-URL change. As an </w:t>
      </w:r>
      <w:r>
        <w:rPr>
          <w:b/>
        </w:rPr>
        <w:t>inline library</w:t>
      </w:r>
      <w:r>
        <w:t xml:space="preserve"> it is a direct call that agent </w:t>
      </w:r>
      <w:r>
        <w:t xml:space="preserve">frameworks bind through thin, ABI-stable adapters. As an </w:t>
      </w:r>
      <w:r>
        <w:rPr>
          <w:b/>
        </w:rPr>
        <w:t>MCP server</w:t>
      </w:r>
      <w:r>
        <w:t xml:space="preserve"> it exposes compression, retrieval, and statistics tools to any Model Context Protocol client. These surfaces are how the engine is </w:t>
      </w:r>
      <w:r>
        <w:rPr>
          <w:i/>
        </w:rPr>
        <w:t>shipped</w:t>
      </w:r>
      <w:r>
        <w:t xml:space="preserve">; how it is </w:t>
      </w:r>
      <w:r>
        <w:rPr>
          <w:i/>
        </w:rPr>
        <w:t>wired into an agent's data flow</w:t>
      </w:r>
      <w:r>
        <w:t>—and what each wiring is allowed to compress—is the subject of Section IX.</w:t>
      </w:r>
    </w:p>
    <w:p w14:paraId="6E5843D0" w14:textId="77777777" w:rsidR="00802C9B" w:rsidRDefault="00000000">
      <w:pPr>
        <w:pStyle w:val="Heading2"/>
      </w:pPr>
      <w:r>
        <w:t>Enterprise Deployment and Integration</w:t>
      </w:r>
    </w:p>
    <w:p w14:paraId="4B2E6AB6" w14:textId="77777777" w:rsidR="00802C9B" w:rsidRDefault="00000000">
      <w:pPr>
        <w:pStyle w:val="BodyText"/>
      </w:pPr>
      <w:r>
        <w:t>In a managed enterprise setting, IntelliContext runs entirely inside the organisation's own environment as a local-first layer between the agent and the approved model gateway. The integration edge is a single local proxy that presents an OpenAI- and Anthropic-compatible API; clients change only their base URL, so existing tools—integrated-development-environment assistants and terminal agents that already accept a bring-your-own-key configuration—route through the layer transparently and keep their own credentials and approval flows. The layer adds no new identity and stores no keys of its own: it forwards the caller's existing authentication to the gateway, which remains the sole egress. Original content, cached bytes, and telemetry never leave the environment; the only outbound traffic is the compressed request through that approved gateway. Packaging supports air-gapped installation from an internal package index in four forms—an ABI-stable Python wheel, the native core module, a standalone proxy binary with no Python dependency, and a distroless container image—so the layer fits existing signed-artifact and change-control processes without a public dependency fetch.</w:t>
      </w:r>
    </w:p>
    <w:p w14:paraId="4EC0B463" w14:textId="77777777" w:rsidR="00802C9B" w:rsidRDefault="00000000">
      <w:pPr>
        <w:pStyle w:val="Heading2"/>
      </w:pPr>
      <w:r>
        <w:t>Observability and Operational Control</w:t>
      </w:r>
    </w:p>
    <w:p w14:paraId="51D525DC" w14:textId="77777777" w:rsidR="00802C9B" w:rsidRDefault="00000000">
      <w:pPr>
        <w:pStyle w:val="BodyText"/>
      </w:pPr>
      <w:r>
        <w:t>Because the layer sits on the critical request path, it is built to be observable with the organisation's existing tooling. The proxy serves liveness and readiness probes and a per-request statistics endpoint, and exposes a metrics endpoint in the Prometheus scrape format so that compression and savings appear in existing dashboards without adapters. A durable savings ledger records the input tokens avoided per model, from which a command-line tool reports lifetime savings, and a companion diagnostic command verifies proxy health and client routing in a single step. An optional budget guard enforces a configurable spend cap, allowing operators to bound cost exposure. Consistent with Invariant I9, all of this machinery observes and reports; none of it alters a request-time compression decision.</w:t>
      </w:r>
    </w:p>
    <w:p w14:paraId="791A5856" w14:textId="77777777" w:rsidR="00802C9B" w:rsidRDefault="00000000">
      <w:pPr>
        <w:pStyle w:val="Heading2"/>
      </w:pPr>
      <w:r>
        <w:t>Security and Data Governance</w:t>
      </w:r>
    </w:p>
    <w:p w14:paraId="02BBDF45" w14:textId="77777777" w:rsidR="00802C9B" w:rsidRDefault="00000000">
      <w:pPr>
        <w:pStyle w:val="BodyText"/>
      </w:pPr>
      <w:r>
        <w:t xml:space="preserve">The CCR store holds original, uncompressed content, which may include sensitive code or business data, and is protected by four controls. </w:t>
      </w:r>
      <w:r>
        <w:rPr>
          <w:b/>
        </w:rPr>
        <w:t>Encryption at rest:</w:t>
      </w:r>
      <w:r>
        <w:t xml:space="preserve"> local stores are encrypted with AES-256-GCM using a per-session key derived from the session identifier and held only in process memory; Redis deployments require TLS with certificate pinning. </w:t>
      </w:r>
      <w:r>
        <w:rPr>
          <w:b/>
        </w:rPr>
        <w:t>Access control:</w:t>
      </w:r>
      <w:r>
        <w:t xml:space="preserve"> in proxy mode the store socket is bound to the loopback interface with restrictive file-system permissions, and the retrieval tool requires the session identifier, preventing cross-session reads. </w:t>
      </w:r>
      <w:r>
        <w:rPr>
          <w:b/>
        </w:rPr>
        <w:t>Retention:</w:t>
      </w:r>
      <w:r>
        <w:t xml:space="preserve"> the default time-to-live is a sliding window reset on each access, and all entries for a session are purged on close; persistence is opt-in. </w:t>
      </w:r>
      <w:r>
        <w:rPr>
          <w:b/>
        </w:rPr>
        <w:t>Provenance:</w:t>
      </w:r>
      <w:r>
        <w:t xml:space="preserve"> the workload traces used in evaluation were collected with operator consent and pseudonymised before use, with hostnames, user names, project names, and identifying paths replaced by deterministic placeholder tokens.</w:t>
      </w:r>
    </w:p>
    <w:p w14:paraId="7C710F7D" w14:textId="77777777" w:rsidR="00802C9B" w:rsidRDefault="00000000">
      <w:pPr>
        <w:pStyle w:val="Heading1"/>
      </w:pPr>
      <w:r>
        <w:lastRenderedPageBreak/>
        <w:t>Integration Modes and Portability</w:t>
      </w:r>
    </w:p>
    <w:p w14:paraId="186C1BCF" w14:textId="77777777" w:rsidR="00802C9B" w:rsidRDefault="00000000">
      <w:pPr>
        <w:pStyle w:val="BodyText"/>
      </w:pPr>
      <w:r>
        <w:t xml:space="preserve">The engine of Sections IV–VII is deliberately unaware of how it is invoked, which lets one implementation serve several agent harnesses. Context is admitted through one of three pluggable integration modes, governed by a single rule: </w:t>
      </w:r>
      <w:r>
        <w:rPr>
          <w:i/>
        </w:rPr>
        <w:t>a mode can only compress what it can see</w:t>
      </w:r>
      <w:r>
        <w:t xml:space="preserve">. The scope a mode observes decides which engine stages are even reachable, so choosing a mode is choosing a scope. Across all three, every original is written to the local content-addressed store and what crosses to the provider is compressed text plus a </w:t>
      </w:r>
      <w:r>
        <w:rPr>
          <w:rFonts w:ascii="Consolas" w:hAnsi="Consolas"/>
        </w:rPr>
        <w:t>&lt;&lt;ccr:HASH&gt;&gt;</w:t>
      </w:r>
      <w:r>
        <w:t xml:space="preserve"> marker; retrieval is a local read (Section VII). No original and no credential leaves the device in either direction.</w:t>
      </w:r>
    </w:p>
    <w:p w14:paraId="0673A61A" w14:textId="77777777" w:rsidR="00802C9B" w:rsidRDefault="00000000">
      <w:pPr>
        <w:pStyle w:val="Heading2"/>
      </w:pPr>
      <w:r>
        <w:t>Mode 1 — HTTP Proxy (Whole Request)</w:t>
      </w:r>
    </w:p>
    <w:p w14:paraId="1DB7D504" w14:textId="77777777" w:rsidR="00802C9B" w:rsidRDefault="00000000">
      <w:pPr>
        <w:pStyle w:val="BodyText"/>
      </w:pPr>
      <w:r>
        <w:t>The proxy sits at the API boundary and optimises the complete request on its way to the provider; the application points its base URL at a local endpoint and nothing else changes. It is the only mode that sees everything—the system prompt, the full message history, every tool result already in context, and the tools array—so it is the only mode that can run the complete pipeline: receive the provider-shaped body, let CacheAligner stabilise the prefix, let the ContentRouter classify and dispatch each block, write originals to CCR and emit markers, apply Output Shaper verbosity steering and optional effort routing, and forward upstream. Its trade-off is reach versus timing: maximum reach, but the latest possible interception—a large tool result has already entered the message history by the time the proxy sees it, so the proxy cleans up context rather than preventing it. The proxy is the right answer when the client cannot be modified at all.</w:t>
      </w:r>
    </w:p>
    <w:p w14:paraId="3073BC51" w14:textId="77777777" w:rsidR="00802C9B" w:rsidRDefault="00000000">
      <w:pPr>
        <w:pStyle w:val="Heading2"/>
      </w:pPr>
      <w:r>
        <w:t>Mode 2 — Runtime Hooks (Lifecycle Events)</w:t>
      </w:r>
    </w:p>
    <w:p w14:paraId="630C3C4D" w14:textId="77777777" w:rsidR="00802C9B" w:rsidRDefault="00000000">
      <w:pPr>
        <w:pStyle w:val="BodyText"/>
      </w:pPr>
      <w:r>
        <w:t xml:space="preserve">Runtime hooks attach compression to the harness's own lifecycle events. This is not one interception point but a family: every place where context enters or leaves a conversation is a hook event, and the five hook types together cover the whole turn (Table IV). Two </w:t>
      </w:r>
      <w:r>
        <w:rPr>
          <w:i/>
        </w:rPr>
        <w:t>injection</w:t>
      </w:r>
      <w:r>
        <w:t xml:space="preserve"> types add already-compressed context—session memory at start and pasted logs or documents at prompt time. Two </w:t>
      </w:r>
      <w:r>
        <w:rPr>
          <w:i/>
        </w:rPr>
        <w:t>rewrite</w:t>
      </w:r>
      <w:r>
        <w:t xml:space="preserve"> types transform tool traffic in place: PreToolUse rewrites the command so its output is born small, while PostToolUse compresses the result after the fact and mints its </w:t>
      </w:r>
      <w:r>
        <w:rPr>
          <w:rFonts w:ascii="Consolas" w:hAnsi="Consolas"/>
        </w:rPr>
        <w:t>&lt;&lt;ccr:hash&gt;&gt;</w:t>
      </w:r>
      <w:r>
        <w:t xml:space="preserve">. One </w:t>
      </w:r>
      <w:r>
        <w:rPr>
          <w:i/>
        </w:rPr>
        <w:t>compaction</w:t>
      </w:r>
      <w:r>
        <w:t xml:space="preserve"> type, PreCompact, compresses conversation history into the CCR store instead of dropping it, so a compacted session stays recoverable. A proxy sees a 100 KB tool output only once it is already part of the request; PostToolUse sees it one step earlier—the difference between preventing context bloat and cleaning it up.</w:t>
      </w:r>
    </w:p>
    <w:p w14:paraId="67723DBF" w14:textId="77777777" w:rsidR="00802C9B" w:rsidRDefault="00000000">
      <w:pPr>
        <w:pStyle w:val="BodyText"/>
      </w:pPr>
      <w:r>
        <w:t xml:space="preserve">The harness column of Table IV is load-bearing for portability. Some hosts, such as the VS Code agent, expose a PostToolUse hook that can only </w:t>
      </w:r>
      <w:r>
        <w:rPr>
          <w:i/>
        </w:rPr>
        <w:t>append</w:t>
      </w:r>
      <w:r>
        <w:t xml:space="preserve"> context and has no result-replacement field. The input-rewriting PreToolUse type exists precisely to reach the same outcome from the other side—it turns </w:t>
      </w:r>
      <w:r>
        <w:rPr>
          <w:rFonts w:ascii="Consolas" w:hAnsi="Consolas"/>
        </w:rPr>
        <w:t>npm test</w:t>
      </w:r>
      <w:r>
        <w:t xml:space="preserve"> into a wrapped </w:t>
      </w:r>
      <w:r>
        <w:rPr>
          <w:rFonts w:ascii="Consolas" w:hAnsi="Consolas"/>
        </w:rPr>
        <w:t>cil-run npm test</w:t>
      </w:r>
      <w:r>
        <w:t xml:space="preserve"> whose child output is compressed internally while the exit code is preserved—so the large output is never produced at full size and there is nothing to replace. It is the one member of the family that works everywhere, which is what makes hook-based integration portable rather than harness-specific.</w:t>
      </w:r>
    </w:p>
    <w:p w14:paraId="24B7B82F" w14:textId="77777777" w:rsidR="00802C9B" w:rsidRDefault="00000000">
      <w:pPr>
        <w:pStyle w:val="tablehead"/>
      </w:pPr>
      <w:r>
        <w:t>TABLE IV</w:t>
      </w:r>
      <w:r>
        <w:br/>
        <w:t>The Runtime-Hook Family on One Agent Turn</w:t>
      </w:r>
    </w:p>
    <w:tbl>
      <w:tblPr>
        <w:tblW w:w="241.05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106"/>
        <w:gridCol w:w="1106"/>
        <w:gridCol w:w="1503"/>
        <w:gridCol w:w="1106"/>
      </w:tblGrid>
      <w:tr w:rsidR="00802C9B" w14:paraId="10F6504A" w14:textId="77777777">
        <w:trPr>
          <w:cantSplit/>
          <w:tblHeader/>
          <w:jc w:val="center"/>
        </w:trPr>
        <w:tc>
          <w:tcPr>
            <w:tcW w:w="55.30pt" w:type="dxa"/>
            <w:vAlign w:val="center"/>
          </w:tcPr>
          <w:p w14:paraId="372196DA" w14:textId="77777777" w:rsidR="00802C9B" w:rsidRDefault="00000000">
            <w:pPr>
              <w:pStyle w:val="tablecolhead"/>
            </w:pPr>
            <w:r>
              <w:t>Hook event</w:t>
            </w:r>
          </w:p>
        </w:tc>
        <w:tc>
          <w:tcPr>
            <w:tcW w:w="55.30pt" w:type="dxa"/>
            <w:vAlign w:val="center"/>
          </w:tcPr>
          <w:p w14:paraId="1EA4F061" w14:textId="77777777" w:rsidR="00802C9B" w:rsidRDefault="00000000">
            <w:pPr>
              <w:pStyle w:val="tablecolhead"/>
            </w:pPr>
            <w:r>
              <w:t>Mechanism</w:t>
            </w:r>
          </w:p>
        </w:tc>
        <w:tc>
          <w:tcPr>
            <w:tcW w:w="75.15pt" w:type="dxa"/>
            <w:vAlign w:val="center"/>
          </w:tcPr>
          <w:p w14:paraId="38A68225" w14:textId="77777777" w:rsidR="00802C9B" w:rsidRDefault="00000000">
            <w:pPr>
              <w:pStyle w:val="tablecolhead"/>
            </w:pPr>
            <w:r>
              <w:t>What it compresses</w:t>
            </w:r>
          </w:p>
        </w:tc>
        <w:tc>
          <w:tcPr>
            <w:tcW w:w="55.30pt" w:type="dxa"/>
            <w:vAlign w:val="center"/>
          </w:tcPr>
          <w:p w14:paraId="66DB952A" w14:textId="77777777" w:rsidR="00802C9B" w:rsidRDefault="00000000">
            <w:pPr>
              <w:pStyle w:val="tablecolhead"/>
            </w:pPr>
            <w:r>
              <w:t>Harnesses</w:t>
            </w:r>
          </w:p>
        </w:tc>
      </w:tr>
      <w:tr w:rsidR="00802C9B" w14:paraId="6126C16C" w14:textId="77777777">
        <w:trPr>
          <w:jc w:val="center"/>
        </w:trPr>
        <w:tc>
          <w:tcPr>
            <w:tcW w:w="55.30pt" w:type="dxa"/>
            <w:vAlign w:val="center"/>
          </w:tcPr>
          <w:p w14:paraId="5472ED2A" w14:textId="77777777" w:rsidR="00802C9B" w:rsidRDefault="00000000">
            <w:pPr>
              <w:pStyle w:val="tablecopy"/>
              <w:jc w:val="start"/>
            </w:pPr>
            <w:r>
              <w:t>SessionStart</w:t>
            </w:r>
          </w:p>
        </w:tc>
        <w:tc>
          <w:tcPr>
            <w:tcW w:w="55.30pt" w:type="dxa"/>
            <w:vAlign w:val="center"/>
          </w:tcPr>
          <w:p w14:paraId="58014CA2" w14:textId="77777777" w:rsidR="00802C9B" w:rsidRDefault="00000000">
            <w:pPr>
              <w:pStyle w:val="tablecopy"/>
              <w:jc w:val="center"/>
            </w:pPr>
            <w:r>
              <w:t>additionalContext</w:t>
            </w:r>
          </w:p>
        </w:tc>
        <w:tc>
          <w:tcPr>
            <w:tcW w:w="75.15pt" w:type="dxa"/>
            <w:vAlign w:val="center"/>
          </w:tcPr>
          <w:p w14:paraId="44E5BDAA" w14:textId="77777777" w:rsidR="00802C9B" w:rsidRDefault="00000000">
            <w:pPr>
              <w:pStyle w:val="tablecopy"/>
              <w:jc w:val="center"/>
            </w:pPr>
            <w:r>
              <w:t>prior-session memory, pre-compressed</w:t>
            </w:r>
          </w:p>
        </w:tc>
        <w:tc>
          <w:tcPr>
            <w:tcW w:w="55.30pt" w:type="dxa"/>
            <w:vAlign w:val="center"/>
          </w:tcPr>
          <w:p w14:paraId="3CAA024B" w14:textId="77777777" w:rsidR="00802C9B" w:rsidRDefault="00000000">
            <w:pPr>
              <w:pStyle w:val="tablecopy"/>
              <w:jc w:val="center"/>
            </w:pPr>
            <w:r>
              <w:t>Claude Code, VS Code</w:t>
            </w:r>
          </w:p>
        </w:tc>
      </w:tr>
      <w:tr w:rsidR="00802C9B" w14:paraId="674F0EEC" w14:textId="77777777">
        <w:trPr>
          <w:jc w:val="center"/>
        </w:trPr>
        <w:tc>
          <w:tcPr>
            <w:tcW w:w="55.30pt" w:type="dxa"/>
            <w:vAlign w:val="center"/>
          </w:tcPr>
          <w:p w14:paraId="26D745B2" w14:textId="77777777" w:rsidR="00802C9B" w:rsidRDefault="00000000">
            <w:pPr>
              <w:pStyle w:val="tablecopy"/>
              <w:jc w:val="start"/>
            </w:pPr>
            <w:r>
              <w:t>UserPromptSubmit</w:t>
            </w:r>
          </w:p>
        </w:tc>
        <w:tc>
          <w:tcPr>
            <w:tcW w:w="55.30pt" w:type="dxa"/>
            <w:vAlign w:val="center"/>
          </w:tcPr>
          <w:p w14:paraId="2B998200" w14:textId="77777777" w:rsidR="00802C9B" w:rsidRDefault="00000000">
            <w:pPr>
              <w:pStyle w:val="tablecopy"/>
              <w:jc w:val="center"/>
            </w:pPr>
            <w:r>
              <w:t>additionalContext</w:t>
            </w:r>
          </w:p>
        </w:tc>
        <w:tc>
          <w:tcPr>
            <w:tcW w:w="75.15pt" w:type="dxa"/>
            <w:vAlign w:val="center"/>
          </w:tcPr>
          <w:p w14:paraId="3B1D06A7" w14:textId="77777777" w:rsidR="00802C9B" w:rsidRDefault="00000000">
            <w:pPr>
              <w:pStyle w:val="tablecopy"/>
              <w:jc w:val="center"/>
            </w:pPr>
            <w:r>
              <w:t>pasted logs, attached documents</w:t>
            </w:r>
          </w:p>
        </w:tc>
        <w:tc>
          <w:tcPr>
            <w:tcW w:w="55.30pt" w:type="dxa"/>
            <w:vAlign w:val="center"/>
          </w:tcPr>
          <w:p w14:paraId="63950789" w14:textId="77777777" w:rsidR="00802C9B" w:rsidRDefault="00000000">
            <w:pPr>
              <w:pStyle w:val="tablecopy"/>
              <w:jc w:val="center"/>
            </w:pPr>
            <w:r>
              <w:t>Claude Code, VS Code</w:t>
            </w:r>
          </w:p>
        </w:tc>
      </w:tr>
      <w:tr w:rsidR="00802C9B" w14:paraId="6C2B4493" w14:textId="77777777">
        <w:trPr>
          <w:jc w:val="center"/>
        </w:trPr>
        <w:tc>
          <w:tcPr>
            <w:tcW w:w="55.30pt" w:type="dxa"/>
            <w:vAlign w:val="center"/>
          </w:tcPr>
          <w:p w14:paraId="5EFC731C" w14:textId="77777777" w:rsidR="00802C9B" w:rsidRDefault="00000000">
            <w:pPr>
              <w:pStyle w:val="tablecopy"/>
              <w:jc w:val="start"/>
            </w:pPr>
            <w:r>
              <w:t>PreToolUse</w:t>
            </w:r>
          </w:p>
        </w:tc>
        <w:tc>
          <w:tcPr>
            <w:tcW w:w="55.30pt" w:type="dxa"/>
            <w:vAlign w:val="center"/>
          </w:tcPr>
          <w:p w14:paraId="15D8F149" w14:textId="77777777" w:rsidR="00802C9B" w:rsidRDefault="00000000">
            <w:pPr>
              <w:pStyle w:val="tablecopy"/>
              <w:jc w:val="center"/>
            </w:pPr>
            <w:r>
              <w:t>updatedInput</w:t>
            </w:r>
          </w:p>
        </w:tc>
        <w:tc>
          <w:tcPr>
            <w:tcW w:w="75.15pt" w:type="dxa"/>
            <w:vAlign w:val="center"/>
          </w:tcPr>
          <w:p w14:paraId="3EAD3784" w14:textId="77777777" w:rsidR="00802C9B" w:rsidRDefault="00000000">
            <w:pPr>
              <w:pStyle w:val="tablecopy"/>
              <w:jc w:val="center"/>
            </w:pPr>
            <w:r>
              <w:t>rewrites command so output is born small</w:t>
            </w:r>
          </w:p>
        </w:tc>
        <w:tc>
          <w:tcPr>
            <w:tcW w:w="55.30pt" w:type="dxa"/>
            <w:vAlign w:val="center"/>
          </w:tcPr>
          <w:p w14:paraId="16378D0F" w14:textId="77777777" w:rsidR="00802C9B" w:rsidRDefault="00000000">
            <w:pPr>
              <w:pStyle w:val="tablecopy"/>
              <w:jc w:val="center"/>
            </w:pPr>
            <w:r>
              <w:t>Claude Code, VS Code</w:t>
            </w:r>
          </w:p>
        </w:tc>
      </w:tr>
      <w:tr w:rsidR="00802C9B" w14:paraId="4C63F7D6" w14:textId="77777777">
        <w:trPr>
          <w:jc w:val="center"/>
        </w:trPr>
        <w:tc>
          <w:tcPr>
            <w:tcW w:w="55.30pt" w:type="dxa"/>
            <w:vAlign w:val="center"/>
          </w:tcPr>
          <w:p w14:paraId="52F2AA38" w14:textId="77777777" w:rsidR="00802C9B" w:rsidRDefault="00000000">
            <w:pPr>
              <w:pStyle w:val="tablecopy"/>
              <w:jc w:val="start"/>
            </w:pPr>
            <w:r>
              <w:t>PostToolUse</w:t>
            </w:r>
          </w:p>
        </w:tc>
        <w:tc>
          <w:tcPr>
            <w:tcW w:w="55.30pt" w:type="dxa"/>
            <w:vAlign w:val="center"/>
          </w:tcPr>
          <w:p w14:paraId="4279190F" w14:textId="77777777" w:rsidR="00802C9B" w:rsidRDefault="00000000">
            <w:pPr>
              <w:pStyle w:val="tablecopy"/>
              <w:jc w:val="center"/>
            </w:pPr>
            <w:r>
              <w:t>updatedToolOutput</w:t>
            </w:r>
          </w:p>
        </w:tc>
        <w:tc>
          <w:tcPr>
            <w:tcW w:w="75.15pt" w:type="dxa"/>
            <w:vAlign w:val="center"/>
          </w:tcPr>
          <w:p w14:paraId="3AC331CF" w14:textId="77777777" w:rsidR="00802C9B" w:rsidRDefault="00000000">
            <w:pPr>
              <w:pStyle w:val="tablecopy"/>
              <w:jc w:val="center"/>
            </w:pPr>
            <w:r>
              <w:t>the tool result in place; mints hash</w:t>
            </w:r>
          </w:p>
        </w:tc>
        <w:tc>
          <w:tcPr>
            <w:tcW w:w="55.30pt" w:type="dxa"/>
            <w:vAlign w:val="center"/>
          </w:tcPr>
          <w:p w14:paraId="6D5AB879" w14:textId="77777777" w:rsidR="00802C9B" w:rsidRDefault="00000000">
            <w:pPr>
              <w:pStyle w:val="tablecopy"/>
              <w:jc w:val="center"/>
            </w:pPr>
            <w:r>
              <w:t>Claude Code, Copilot CLI</w:t>
            </w:r>
          </w:p>
        </w:tc>
      </w:tr>
      <w:tr w:rsidR="00802C9B" w14:paraId="2E1C8EDD" w14:textId="77777777">
        <w:trPr>
          <w:jc w:val="center"/>
        </w:trPr>
        <w:tc>
          <w:tcPr>
            <w:tcW w:w="55.30pt" w:type="dxa"/>
            <w:vAlign w:val="center"/>
          </w:tcPr>
          <w:p w14:paraId="3227AC94" w14:textId="77777777" w:rsidR="00802C9B" w:rsidRDefault="00000000">
            <w:pPr>
              <w:pStyle w:val="tablecopy"/>
              <w:jc w:val="start"/>
            </w:pPr>
            <w:r>
              <w:t>PreCompact</w:t>
            </w:r>
          </w:p>
        </w:tc>
        <w:tc>
          <w:tcPr>
            <w:tcW w:w="55.30pt" w:type="dxa"/>
            <w:vAlign w:val="center"/>
          </w:tcPr>
          <w:p w14:paraId="37146975" w14:textId="77777777" w:rsidR="00802C9B" w:rsidRDefault="00000000">
            <w:pPr>
              <w:pStyle w:val="tablecopy"/>
              <w:jc w:val="center"/>
            </w:pPr>
            <w:r>
              <w:t>compaction pass</w:t>
            </w:r>
          </w:p>
        </w:tc>
        <w:tc>
          <w:tcPr>
            <w:tcW w:w="75.15pt" w:type="dxa"/>
            <w:vAlign w:val="center"/>
          </w:tcPr>
          <w:p w14:paraId="251E701E" w14:textId="77777777" w:rsidR="00802C9B" w:rsidRDefault="00000000">
            <w:pPr>
              <w:pStyle w:val="tablecopy"/>
              <w:jc w:val="center"/>
            </w:pPr>
            <w:r>
              <w:t>history to CCR instead of dropped</w:t>
            </w:r>
          </w:p>
        </w:tc>
        <w:tc>
          <w:tcPr>
            <w:tcW w:w="55.30pt" w:type="dxa"/>
            <w:vAlign w:val="center"/>
          </w:tcPr>
          <w:p w14:paraId="1BBFF4BC" w14:textId="77777777" w:rsidR="00802C9B" w:rsidRDefault="00000000">
            <w:pPr>
              <w:pStyle w:val="tablecopy"/>
              <w:jc w:val="center"/>
            </w:pPr>
            <w:r>
              <w:t>Claude Code, VS Code</w:t>
            </w:r>
          </w:p>
        </w:tc>
      </w:tr>
    </w:tbl>
    <w:p w14:paraId="18A18177" w14:textId="77777777" w:rsidR="00802C9B" w:rsidRDefault="00000000">
      <w:pPr>
        <w:pStyle w:val="tablefootnote"/>
      </w:pPr>
      <w:r>
        <w:t>Injection types (1–2) add compressed context; rewrite types (3–4) transform tool traffic; compaction (5) preserves history. PreToolUse is the one type portable to every listed harness.</w:t>
      </w:r>
    </w:p>
    <w:p w14:paraId="06F06928" w14:textId="77777777" w:rsidR="00802C9B" w:rsidRDefault="00802C9B">
      <w:pPr>
        <w:rPr>
          <w:sz w:val="8"/>
        </w:rPr>
      </w:pPr>
    </w:p>
    <w:p w14:paraId="4FFEDC7A" w14:textId="77777777" w:rsidR="00802C9B" w:rsidRDefault="00000000">
      <w:pPr>
        <w:pStyle w:val="Heading2"/>
      </w:pPr>
      <w:r>
        <w:t>Mode 3 — Wrapped Tools (Its Own Output)</w:t>
      </w:r>
    </w:p>
    <w:p w14:paraId="7F5D0FF4" w14:textId="77777777" w:rsidR="00802C9B" w:rsidRDefault="00000000">
      <w:pPr>
        <w:pStyle w:val="BodyText"/>
      </w:pPr>
      <w:r>
        <w:t>A wrapped tool replaces a command with a compressing equivalent—</w:t>
      </w:r>
      <w:r w:rsidRPr="00FE63CF">
        <w:t>grep</w:t>
      </w:r>
      <w:r>
        <w:t xml:space="preserve"> becomes </w:t>
      </w:r>
      <w:r w:rsidRPr="00FE63CF">
        <w:t>intelligrep</w:t>
      </w:r>
      <w:r>
        <w:t xml:space="preserve">, </w:t>
      </w:r>
      <w:r w:rsidRPr="00FE63CF">
        <w:t>cat</w:t>
      </w:r>
      <w:r>
        <w:t xml:space="preserve"> becomes </w:t>
      </w:r>
      <w:r w:rsidRPr="00FE63CF">
        <w:t>intellicat</w:t>
      </w:r>
      <w:r>
        <w:t xml:space="preserve">, </w:t>
      </w:r>
      <w:r w:rsidRPr="00FE63CF">
        <w:t>journalctl</w:t>
      </w:r>
      <w:r>
        <w:t xml:space="preserve"> becomes </w:t>
      </w:r>
      <w:r w:rsidRPr="00FE63CF">
        <w:t>intellilog</w:t>
      </w:r>
      <w:r>
        <w:t xml:space="preserve">, </w:t>
      </w:r>
      <w:r w:rsidRPr="00FE63CF">
        <w:t>curl</w:t>
      </w:r>
      <w:r>
        <w:t xml:space="preserve"> becomes </w:t>
      </w:r>
      <w:r w:rsidRPr="00FE63CF">
        <w:t>intellicurl</w:t>
      </w:r>
      <w:r>
        <w:t xml:space="preserve">. The wrapper runs the underlying command, compresses the result internally, preserves the exit code, and returns the compressed form, so the large output never exists as a full-size tool result at all. This is not merely another hook for two reasons. First, the content type is known by construction: </w:t>
      </w:r>
      <w:r w:rsidRPr="00FE63CF">
        <w:t>intelligrep</w:t>
      </w:r>
      <w:r>
        <w:t xml:space="preserve"> always emits ranked match lines and </w:t>
      </w:r>
      <w:r w:rsidRPr="00FE63CF">
        <w:t>intellilog</w:t>
      </w:r>
      <w:r>
        <w:t xml:space="preserve"> always emits log lines, so there is no detection step and therefore no detection error. Second, compression happens inside the tool, so even a repository-wide search or a multi-megabyte log pull arrives in the conversation at conversation scale. Wrapping is strongest for tools an organisation owns—internal MCP servers, house CLIs, and data-heavy commands—where the wrapped variant simply becomes the standard interface.</w:t>
      </w:r>
    </w:p>
    <w:p w14:paraId="303A0977" w14:textId="77777777" w:rsidR="00802C9B" w:rsidRDefault="00000000">
      <w:pPr>
        <w:pStyle w:val="Heading2"/>
      </w:pPr>
      <w:r>
        <w:t>Composing Modes and Choosing One</w:t>
      </w:r>
    </w:p>
    <w:p w14:paraId="3D89DD71" w14:textId="77777777" w:rsidR="00802C9B" w:rsidRDefault="00000000">
      <w:pPr>
        <w:pStyle w:val="BodyText"/>
      </w:pPr>
      <w:r>
        <w:t>The modes compose rather than compete (Table V). A realistic enterprise deployment runs the hooks for ambient per-tool coverage, the MCP retrieval server for reversibility, and wrapped tools for the handful of commands that produce genuinely large output, reserving the proxy for clients that cannot be modified. Because the scope boundaries are structural properties of each mode rather than configuration defaults, an operator can reason about exactly what a given wiring is able to compress before deploying it.</w:t>
      </w:r>
    </w:p>
    <w:p w14:paraId="6D010F44" w14:textId="77777777" w:rsidR="00802C9B" w:rsidRDefault="00000000">
      <w:pPr>
        <w:pStyle w:val="tablehead"/>
      </w:pPr>
      <w:r>
        <w:t>TABLE V</w:t>
      </w:r>
      <w:r>
        <w:br/>
        <w:t>Integration-Mode Selection</w:t>
      </w:r>
    </w:p>
    <w:tbl>
      <w:tblPr>
        <w:tblW w:w="241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017"/>
        <w:gridCol w:w="1106"/>
        <w:gridCol w:w="1680"/>
        <w:gridCol w:w="1017"/>
      </w:tblGrid>
      <w:tr w:rsidR="00802C9B" w14:paraId="3AC61F90" w14:textId="77777777">
        <w:trPr>
          <w:cantSplit/>
          <w:tblHeader/>
          <w:jc w:val="center"/>
        </w:trPr>
        <w:tc>
          <w:tcPr>
            <w:tcW w:w="50.85pt" w:type="dxa"/>
            <w:vAlign w:val="center"/>
          </w:tcPr>
          <w:p w14:paraId="5CB38E06" w14:textId="77777777" w:rsidR="00802C9B" w:rsidRDefault="00000000">
            <w:pPr>
              <w:pStyle w:val="tablecolhead"/>
            </w:pPr>
            <w:r>
              <w:t>Mode</w:t>
            </w:r>
          </w:p>
        </w:tc>
        <w:tc>
          <w:tcPr>
            <w:tcW w:w="55.30pt" w:type="dxa"/>
            <w:vAlign w:val="center"/>
          </w:tcPr>
          <w:p w14:paraId="6F5C72CA" w14:textId="77777777" w:rsidR="00802C9B" w:rsidRDefault="00000000">
            <w:pPr>
              <w:pStyle w:val="tablecolhead"/>
            </w:pPr>
            <w:r>
              <w:t>Scope observed</w:t>
            </w:r>
          </w:p>
        </w:tc>
        <w:tc>
          <w:tcPr>
            <w:tcW w:w="84pt" w:type="dxa"/>
            <w:vAlign w:val="center"/>
          </w:tcPr>
          <w:p w14:paraId="48AC9DD4" w14:textId="77777777" w:rsidR="00802C9B" w:rsidRDefault="00000000">
            <w:pPr>
              <w:pStyle w:val="tablecolhead"/>
            </w:pPr>
            <w:r>
              <w:t>Best for</w:t>
            </w:r>
          </w:p>
        </w:tc>
        <w:tc>
          <w:tcPr>
            <w:tcW w:w="50.85pt" w:type="dxa"/>
            <w:vAlign w:val="center"/>
          </w:tcPr>
          <w:p w14:paraId="212F9DD1" w14:textId="77777777" w:rsidR="00802C9B" w:rsidRDefault="00000000">
            <w:pPr>
              <w:pStyle w:val="tablecolhead"/>
            </w:pPr>
            <w:r>
              <w:t>Cost</w:t>
            </w:r>
          </w:p>
        </w:tc>
      </w:tr>
      <w:tr w:rsidR="00802C9B" w14:paraId="6DC6C7EF" w14:textId="77777777">
        <w:trPr>
          <w:jc w:val="center"/>
        </w:trPr>
        <w:tc>
          <w:tcPr>
            <w:tcW w:w="50.85pt" w:type="dxa"/>
            <w:vAlign w:val="center"/>
          </w:tcPr>
          <w:p w14:paraId="5DB59979" w14:textId="77777777" w:rsidR="00802C9B" w:rsidRDefault="00000000">
            <w:pPr>
              <w:pStyle w:val="tablecopy"/>
              <w:jc w:val="start"/>
            </w:pPr>
            <w:r>
              <w:t>Proxy</w:t>
            </w:r>
          </w:p>
        </w:tc>
        <w:tc>
          <w:tcPr>
            <w:tcW w:w="55.30pt" w:type="dxa"/>
            <w:vAlign w:val="center"/>
          </w:tcPr>
          <w:p w14:paraId="1ACD9FB6" w14:textId="77777777" w:rsidR="00802C9B" w:rsidRDefault="00000000">
            <w:pPr>
              <w:pStyle w:val="tablecopy"/>
              <w:jc w:val="center"/>
            </w:pPr>
            <w:r>
              <w:t>whole request</w:t>
            </w:r>
          </w:p>
        </w:tc>
        <w:tc>
          <w:tcPr>
            <w:tcW w:w="84pt" w:type="dxa"/>
            <w:vAlign w:val="center"/>
          </w:tcPr>
          <w:p w14:paraId="5D74BA0B" w14:textId="77777777" w:rsidR="00802C9B" w:rsidRDefault="00000000">
            <w:pPr>
              <w:pStyle w:val="tablecopy"/>
              <w:jc w:val="center"/>
            </w:pPr>
            <w:r>
              <w:t>full-pipeline optimisation, no client change</w:t>
            </w:r>
          </w:p>
        </w:tc>
        <w:tc>
          <w:tcPr>
            <w:tcW w:w="50.85pt" w:type="dxa"/>
            <w:vAlign w:val="center"/>
          </w:tcPr>
          <w:p w14:paraId="62122949" w14:textId="77777777" w:rsidR="00802C9B" w:rsidRDefault="00000000">
            <w:pPr>
              <w:pStyle w:val="tablecopy"/>
              <w:jc w:val="center"/>
            </w:pPr>
            <w:r>
              <w:t>base-URL change</w:t>
            </w:r>
          </w:p>
        </w:tc>
      </w:tr>
      <w:tr w:rsidR="00802C9B" w14:paraId="24E80062" w14:textId="77777777">
        <w:trPr>
          <w:jc w:val="center"/>
        </w:trPr>
        <w:tc>
          <w:tcPr>
            <w:tcW w:w="50.85pt" w:type="dxa"/>
            <w:vAlign w:val="center"/>
          </w:tcPr>
          <w:p w14:paraId="7DF103AC" w14:textId="77777777" w:rsidR="00802C9B" w:rsidRDefault="00000000">
            <w:pPr>
              <w:pStyle w:val="tablecopy"/>
              <w:jc w:val="start"/>
            </w:pPr>
            <w:r>
              <w:t>Runtime hooks</w:t>
            </w:r>
          </w:p>
        </w:tc>
        <w:tc>
          <w:tcPr>
            <w:tcW w:w="55.30pt" w:type="dxa"/>
            <w:vAlign w:val="center"/>
          </w:tcPr>
          <w:p w14:paraId="2226D43F" w14:textId="77777777" w:rsidR="00802C9B" w:rsidRDefault="00000000">
            <w:pPr>
              <w:pStyle w:val="tablecopy"/>
              <w:jc w:val="center"/>
            </w:pPr>
            <w:r>
              <w:t>lifecycle events</w:t>
            </w:r>
          </w:p>
        </w:tc>
        <w:tc>
          <w:tcPr>
            <w:tcW w:w="84pt" w:type="dxa"/>
            <w:vAlign w:val="center"/>
          </w:tcPr>
          <w:p w14:paraId="46A94AFB" w14:textId="77777777" w:rsidR="00802C9B" w:rsidRDefault="00000000">
            <w:pPr>
              <w:pStyle w:val="tablecopy"/>
              <w:jc w:val="center"/>
            </w:pPr>
            <w:r>
              <w:t>ambient per-tool compression in-harness</w:t>
            </w:r>
          </w:p>
        </w:tc>
        <w:tc>
          <w:tcPr>
            <w:tcW w:w="50.85pt" w:type="dxa"/>
            <w:vAlign w:val="center"/>
          </w:tcPr>
          <w:p w14:paraId="67AE4DB5" w14:textId="77777777" w:rsidR="00802C9B" w:rsidRDefault="00000000">
            <w:pPr>
              <w:pStyle w:val="tablecopy"/>
              <w:jc w:val="center"/>
            </w:pPr>
            <w:r>
              <w:t>config entry</w:t>
            </w:r>
          </w:p>
        </w:tc>
      </w:tr>
      <w:tr w:rsidR="00802C9B" w14:paraId="5155AC66" w14:textId="77777777">
        <w:trPr>
          <w:jc w:val="center"/>
        </w:trPr>
        <w:tc>
          <w:tcPr>
            <w:tcW w:w="50.85pt" w:type="dxa"/>
            <w:vAlign w:val="center"/>
          </w:tcPr>
          <w:p w14:paraId="73636B18" w14:textId="77777777" w:rsidR="00802C9B" w:rsidRDefault="00000000">
            <w:pPr>
              <w:pStyle w:val="tablecopy"/>
              <w:jc w:val="start"/>
            </w:pPr>
            <w:r>
              <w:t>Wrapped tools</w:t>
            </w:r>
          </w:p>
        </w:tc>
        <w:tc>
          <w:tcPr>
            <w:tcW w:w="55.30pt" w:type="dxa"/>
            <w:vAlign w:val="center"/>
          </w:tcPr>
          <w:p w14:paraId="48105A19" w14:textId="77777777" w:rsidR="00802C9B" w:rsidRDefault="00000000">
            <w:pPr>
              <w:pStyle w:val="tablecopy"/>
              <w:jc w:val="center"/>
            </w:pPr>
            <w:r>
              <w:t>its own output</w:t>
            </w:r>
          </w:p>
        </w:tc>
        <w:tc>
          <w:tcPr>
            <w:tcW w:w="84pt" w:type="dxa"/>
            <w:vAlign w:val="center"/>
          </w:tcPr>
          <w:p w14:paraId="365D5DF4" w14:textId="77777777" w:rsidR="00802C9B" w:rsidRDefault="00000000">
            <w:pPr>
              <w:pStyle w:val="tablecopy"/>
              <w:jc w:val="center"/>
            </w:pPr>
            <w:r>
              <w:t>high-volume commands and owned tools</w:t>
            </w:r>
          </w:p>
        </w:tc>
        <w:tc>
          <w:tcPr>
            <w:tcW w:w="50.85pt" w:type="dxa"/>
            <w:vAlign w:val="center"/>
          </w:tcPr>
          <w:p w14:paraId="36EA308F" w14:textId="77777777" w:rsidR="00802C9B" w:rsidRDefault="00000000">
            <w:pPr>
              <w:pStyle w:val="tablecopy"/>
              <w:jc w:val="center"/>
            </w:pPr>
            <w:r>
              <w:t>tool-surface change</w:t>
            </w:r>
          </w:p>
        </w:tc>
      </w:tr>
    </w:tbl>
    <w:p w14:paraId="5EC3A5B6" w14:textId="77777777" w:rsidR="00802C9B" w:rsidRDefault="00802C9B">
      <w:pPr>
        <w:rPr>
          <w:sz w:val="8"/>
        </w:rPr>
      </w:pPr>
    </w:p>
    <w:p w14:paraId="12B91D19" w14:textId="77777777" w:rsidR="00802C9B" w:rsidRDefault="00000000">
      <w:pPr>
        <w:pStyle w:val="Heading1"/>
      </w:pPr>
      <w:r>
        <w:t>Evaluation</w:t>
      </w:r>
    </w:p>
    <w:p w14:paraId="629E03B9" w14:textId="77777777" w:rsidR="00802C9B" w:rsidRDefault="00000000">
      <w:pPr>
        <w:pStyle w:val="Heading2"/>
      </w:pPr>
      <w:r>
        <w:t>Experimental Setup</w:t>
      </w:r>
    </w:p>
    <w:p w14:paraId="6301C086" w14:textId="1BB4A54B" w:rsidR="00802C9B" w:rsidRDefault="00000000">
      <w:pPr>
        <w:pStyle w:val="BodyText"/>
      </w:pPr>
      <w:r>
        <w:t xml:space="preserve">IntelliContext targets CPU-only deployment; all compression ran on commodity hardware with no discrete GPU. The token-savings study evaluated five representative workloads by executing each one twice: once as a baseline (raw prompt sent directly to the model) and once through </w:t>
      </w:r>
      <w:r>
        <w:lastRenderedPageBreak/>
        <w:t xml:space="preserve">IntelliContext (raw prompt compressed before being sent). The prompt was identical in both runs; the only difference was the interposed compression pass. The model backend for this study was Gemini (1.5 / 2.5 Flash via the OpenAI compatibility API), chosen because it exposes both prefix caching and an OpenAI-compatible surface. We report input tokens before and after compression, tokens saved, and the compression time added by the proxy. The accuracy study additionally ran </w:t>
      </w:r>
      <w:r w:rsidR="00995376">
        <w:t>experiments</w:t>
      </w:r>
      <w:r>
        <w:t>—each on 100 sampled items with a fixed seed, comparing scores with and without compression.</w:t>
      </w:r>
    </w:p>
    <w:p w14:paraId="5543B93C" w14:textId="77777777" w:rsidR="00802C9B" w:rsidRDefault="00000000">
      <w:pPr>
        <w:pStyle w:val="Heading2"/>
      </w:pPr>
      <w:r>
        <w:t>Cache-Prefix Stability</w:t>
      </w:r>
    </w:p>
    <w:p w14:paraId="2226037F" w14:textId="77777777" w:rsidR="00802C9B" w:rsidRDefault="00000000">
      <w:pPr>
        <w:pStyle w:val="BodyText"/>
      </w:pPr>
      <w:r>
        <w:t>Every token saving reported below is contingent on one precondition: the cacheable prefix must stay byte-identical from turn to turn, or the provider cache never engages. We measured this directly. Before CacheAligner, system prompts carrying rotating dates, session identifiers, UUIDs, JWTs, and SHA-256 hashes were byte-identical across requests in 0 of 50 cases (0%); after alignment, all 50 of 50 (100%) were byte-identical. Driving 100 requests with continuously rotating live-state values collapsed to a single distinct system prompt, and over 20 consecutive turns the prefix hash never changed. The result is bounded by detector coverage: the 100% figure is measured over the four live-state formats the detector currently recognises (canonical UUID, ISO-8601 timestamps, JWT-shaped tokens, and 32/40/64-character hex), and eight other common formats remain unstabilised—an engineering limit, not an architectural one, since new formats are additive to the same repositioning pass.</w:t>
      </w:r>
    </w:p>
    <w:p w14:paraId="2760EAAB" w14:textId="77777777" w:rsidR="00802C9B" w:rsidRDefault="00000000">
      <w:pPr>
        <w:pStyle w:val="Heading2"/>
      </w:pPr>
      <w:r>
        <w:t>Token Savings on Production Workloads</w:t>
      </w:r>
    </w:p>
    <w:p w14:paraId="4C175931" w14:textId="77777777" w:rsidR="00802C9B" w:rsidRDefault="00000000">
      <w:pPr>
        <w:pStyle w:val="BodyText"/>
      </w:pPr>
      <w:r>
        <w:t>Table VI reports the measured results, and Fig. 4 visualises the reduction. The workloads were chosen to span content types rather than to optimise the reported numbers. Reductions range from 20.3% to 85.2%: the Axios codebase, a large concatenation of source files with highly repetitive patterns, compressed the most (saving 49,491 tokens on a single request), while the resume—already concise and information-dense—compressed the least.</w:t>
      </w:r>
    </w:p>
    <w:p w14:paraId="36C59A0C" w14:textId="77777777" w:rsidR="00802C9B" w:rsidRDefault="00000000">
      <w:pPr>
        <w:pStyle w:val="tablehead"/>
      </w:pPr>
      <w:r>
        <w:t>TABLE VI</w:t>
      </w:r>
      <w:r>
        <w:br/>
        <w:t>Measured Token Savings on Production Workloads</w:t>
      </w:r>
    </w:p>
    <w:tbl>
      <w:tblPr>
        <w:tblW w:w="240.95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619"/>
        <w:gridCol w:w="846"/>
        <w:gridCol w:w="846"/>
        <w:gridCol w:w="846"/>
        <w:gridCol w:w="662"/>
      </w:tblGrid>
      <w:tr w:rsidR="00802C9B" w14:paraId="2BB4D644" w14:textId="77777777">
        <w:trPr>
          <w:cantSplit/>
          <w:tblHeader/>
          <w:jc w:val="center"/>
        </w:trPr>
        <w:tc>
          <w:tcPr>
            <w:tcW w:w="80.95pt" w:type="dxa"/>
            <w:vAlign w:val="center"/>
          </w:tcPr>
          <w:p w14:paraId="55B391C1" w14:textId="77777777" w:rsidR="00802C9B" w:rsidRDefault="00000000">
            <w:pPr>
              <w:pStyle w:val="tablecolhead"/>
            </w:pPr>
            <w:r>
              <w:t>Workload</w:t>
            </w:r>
          </w:p>
        </w:tc>
        <w:tc>
          <w:tcPr>
            <w:tcW w:w="42.30pt" w:type="dxa"/>
            <w:vAlign w:val="center"/>
          </w:tcPr>
          <w:p w14:paraId="64EB7952" w14:textId="77777777" w:rsidR="00802C9B" w:rsidRDefault="00000000">
            <w:pPr>
              <w:pStyle w:val="tablecolhead"/>
            </w:pPr>
            <w:r>
              <w:t>Before</w:t>
            </w:r>
          </w:p>
        </w:tc>
        <w:tc>
          <w:tcPr>
            <w:tcW w:w="42.30pt" w:type="dxa"/>
            <w:vAlign w:val="center"/>
          </w:tcPr>
          <w:p w14:paraId="389A2152" w14:textId="77777777" w:rsidR="00802C9B" w:rsidRDefault="00000000">
            <w:pPr>
              <w:pStyle w:val="tablecolhead"/>
            </w:pPr>
            <w:r>
              <w:t>After</w:t>
            </w:r>
          </w:p>
        </w:tc>
        <w:tc>
          <w:tcPr>
            <w:tcW w:w="42.30pt" w:type="dxa"/>
            <w:vAlign w:val="center"/>
          </w:tcPr>
          <w:p w14:paraId="0BFD1B29" w14:textId="77777777" w:rsidR="00802C9B" w:rsidRDefault="00000000">
            <w:pPr>
              <w:pStyle w:val="tablecolhead"/>
            </w:pPr>
            <w:r>
              <w:t>Saved</w:t>
            </w:r>
          </w:p>
        </w:tc>
        <w:tc>
          <w:tcPr>
            <w:tcW w:w="33.10pt" w:type="dxa"/>
            <w:vAlign w:val="center"/>
          </w:tcPr>
          <w:p w14:paraId="0807BB9B" w14:textId="77777777" w:rsidR="00802C9B" w:rsidRDefault="00000000">
            <w:pPr>
              <w:pStyle w:val="tablecolhead"/>
            </w:pPr>
            <w:r>
              <w:t>Reduc.</w:t>
            </w:r>
          </w:p>
        </w:tc>
      </w:tr>
      <w:tr w:rsidR="00802C9B" w14:paraId="703F9A6F" w14:textId="77777777">
        <w:trPr>
          <w:jc w:val="center"/>
        </w:trPr>
        <w:tc>
          <w:tcPr>
            <w:tcW w:w="80.95pt" w:type="dxa"/>
            <w:vAlign w:val="center"/>
          </w:tcPr>
          <w:p w14:paraId="538CC7F1" w14:textId="77777777" w:rsidR="00802C9B" w:rsidRDefault="00000000">
            <w:pPr>
              <w:pStyle w:val="tablecopy"/>
              <w:jc w:val="start"/>
            </w:pPr>
            <w:r>
              <w:t>Axios codebase</w:t>
            </w:r>
          </w:p>
        </w:tc>
        <w:tc>
          <w:tcPr>
            <w:tcW w:w="42.30pt" w:type="dxa"/>
            <w:vAlign w:val="center"/>
          </w:tcPr>
          <w:p w14:paraId="5ADF4F34" w14:textId="77777777" w:rsidR="00802C9B" w:rsidRDefault="00000000">
            <w:pPr>
              <w:pStyle w:val="tablecopy"/>
              <w:jc w:val="center"/>
            </w:pPr>
            <w:r>
              <w:t>58,107</w:t>
            </w:r>
          </w:p>
        </w:tc>
        <w:tc>
          <w:tcPr>
            <w:tcW w:w="42.30pt" w:type="dxa"/>
            <w:vAlign w:val="center"/>
          </w:tcPr>
          <w:p w14:paraId="43EE51E3" w14:textId="77777777" w:rsidR="00802C9B" w:rsidRDefault="00000000">
            <w:pPr>
              <w:pStyle w:val="tablecopy"/>
              <w:jc w:val="center"/>
            </w:pPr>
            <w:r>
              <w:t>8,616</w:t>
            </w:r>
          </w:p>
        </w:tc>
        <w:tc>
          <w:tcPr>
            <w:tcW w:w="42.30pt" w:type="dxa"/>
            <w:vAlign w:val="center"/>
          </w:tcPr>
          <w:p w14:paraId="28C83CB2" w14:textId="77777777" w:rsidR="00802C9B" w:rsidRDefault="00000000">
            <w:pPr>
              <w:pStyle w:val="tablecopy"/>
              <w:jc w:val="center"/>
            </w:pPr>
            <w:r>
              <w:t>49,491</w:t>
            </w:r>
          </w:p>
        </w:tc>
        <w:tc>
          <w:tcPr>
            <w:tcW w:w="33.10pt" w:type="dxa"/>
            <w:vAlign w:val="center"/>
          </w:tcPr>
          <w:p w14:paraId="24CD3A3A" w14:textId="77777777" w:rsidR="00802C9B" w:rsidRDefault="00000000">
            <w:pPr>
              <w:pStyle w:val="tablecopy"/>
              <w:jc w:val="center"/>
            </w:pPr>
            <w:r>
              <w:t>85.2%</w:t>
            </w:r>
          </w:p>
        </w:tc>
      </w:tr>
      <w:tr w:rsidR="00802C9B" w14:paraId="2B87BD46" w14:textId="77777777">
        <w:trPr>
          <w:jc w:val="center"/>
        </w:trPr>
        <w:tc>
          <w:tcPr>
            <w:tcW w:w="80.95pt" w:type="dxa"/>
            <w:vAlign w:val="center"/>
          </w:tcPr>
          <w:p w14:paraId="53148C95" w14:textId="77777777" w:rsidR="00802C9B" w:rsidRDefault="00000000">
            <w:pPr>
              <w:pStyle w:val="tablecopy"/>
              <w:jc w:val="start"/>
            </w:pPr>
            <w:r>
              <w:t>React Router codebase</w:t>
            </w:r>
          </w:p>
        </w:tc>
        <w:tc>
          <w:tcPr>
            <w:tcW w:w="42.30pt" w:type="dxa"/>
            <w:vAlign w:val="center"/>
          </w:tcPr>
          <w:p w14:paraId="56621E7F" w14:textId="77777777" w:rsidR="00802C9B" w:rsidRDefault="00000000">
            <w:pPr>
              <w:pStyle w:val="tablecopy"/>
              <w:jc w:val="center"/>
            </w:pPr>
            <w:r>
              <w:t>40,674</w:t>
            </w:r>
          </w:p>
        </w:tc>
        <w:tc>
          <w:tcPr>
            <w:tcW w:w="42.30pt" w:type="dxa"/>
            <w:vAlign w:val="center"/>
          </w:tcPr>
          <w:p w14:paraId="0D38DD55" w14:textId="77777777" w:rsidR="00802C9B" w:rsidRDefault="00000000">
            <w:pPr>
              <w:pStyle w:val="tablecopy"/>
              <w:jc w:val="center"/>
            </w:pPr>
            <w:r>
              <w:t>24,023</w:t>
            </w:r>
          </w:p>
        </w:tc>
        <w:tc>
          <w:tcPr>
            <w:tcW w:w="42.30pt" w:type="dxa"/>
            <w:vAlign w:val="center"/>
          </w:tcPr>
          <w:p w14:paraId="598FCEA2" w14:textId="77777777" w:rsidR="00802C9B" w:rsidRDefault="00000000">
            <w:pPr>
              <w:pStyle w:val="tablecopy"/>
              <w:jc w:val="center"/>
            </w:pPr>
            <w:r>
              <w:t>16,651</w:t>
            </w:r>
          </w:p>
        </w:tc>
        <w:tc>
          <w:tcPr>
            <w:tcW w:w="33.10pt" w:type="dxa"/>
            <w:vAlign w:val="center"/>
          </w:tcPr>
          <w:p w14:paraId="7CF70500" w14:textId="77777777" w:rsidR="00802C9B" w:rsidRDefault="00000000">
            <w:pPr>
              <w:pStyle w:val="tablecopy"/>
              <w:jc w:val="center"/>
            </w:pPr>
            <w:r>
              <w:t>40.9%</w:t>
            </w:r>
          </w:p>
        </w:tc>
      </w:tr>
      <w:tr w:rsidR="00802C9B" w14:paraId="4AEB5025" w14:textId="77777777">
        <w:trPr>
          <w:jc w:val="center"/>
        </w:trPr>
        <w:tc>
          <w:tcPr>
            <w:tcW w:w="80.95pt" w:type="dxa"/>
            <w:vAlign w:val="center"/>
          </w:tcPr>
          <w:p w14:paraId="1174EC0B" w14:textId="77777777" w:rsidR="00802C9B" w:rsidRDefault="00000000">
            <w:pPr>
              <w:pStyle w:val="tablecopy"/>
              <w:jc w:val="start"/>
            </w:pPr>
            <w:r>
              <w:t>JSON API response</w:t>
            </w:r>
          </w:p>
        </w:tc>
        <w:tc>
          <w:tcPr>
            <w:tcW w:w="42.30pt" w:type="dxa"/>
            <w:vAlign w:val="center"/>
          </w:tcPr>
          <w:p w14:paraId="4D900BA8" w14:textId="77777777" w:rsidR="00802C9B" w:rsidRDefault="00000000">
            <w:pPr>
              <w:pStyle w:val="tablecopy"/>
              <w:jc w:val="center"/>
            </w:pPr>
            <w:r>
              <w:t>26,710</w:t>
            </w:r>
          </w:p>
        </w:tc>
        <w:tc>
          <w:tcPr>
            <w:tcW w:w="42.30pt" w:type="dxa"/>
            <w:vAlign w:val="center"/>
          </w:tcPr>
          <w:p w14:paraId="2A1C0592" w14:textId="77777777" w:rsidR="00802C9B" w:rsidRDefault="00000000">
            <w:pPr>
              <w:pStyle w:val="tablecopy"/>
              <w:jc w:val="center"/>
            </w:pPr>
            <w:r>
              <w:t>14,805</w:t>
            </w:r>
          </w:p>
        </w:tc>
        <w:tc>
          <w:tcPr>
            <w:tcW w:w="42.30pt" w:type="dxa"/>
            <w:vAlign w:val="center"/>
          </w:tcPr>
          <w:p w14:paraId="100E8E34" w14:textId="77777777" w:rsidR="00802C9B" w:rsidRDefault="00000000">
            <w:pPr>
              <w:pStyle w:val="tablecopy"/>
              <w:jc w:val="center"/>
            </w:pPr>
            <w:r>
              <w:t>11,905</w:t>
            </w:r>
          </w:p>
        </w:tc>
        <w:tc>
          <w:tcPr>
            <w:tcW w:w="33.10pt" w:type="dxa"/>
            <w:vAlign w:val="center"/>
          </w:tcPr>
          <w:p w14:paraId="19722467" w14:textId="77777777" w:rsidR="00802C9B" w:rsidRDefault="00000000">
            <w:pPr>
              <w:pStyle w:val="tablecopy"/>
              <w:jc w:val="center"/>
            </w:pPr>
            <w:r>
              <w:t>44.6%</w:t>
            </w:r>
          </w:p>
        </w:tc>
      </w:tr>
      <w:tr w:rsidR="00802C9B" w14:paraId="20AF68BD" w14:textId="77777777">
        <w:trPr>
          <w:jc w:val="center"/>
        </w:trPr>
        <w:tc>
          <w:tcPr>
            <w:tcW w:w="80.95pt" w:type="dxa"/>
            <w:vAlign w:val="center"/>
          </w:tcPr>
          <w:p w14:paraId="406E7548" w14:textId="77777777" w:rsidR="00802C9B" w:rsidRDefault="00000000">
            <w:pPr>
              <w:pStyle w:val="tablecopy"/>
              <w:jc w:val="start"/>
            </w:pPr>
            <w:r>
              <w:t>Build / test logs</w:t>
            </w:r>
          </w:p>
        </w:tc>
        <w:tc>
          <w:tcPr>
            <w:tcW w:w="42.30pt" w:type="dxa"/>
            <w:vAlign w:val="center"/>
          </w:tcPr>
          <w:p w14:paraId="68961CD3" w14:textId="77777777" w:rsidR="00802C9B" w:rsidRDefault="00000000">
            <w:pPr>
              <w:pStyle w:val="tablecopy"/>
              <w:jc w:val="center"/>
            </w:pPr>
            <w:r>
              <w:t>7,370</w:t>
            </w:r>
          </w:p>
        </w:tc>
        <w:tc>
          <w:tcPr>
            <w:tcW w:w="42.30pt" w:type="dxa"/>
            <w:vAlign w:val="center"/>
          </w:tcPr>
          <w:p w14:paraId="61DCCA67" w14:textId="77777777" w:rsidR="00802C9B" w:rsidRDefault="00000000">
            <w:pPr>
              <w:pStyle w:val="tablecopy"/>
              <w:jc w:val="center"/>
            </w:pPr>
            <w:r>
              <w:t>1,757</w:t>
            </w:r>
          </w:p>
        </w:tc>
        <w:tc>
          <w:tcPr>
            <w:tcW w:w="42.30pt" w:type="dxa"/>
            <w:vAlign w:val="center"/>
          </w:tcPr>
          <w:p w14:paraId="6E4DC601" w14:textId="77777777" w:rsidR="00802C9B" w:rsidRDefault="00000000">
            <w:pPr>
              <w:pStyle w:val="tablecopy"/>
              <w:jc w:val="center"/>
            </w:pPr>
            <w:r>
              <w:t>5,613</w:t>
            </w:r>
          </w:p>
        </w:tc>
        <w:tc>
          <w:tcPr>
            <w:tcW w:w="33.10pt" w:type="dxa"/>
            <w:vAlign w:val="center"/>
          </w:tcPr>
          <w:p w14:paraId="38B2067B" w14:textId="77777777" w:rsidR="00802C9B" w:rsidRDefault="00000000">
            <w:pPr>
              <w:pStyle w:val="tablecopy"/>
              <w:jc w:val="center"/>
            </w:pPr>
            <w:r>
              <w:t>76.2%</w:t>
            </w:r>
          </w:p>
        </w:tc>
      </w:tr>
      <w:tr w:rsidR="00802C9B" w14:paraId="51F65EE9" w14:textId="77777777">
        <w:trPr>
          <w:jc w:val="center"/>
        </w:trPr>
        <w:tc>
          <w:tcPr>
            <w:tcW w:w="80.95pt" w:type="dxa"/>
            <w:vAlign w:val="center"/>
          </w:tcPr>
          <w:p w14:paraId="0451DC27" w14:textId="77777777" w:rsidR="00802C9B" w:rsidRDefault="00000000">
            <w:pPr>
              <w:pStyle w:val="tablecopy"/>
              <w:jc w:val="start"/>
            </w:pPr>
            <w:r>
              <w:t>Resume parsing</w:t>
            </w:r>
          </w:p>
        </w:tc>
        <w:tc>
          <w:tcPr>
            <w:tcW w:w="42.30pt" w:type="dxa"/>
            <w:vAlign w:val="center"/>
          </w:tcPr>
          <w:p w14:paraId="53776E34" w14:textId="77777777" w:rsidR="00802C9B" w:rsidRDefault="00000000">
            <w:pPr>
              <w:pStyle w:val="tablecopy"/>
              <w:jc w:val="center"/>
            </w:pPr>
            <w:r>
              <w:t>1,332</w:t>
            </w:r>
          </w:p>
        </w:tc>
        <w:tc>
          <w:tcPr>
            <w:tcW w:w="42.30pt" w:type="dxa"/>
            <w:vAlign w:val="center"/>
          </w:tcPr>
          <w:p w14:paraId="27CB96E9" w14:textId="77777777" w:rsidR="00802C9B" w:rsidRDefault="00000000">
            <w:pPr>
              <w:pStyle w:val="tablecopy"/>
              <w:jc w:val="center"/>
            </w:pPr>
            <w:r>
              <w:t>1,062</w:t>
            </w:r>
          </w:p>
        </w:tc>
        <w:tc>
          <w:tcPr>
            <w:tcW w:w="42.30pt" w:type="dxa"/>
            <w:vAlign w:val="center"/>
          </w:tcPr>
          <w:p w14:paraId="48693033" w14:textId="77777777" w:rsidR="00802C9B" w:rsidRDefault="00000000">
            <w:pPr>
              <w:pStyle w:val="tablecopy"/>
              <w:jc w:val="center"/>
            </w:pPr>
            <w:r>
              <w:t>270</w:t>
            </w:r>
          </w:p>
        </w:tc>
        <w:tc>
          <w:tcPr>
            <w:tcW w:w="33.10pt" w:type="dxa"/>
            <w:vAlign w:val="center"/>
          </w:tcPr>
          <w:p w14:paraId="066B0047" w14:textId="77777777" w:rsidR="00802C9B" w:rsidRDefault="00000000">
            <w:pPr>
              <w:pStyle w:val="tablecopy"/>
              <w:jc w:val="center"/>
            </w:pPr>
            <w:r>
              <w:t>20.3%</w:t>
            </w:r>
          </w:p>
        </w:tc>
      </w:tr>
    </w:tbl>
    <w:p w14:paraId="73A3F68B" w14:textId="77777777" w:rsidR="00802C9B" w:rsidRDefault="00000000">
      <w:pPr>
        <w:pStyle w:val="tablefootnote"/>
      </w:pPr>
      <w:r>
        <w:t>Token counts are exact; reduction = 1 − After/Before. Backend: Gemini via the OpenAI-compatibility API.</w:t>
      </w:r>
    </w:p>
    <w:p w14:paraId="743633E5" w14:textId="77777777" w:rsidR="00802C9B" w:rsidRDefault="00802C9B">
      <w:pPr>
        <w:rPr>
          <w:sz w:val="8"/>
        </w:rPr>
      </w:pPr>
    </w:p>
    <w:p w14:paraId="16698E73" w14:textId="77777777" w:rsidR="00802C9B" w:rsidRDefault="00000000">
      <w:pPr>
        <w:pStyle w:val="Heading2"/>
      </w:pPr>
      <w:r>
        <w:t>Provider-Counted Validation</w:t>
      </w:r>
    </w:p>
    <w:p w14:paraId="6A8A925D" w14:textId="1ECF2259" w:rsidR="00802C9B" w:rsidRDefault="00000000">
      <w:pPr>
        <w:pStyle w:val="BodyText"/>
      </w:pPr>
      <w:r>
        <w:t>The savings in Table V</w:t>
      </w:r>
      <w:r w:rsidR="007A62A4">
        <w:t>I</w:t>
      </w:r>
      <w:r>
        <w:t xml:space="preserve"> are counted at the proxy, using the same tokenizer for both conditions. To check that they are not an artefact of local token accounting, we also ran the layer against an external OpenAI-compatible provider (MiniMax) that reports its own billed input tokens. In a live session the provider's own usage counters recorded a 56.6% reduction in billed input tokens, confirming that the savings are realised at the point of billing and not only in the proxy's estimate. Because the live-zone discipline depends only on cache markers and byte-faithful forwarding, the layer is provider-agnostic: the same path serves Azure OpenAI, other OpenAI-</w:t>
      </w:r>
      <w:r>
        <w:t>compatible endpoints, and gateway-hosted models without modification.</w:t>
      </w:r>
    </w:p>
    <w:p w14:paraId="611DE9A7" w14:textId="77777777" w:rsidR="00802C9B" w:rsidRDefault="00000000">
      <w:pPr>
        <w:pStyle w:val="Heading2"/>
      </w:pPr>
      <w:r>
        <w:t>Runtime Trade-offs</w:t>
      </w:r>
    </w:p>
    <w:p w14:paraId="53998CC6" w14:textId="77777777" w:rsidR="00802C9B" w:rsidRDefault="00000000">
      <w:pPr>
        <w:pStyle w:val="BodyText"/>
      </w:pPr>
      <w:r>
        <w:t>Token reduction does not translate uniformly into lower end-to-end latency, because compression itself has a cost (Table VII). For large workloads the reduction in provider inference time can outweigh the compression overhead—on the React Router codebase, total runtime fell from 79.9 s to 26.5 s—whereas for small prompts, such as the resume, the compression stage dominates and total runtime rises even though tokens fall. IntelliContext is therefore best applied where prompts are large or repetitive and where token cost and context-window limits are the primary concern; a size threshold below which compression is skipped (the per-type thresholds of Table II) exists precisely to avoid this small-prompt regime.</w:t>
      </w:r>
    </w:p>
    <w:p w14:paraId="44BA715B" w14:textId="77777777" w:rsidR="00802C9B" w:rsidRDefault="00000000">
      <w:pPr>
        <w:pStyle w:val="tablehead"/>
      </w:pPr>
      <w:r>
        <w:t>TABLE VII</w:t>
      </w:r>
      <w:r>
        <w:br/>
        <w:t>Measured Runtime Breakdown (seconds)</w:t>
      </w:r>
    </w:p>
    <w:tbl>
      <w:tblPr>
        <w:tblW w:w="240.95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559"/>
        <w:gridCol w:w="815"/>
        <w:gridCol w:w="815"/>
        <w:gridCol w:w="815"/>
        <w:gridCol w:w="815"/>
      </w:tblGrid>
      <w:tr w:rsidR="00802C9B" w14:paraId="19ABC49D" w14:textId="77777777">
        <w:trPr>
          <w:cantSplit/>
          <w:tblHeader/>
          <w:jc w:val="center"/>
        </w:trPr>
        <w:tc>
          <w:tcPr>
            <w:tcW w:w="77.95pt" w:type="dxa"/>
            <w:vAlign w:val="center"/>
          </w:tcPr>
          <w:p w14:paraId="3F9B7957" w14:textId="77777777" w:rsidR="00802C9B" w:rsidRDefault="00000000">
            <w:pPr>
              <w:pStyle w:val="tablecolhead"/>
            </w:pPr>
            <w:r>
              <w:t>Workload</w:t>
            </w:r>
          </w:p>
        </w:tc>
        <w:tc>
          <w:tcPr>
            <w:tcW w:w="40.75pt" w:type="dxa"/>
            <w:vAlign w:val="center"/>
          </w:tcPr>
          <w:p w14:paraId="4A8ACACF" w14:textId="77777777" w:rsidR="00802C9B" w:rsidRDefault="00000000">
            <w:pPr>
              <w:pStyle w:val="tablecolhead"/>
            </w:pPr>
            <w:r>
              <w:t>Base LLM</w:t>
            </w:r>
          </w:p>
        </w:tc>
        <w:tc>
          <w:tcPr>
            <w:tcW w:w="40.75pt" w:type="dxa"/>
            <w:vAlign w:val="center"/>
          </w:tcPr>
          <w:p w14:paraId="4993369F" w14:textId="77777777" w:rsidR="00802C9B" w:rsidRDefault="00000000">
            <w:pPr>
              <w:pStyle w:val="tablecolhead"/>
            </w:pPr>
            <w:r>
              <w:t>IC LLM</w:t>
            </w:r>
          </w:p>
        </w:tc>
        <w:tc>
          <w:tcPr>
            <w:tcW w:w="40.75pt" w:type="dxa"/>
            <w:vAlign w:val="center"/>
          </w:tcPr>
          <w:p w14:paraId="2FA36048" w14:textId="77777777" w:rsidR="00802C9B" w:rsidRDefault="00000000">
            <w:pPr>
              <w:pStyle w:val="tablecolhead"/>
            </w:pPr>
            <w:r>
              <w:t>IC compr.</w:t>
            </w:r>
          </w:p>
        </w:tc>
        <w:tc>
          <w:tcPr>
            <w:tcW w:w="40.75pt" w:type="dxa"/>
            <w:vAlign w:val="center"/>
          </w:tcPr>
          <w:p w14:paraId="29B180ED" w14:textId="77777777" w:rsidR="00802C9B" w:rsidRDefault="00000000">
            <w:pPr>
              <w:pStyle w:val="tablecolhead"/>
            </w:pPr>
            <w:r>
              <w:t>IC total</w:t>
            </w:r>
          </w:p>
        </w:tc>
      </w:tr>
      <w:tr w:rsidR="00802C9B" w14:paraId="618550AD" w14:textId="77777777">
        <w:trPr>
          <w:jc w:val="center"/>
        </w:trPr>
        <w:tc>
          <w:tcPr>
            <w:tcW w:w="77.95pt" w:type="dxa"/>
            <w:vAlign w:val="center"/>
          </w:tcPr>
          <w:p w14:paraId="6DA27D92" w14:textId="77777777" w:rsidR="00802C9B" w:rsidRDefault="00000000">
            <w:pPr>
              <w:pStyle w:val="tablecopy"/>
              <w:jc w:val="start"/>
            </w:pPr>
            <w:r>
              <w:t>Axios codebase</w:t>
            </w:r>
          </w:p>
        </w:tc>
        <w:tc>
          <w:tcPr>
            <w:tcW w:w="40.75pt" w:type="dxa"/>
            <w:vAlign w:val="center"/>
          </w:tcPr>
          <w:p w14:paraId="0DB82F45" w14:textId="77777777" w:rsidR="00802C9B" w:rsidRDefault="00000000">
            <w:pPr>
              <w:pStyle w:val="tablecopy"/>
              <w:jc w:val="center"/>
            </w:pPr>
            <w:r>
              <w:t>63.66</w:t>
            </w:r>
          </w:p>
        </w:tc>
        <w:tc>
          <w:tcPr>
            <w:tcW w:w="40.75pt" w:type="dxa"/>
            <w:vAlign w:val="center"/>
          </w:tcPr>
          <w:p w14:paraId="6DFA2CD3" w14:textId="77777777" w:rsidR="00802C9B" w:rsidRDefault="00000000">
            <w:pPr>
              <w:pStyle w:val="tablecopy"/>
              <w:jc w:val="center"/>
            </w:pPr>
            <w:r>
              <w:t>52.66</w:t>
            </w:r>
          </w:p>
        </w:tc>
        <w:tc>
          <w:tcPr>
            <w:tcW w:w="40.75pt" w:type="dxa"/>
            <w:vAlign w:val="center"/>
          </w:tcPr>
          <w:p w14:paraId="319694C9" w14:textId="77777777" w:rsidR="00802C9B" w:rsidRDefault="00000000">
            <w:pPr>
              <w:pStyle w:val="tablecopy"/>
              <w:jc w:val="center"/>
            </w:pPr>
            <w:r>
              <w:t>19.07</w:t>
            </w:r>
          </w:p>
        </w:tc>
        <w:tc>
          <w:tcPr>
            <w:tcW w:w="40.75pt" w:type="dxa"/>
            <w:vAlign w:val="center"/>
          </w:tcPr>
          <w:p w14:paraId="78D6BFB4" w14:textId="77777777" w:rsidR="00802C9B" w:rsidRDefault="00000000">
            <w:pPr>
              <w:pStyle w:val="tablecopy"/>
              <w:jc w:val="center"/>
            </w:pPr>
            <w:r>
              <w:t>71.74</w:t>
            </w:r>
          </w:p>
        </w:tc>
      </w:tr>
      <w:tr w:rsidR="00802C9B" w14:paraId="446FA46C" w14:textId="77777777">
        <w:trPr>
          <w:jc w:val="center"/>
        </w:trPr>
        <w:tc>
          <w:tcPr>
            <w:tcW w:w="77.95pt" w:type="dxa"/>
            <w:vAlign w:val="center"/>
          </w:tcPr>
          <w:p w14:paraId="5274F974" w14:textId="77777777" w:rsidR="00802C9B" w:rsidRDefault="00000000">
            <w:pPr>
              <w:pStyle w:val="tablecopy"/>
              <w:jc w:val="start"/>
            </w:pPr>
            <w:r>
              <w:t>React Router codebase</w:t>
            </w:r>
          </w:p>
        </w:tc>
        <w:tc>
          <w:tcPr>
            <w:tcW w:w="40.75pt" w:type="dxa"/>
            <w:vAlign w:val="center"/>
          </w:tcPr>
          <w:p w14:paraId="6C92B39A" w14:textId="77777777" w:rsidR="00802C9B" w:rsidRDefault="00000000">
            <w:pPr>
              <w:pStyle w:val="tablecopy"/>
              <w:jc w:val="center"/>
            </w:pPr>
            <w:r>
              <w:t>79.94</w:t>
            </w:r>
          </w:p>
        </w:tc>
        <w:tc>
          <w:tcPr>
            <w:tcW w:w="40.75pt" w:type="dxa"/>
            <w:vAlign w:val="center"/>
          </w:tcPr>
          <w:p w14:paraId="5300FA54" w14:textId="77777777" w:rsidR="00802C9B" w:rsidRDefault="00000000">
            <w:pPr>
              <w:pStyle w:val="tablecopy"/>
              <w:jc w:val="center"/>
            </w:pPr>
            <w:r>
              <w:t>26.52</w:t>
            </w:r>
          </w:p>
        </w:tc>
        <w:tc>
          <w:tcPr>
            <w:tcW w:w="40.75pt" w:type="dxa"/>
            <w:vAlign w:val="center"/>
          </w:tcPr>
          <w:p w14:paraId="67904B32" w14:textId="77777777" w:rsidR="00802C9B" w:rsidRDefault="00000000">
            <w:pPr>
              <w:pStyle w:val="tablecopy"/>
              <w:jc w:val="center"/>
            </w:pPr>
            <w:r>
              <w:t>42.56</w:t>
            </w:r>
          </w:p>
        </w:tc>
        <w:tc>
          <w:tcPr>
            <w:tcW w:w="40.75pt" w:type="dxa"/>
            <w:vAlign w:val="center"/>
          </w:tcPr>
          <w:p w14:paraId="25A19F79" w14:textId="77777777" w:rsidR="00802C9B" w:rsidRDefault="00000000">
            <w:pPr>
              <w:pStyle w:val="tablecopy"/>
              <w:jc w:val="center"/>
            </w:pPr>
            <w:r>
              <w:t>69.08</w:t>
            </w:r>
          </w:p>
        </w:tc>
      </w:tr>
      <w:tr w:rsidR="00802C9B" w14:paraId="193633CD" w14:textId="77777777">
        <w:trPr>
          <w:jc w:val="center"/>
        </w:trPr>
        <w:tc>
          <w:tcPr>
            <w:tcW w:w="77.95pt" w:type="dxa"/>
            <w:vAlign w:val="center"/>
          </w:tcPr>
          <w:p w14:paraId="0A03974F" w14:textId="77777777" w:rsidR="00802C9B" w:rsidRDefault="00000000">
            <w:pPr>
              <w:pStyle w:val="tablecopy"/>
              <w:jc w:val="start"/>
            </w:pPr>
            <w:r>
              <w:t>JSON API response</w:t>
            </w:r>
          </w:p>
        </w:tc>
        <w:tc>
          <w:tcPr>
            <w:tcW w:w="40.75pt" w:type="dxa"/>
            <w:vAlign w:val="center"/>
          </w:tcPr>
          <w:p w14:paraId="46D05D88" w14:textId="77777777" w:rsidR="00802C9B" w:rsidRDefault="00000000">
            <w:pPr>
              <w:pStyle w:val="tablecopy"/>
              <w:jc w:val="center"/>
            </w:pPr>
            <w:r>
              <w:t>98.90</w:t>
            </w:r>
          </w:p>
        </w:tc>
        <w:tc>
          <w:tcPr>
            <w:tcW w:w="40.75pt" w:type="dxa"/>
            <w:vAlign w:val="center"/>
          </w:tcPr>
          <w:p w14:paraId="42A10E36" w14:textId="77777777" w:rsidR="00802C9B" w:rsidRDefault="00000000">
            <w:pPr>
              <w:pStyle w:val="tablecopy"/>
              <w:jc w:val="center"/>
            </w:pPr>
            <w:r>
              <w:t>101.56</w:t>
            </w:r>
          </w:p>
        </w:tc>
        <w:tc>
          <w:tcPr>
            <w:tcW w:w="40.75pt" w:type="dxa"/>
            <w:vAlign w:val="center"/>
          </w:tcPr>
          <w:p w14:paraId="37AB055C" w14:textId="77777777" w:rsidR="00802C9B" w:rsidRDefault="00000000">
            <w:pPr>
              <w:pStyle w:val="tablecopy"/>
              <w:jc w:val="center"/>
            </w:pPr>
            <w:r>
              <w:t>8.64</w:t>
            </w:r>
          </w:p>
        </w:tc>
        <w:tc>
          <w:tcPr>
            <w:tcW w:w="40.75pt" w:type="dxa"/>
            <w:vAlign w:val="center"/>
          </w:tcPr>
          <w:p w14:paraId="36F968CC" w14:textId="77777777" w:rsidR="00802C9B" w:rsidRDefault="00000000">
            <w:pPr>
              <w:pStyle w:val="tablecopy"/>
              <w:jc w:val="center"/>
            </w:pPr>
            <w:r>
              <w:t>110.20</w:t>
            </w:r>
          </w:p>
        </w:tc>
      </w:tr>
      <w:tr w:rsidR="00802C9B" w14:paraId="57690AAB" w14:textId="77777777">
        <w:trPr>
          <w:jc w:val="center"/>
        </w:trPr>
        <w:tc>
          <w:tcPr>
            <w:tcW w:w="77.95pt" w:type="dxa"/>
            <w:vAlign w:val="center"/>
          </w:tcPr>
          <w:p w14:paraId="4F6E0335" w14:textId="77777777" w:rsidR="00802C9B" w:rsidRDefault="00000000">
            <w:pPr>
              <w:pStyle w:val="tablecopy"/>
              <w:jc w:val="start"/>
            </w:pPr>
            <w:r>
              <w:t>Build / test logs</w:t>
            </w:r>
          </w:p>
        </w:tc>
        <w:tc>
          <w:tcPr>
            <w:tcW w:w="40.75pt" w:type="dxa"/>
            <w:vAlign w:val="center"/>
          </w:tcPr>
          <w:p w14:paraId="4A7DE9E3" w14:textId="77777777" w:rsidR="00802C9B" w:rsidRDefault="00000000">
            <w:pPr>
              <w:pStyle w:val="tablecopy"/>
              <w:jc w:val="center"/>
            </w:pPr>
            <w:r>
              <w:t>26.07</w:t>
            </w:r>
          </w:p>
        </w:tc>
        <w:tc>
          <w:tcPr>
            <w:tcW w:w="40.75pt" w:type="dxa"/>
            <w:vAlign w:val="center"/>
          </w:tcPr>
          <w:p w14:paraId="5B8276F0" w14:textId="77777777" w:rsidR="00802C9B" w:rsidRDefault="00000000">
            <w:pPr>
              <w:pStyle w:val="tablecopy"/>
              <w:jc w:val="center"/>
            </w:pPr>
            <w:r>
              <w:t>52.85</w:t>
            </w:r>
          </w:p>
        </w:tc>
        <w:tc>
          <w:tcPr>
            <w:tcW w:w="40.75pt" w:type="dxa"/>
            <w:vAlign w:val="center"/>
          </w:tcPr>
          <w:p w14:paraId="3719CE59" w14:textId="77777777" w:rsidR="00802C9B" w:rsidRDefault="00000000">
            <w:pPr>
              <w:pStyle w:val="tablecopy"/>
              <w:jc w:val="center"/>
            </w:pPr>
            <w:r>
              <w:t>2.05</w:t>
            </w:r>
          </w:p>
        </w:tc>
        <w:tc>
          <w:tcPr>
            <w:tcW w:w="40.75pt" w:type="dxa"/>
            <w:vAlign w:val="center"/>
          </w:tcPr>
          <w:p w14:paraId="740DFB27" w14:textId="77777777" w:rsidR="00802C9B" w:rsidRDefault="00000000">
            <w:pPr>
              <w:pStyle w:val="tablecopy"/>
              <w:jc w:val="center"/>
            </w:pPr>
            <w:r>
              <w:t>54.90</w:t>
            </w:r>
          </w:p>
        </w:tc>
      </w:tr>
      <w:tr w:rsidR="00802C9B" w14:paraId="03643A3B" w14:textId="77777777">
        <w:trPr>
          <w:jc w:val="center"/>
        </w:trPr>
        <w:tc>
          <w:tcPr>
            <w:tcW w:w="77.95pt" w:type="dxa"/>
            <w:vAlign w:val="center"/>
          </w:tcPr>
          <w:p w14:paraId="73CB1391" w14:textId="77777777" w:rsidR="00802C9B" w:rsidRDefault="00000000">
            <w:pPr>
              <w:pStyle w:val="tablecopy"/>
              <w:jc w:val="start"/>
            </w:pPr>
            <w:r>
              <w:t>Resume parsing</w:t>
            </w:r>
          </w:p>
        </w:tc>
        <w:tc>
          <w:tcPr>
            <w:tcW w:w="40.75pt" w:type="dxa"/>
            <w:vAlign w:val="center"/>
          </w:tcPr>
          <w:p w14:paraId="50BA8C86" w14:textId="77777777" w:rsidR="00802C9B" w:rsidRDefault="00000000">
            <w:pPr>
              <w:pStyle w:val="tablecopy"/>
              <w:jc w:val="center"/>
            </w:pPr>
            <w:r>
              <w:t>26.74</w:t>
            </w:r>
          </w:p>
        </w:tc>
        <w:tc>
          <w:tcPr>
            <w:tcW w:w="40.75pt" w:type="dxa"/>
            <w:vAlign w:val="center"/>
          </w:tcPr>
          <w:p w14:paraId="1FADCB45" w14:textId="77777777" w:rsidR="00802C9B" w:rsidRDefault="00000000">
            <w:pPr>
              <w:pStyle w:val="tablecopy"/>
              <w:jc w:val="center"/>
            </w:pPr>
            <w:r>
              <w:t>38.28</w:t>
            </w:r>
          </w:p>
        </w:tc>
        <w:tc>
          <w:tcPr>
            <w:tcW w:w="40.75pt" w:type="dxa"/>
            <w:vAlign w:val="center"/>
          </w:tcPr>
          <w:p w14:paraId="695BE0B1" w14:textId="77777777" w:rsidR="00802C9B" w:rsidRDefault="00000000">
            <w:pPr>
              <w:pStyle w:val="tablecopy"/>
              <w:jc w:val="center"/>
            </w:pPr>
            <w:r>
              <w:t>8.53</w:t>
            </w:r>
          </w:p>
        </w:tc>
        <w:tc>
          <w:tcPr>
            <w:tcW w:w="40.75pt" w:type="dxa"/>
            <w:vAlign w:val="center"/>
          </w:tcPr>
          <w:p w14:paraId="04C7E336" w14:textId="77777777" w:rsidR="00802C9B" w:rsidRDefault="00000000">
            <w:pPr>
              <w:pStyle w:val="tablecopy"/>
              <w:jc w:val="center"/>
            </w:pPr>
            <w:r>
              <w:t>46.80</w:t>
            </w:r>
          </w:p>
        </w:tc>
      </w:tr>
    </w:tbl>
    <w:p w14:paraId="371A91F8" w14:textId="77777777" w:rsidR="00802C9B" w:rsidRDefault="00000000">
      <w:pPr>
        <w:pStyle w:val="tablefootnote"/>
      </w:pPr>
      <w:r>
        <w:t>Base LLM = baseline query time; IC LLM = query time after compression; IC compr. = compression time; IC total = end-to-end time through IntelliContext.</w:t>
      </w:r>
    </w:p>
    <w:p w14:paraId="115EBB33" w14:textId="77777777" w:rsidR="00802C9B" w:rsidRDefault="00802C9B">
      <w:pPr>
        <w:rPr>
          <w:sz w:val="8"/>
        </w:rPr>
      </w:pPr>
    </w:p>
    <w:p w14:paraId="7ADAA4D5" w14:textId="77777777" w:rsidR="00802C9B" w:rsidRDefault="00802C9B">
      <w:pPr>
        <w:rPr>
          <w:sz w:val="8"/>
        </w:rPr>
      </w:pPr>
    </w:p>
    <w:p w14:paraId="30F26AAD" w14:textId="77777777" w:rsidR="00802C9B" w:rsidRDefault="00000000">
      <w:pPr>
        <w:pStyle w:val="Heading2"/>
      </w:pPr>
      <w:r>
        <w:t>Compression by Content Type</w:t>
      </w:r>
    </w:p>
    <w:p w14:paraId="5EF34CE2" w14:textId="77777777" w:rsidR="00802C9B" w:rsidRDefault="00000000">
      <w:pPr>
        <w:pStyle w:val="BodyText"/>
      </w:pPr>
      <w:r>
        <w:t>Beyond the end-to-end workloads, we measured each compressor in isolation on a deterministic offline corpus, counting tokens with the repository tokenizer (Table IX). The ordering confirms the type-aware thesis. Highly structured, redundant content—unified diffs and source code—compresses by better than an order of magnitude (25.0× and 22.7×); build logs and search results, which mix boilerplate with a few salient lines, compress by roughly an order of magnitude; and dense structured JSON, whose field names and values carry little slack, compresses by 4.2×. Because these runs are offline and seed-free, they isolate compressor behaviour from provider latency and sampling, and they make the design principle concrete: savings track the structural redundancy a general-purpose compressor cannot see.</w:t>
      </w:r>
    </w:p>
    <w:p w14:paraId="36D9525E" w14:textId="77777777" w:rsidR="00802C9B" w:rsidRDefault="00000000">
      <w:pPr>
        <w:pStyle w:val="tablehead"/>
      </w:pPr>
      <w:r>
        <w:t>TABLE IX</w:t>
      </w:r>
      <w:r>
        <w:br/>
        <w:t>Offline Compression by Content Type</w:t>
      </w:r>
    </w:p>
    <w:tbl>
      <w:tblPr>
        <w:tblW w:w="241.05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601"/>
        <w:gridCol w:w="869"/>
        <w:gridCol w:w="869"/>
        <w:gridCol w:w="823"/>
        <w:gridCol w:w="659"/>
      </w:tblGrid>
      <w:tr w:rsidR="00802C9B" w14:paraId="2AC1478A" w14:textId="77777777">
        <w:trPr>
          <w:cantSplit/>
          <w:tblHeader/>
          <w:jc w:val="center"/>
        </w:trPr>
        <w:tc>
          <w:tcPr>
            <w:tcW w:w="80.05pt" w:type="dxa"/>
            <w:vAlign w:val="center"/>
          </w:tcPr>
          <w:p w14:paraId="4A39B8F0" w14:textId="77777777" w:rsidR="00802C9B" w:rsidRDefault="00000000">
            <w:pPr>
              <w:pStyle w:val="tablecolhead"/>
            </w:pPr>
            <w:r>
              <w:t>Content type</w:t>
            </w:r>
          </w:p>
        </w:tc>
        <w:tc>
          <w:tcPr>
            <w:tcW w:w="43.45pt" w:type="dxa"/>
            <w:vAlign w:val="center"/>
          </w:tcPr>
          <w:p w14:paraId="2378B265" w14:textId="77777777" w:rsidR="00802C9B" w:rsidRDefault="00000000">
            <w:pPr>
              <w:pStyle w:val="tablecolhead"/>
            </w:pPr>
            <w:r>
              <w:t>Tokens in</w:t>
            </w:r>
          </w:p>
        </w:tc>
        <w:tc>
          <w:tcPr>
            <w:tcW w:w="43.45pt" w:type="dxa"/>
            <w:vAlign w:val="center"/>
          </w:tcPr>
          <w:p w14:paraId="6860930C" w14:textId="77777777" w:rsidR="00802C9B" w:rsidRDefault="00000000">
            <w:pPr>
              <w:pStyle w:val="tablecolhead"/>
            </w:pPr>
            <w:r>
              <w:t>Tokens out</w:t>
            </w:r>
          </w:p>
        </w:tc>
        <w:tc>
          <w:tcPr>
            <w:tcW w:w="41.15pt" w:type="dxa"/>
            <w:vAlign w:val="center"/>
          </w:tcPr>
          <w:p w14:paraId="5BF622B4" w14:textId="77777777" w:rsidR="00802C9B" w:rsidRDefault="00000000">
            <w:pPr>
              <w:pStyle w:val="tablecolhead"/>
            </w:pPr>
            <w:r>
              <w:t>Reduc.</w:t>
            </w:r>
          </w:p>
        </w:tc>
        <w:tc>
          <w:tcPr>
            <w:tcW w:w="32.95pt" w:type="dxa"/>
            <w:vAlign w:val="center"/>
          </w:tcPr>
          <w:p w14:paraId="0C9E2A16" w14:textId="77777777" w:rsidR="00802C9B" w:rsidRDefault="00000000">
            <w:pPr>
              <w:pStyle w:val="tablecolhead"/>
            </w:pPr>
            <w:r>
              <w:t>Ratio</w:t>
            </w:r>
          </w:p>
        </w:tc>
      </w:tr>
      <w:tr w:rsidR="00802C9B" w14:paraId="72CCB979" w14:textId="77777777">
        <w:trPr>
          <w:jc w:val="center"/>
        </w:trPr>
        <w:tc>
          <w:tcPr>
            <w:tcW w:w="80.05pt" w:type="dxa"/>
            <w:vAlign w:val="center"/>
          </w:tcPr>
          <w:p w14:paraId="53E23FCA" w14:textId="77777777" w:rsidR="00802C9B" w:rsidRDefault="00000000">
            <w:pPr>
              <w:pStyle w:val="tablecopy"/>
              <w:jc w:val="start"/>
            </w:pPr>
            <w:r>
              <w:t>Diffs</w:t>
            </w:r>
          </w:p>
        </w:tc>
        <w:tc>
          <w:tcPr>
            <w:tcW w:w="43.45pt" w:type="dxa"/>
            <w:vAlign w:val="center"/>
          </w:tcPr>
          <w:p w14:paraId="29B60D3D" w14:textId="77777777" w:rsidR="00802C9B" w:rsidRDefault="00000000">
            <w:pPr>
              <w:pStyle w:val="tablecopy"/>
              <w:jc w:val="center"/>
            </w:pPr>
            <w:r>
              <w:t>8,812</w:t>
            </w:r>
          </w:p>
        </w:tc>
        <w:tc>
          <w:tcPr>
            <w:tcW w:w="43.45pt" w:type="dxa"/>
            <w:vAlign w:val="center"/>
          </w:tcPr>
          <w:p w14:paraId="4826A35E" w14:textId="77777777" w:rsidR="00802C9B" w:rsidRDefault="00000000">
            <w:pPr>
              <w:pStyle w:val="tablecopy"/>
              <w:jc w:val="center"/>
            </w:pPr>
            <w:r>
              <w:t>352</w:t>
            </w:r>
          </w:p>
        </w:tc>
        <w:tc>
          <w:tcPr>
            <w:tcW w:w="41.15pt" w:type="dxa"/>
            <w:vAlign w:val="center"/>
          </w:tcPr>
          <w:p w14:paraId="0D562E8F" w14:textId="77777777" w:rsidR="00802C9B" w:rsidRDefault="00000000">
            <w:pPr>
              <w:pStyle w:val="tablecopy"/>
              <w:jc w:val="center"/>
            </w:pPr>
            <w:r>
              <w:t>96.0%</w:t>
            </w:r>
          </w:p>
        </w:tc>
        <w:tc>
          <w:tcPr>
            <w:tcW w:w="32.95pt" w:type="dxa"/>
            <w:vAlign w:val="center"/>
          </w:tcPr>
          <w:p w14:paraId="3E44DC85" w14:textId="77777777" w:rsidR="00802C9B" w:rsidRDefault="00000000">
            <w:pPr>
              <w:pStyle w:val="tablecopy"/>
              <w:jc w:val="center"/>
            </w:pPr>
            <w:r>
              <w:t>25.0×</w:t>
            </w:r>
          </w:p>
        </w:tc>
      </w:tr>
      <w:tr w:rsidR="00802C9B" w14:paraId="565B427C" w14:textId="77777777">
        <w:trPr>
          <w:jc w:val="center"/>
        </w:trPr>
        <w:tc>
          <w:tcPr>
            <w:tcW w:w="80.05pt" w:type="dxa"/>
            <w:vAlign w:val="center"/>
          </w:tcPr>
          <w:p w14:paraId="32F44B06" w14:textId="77777777" w:rsidR="00802C9B" w:rsidRDefault="00000000">
            <w:pPr>
              <w:pStyle w:val="tablecopy"/>
              <w:jc w:val="start"/>
            </w:pPr>
            <w:r>
              <w:t>Source code</w:t>
            </w:r>
          </w:p>
        </w:tc>
        <w:tc>
          <w:tcPr>
            <w:tcW w:w="43.45pt" w:type="dxa"/>
            <w:vAlign w:val="center"/>
          </w:tcPr>
          <w:p w14:paraId="60EEE697" w14:textId="77777777" w:rsidR="00802C9B" w:rsidRDefault="00000000">
            <w:pPr>
              <w:pStyle w:val="tablecopy"/>
              <w:jc w:val="center"/>
            </w:pPr>
            <w:r>
              <w:t>7,852</w:t>
            </w:r>
          </w:p>
        </w:tc>
        <w:tc>
          <w:tcPr>
            <w:tcW w:w="43.45pt" w:type="dxa"/>
            <w:vAlign w:val="center"/>
          </w:tcPr>
          <w:p w14:paraId="48111EA6" w14:textId="77777777" w:rsidR="00802C9B" w:rsidRDefault="00000000">
            <w:pPr>
              <w:pStyle w:val="tablecopy"/>
              <w:jc w:val="center"/>
            </w:pPr>
            <w:r>
              <w:t>346</w:t>
            </w:r>
          </w:p>
        </w:tc>
        <w:tc>
          <w:tcPr>
            <w:tcW w:w="41.15pt" w:type="dxa"/>
            <w:vAlign w:val="center"/>
          </w:tcPr>
          <w:p w14:paraId="53D1A071" w14:textId="77777777" w:rsidR="00802C9B" w:rsidRDefault="00000000">
            <w:pPr>
              <w:pStyle w:val="tablecopy"/>
              <w:jc w:val="center"/>
            </w:pPr>
            <w:r>
              <w:t>95.6%</w:t>
            </w:r>
          </w:p>
        </w:tc>
        <w:tc>
          <w:tcPr>
            <w:tcW w:w="32.95pt" w:type="dxa"/>
            <w:vAlign w:val="center"/>
          </w:tcPr>
          <w:p w14:paraId="2C04FC99" w14:textId="77777777" w:rsidR="00802C9B" w:rsidRDefault="00000000">
            <w:pPr>
              <w:pStyle w:val="tablecopy"/>
              <w:jc w:val="center"/>
            </w:pPr>
            <w:r>
              <w:t>22.7×</w:t>
            </w:r>
          </w:p>
        </w:tc>
      </w:tr>
      <w:tr w:rsidR="00802C9B" w14:paraId="0D504AE3" w14:textId="77777777">
        <w:trPr>
          <w:jc w:val="center"/>
        </w:trPr>
        <w:tc>
          <w:tcPr>
            <w:tcW w:w="80.05pt" w:type="dxa"/>
            <w:vAlign w:val="center"/>
          </w:tcPr>
          <w:p w14:paraId="06128523" w14:textId="77777777" w:rsidR="00802C9B" w:rsidRDefault="00000000">
            <w:pPr>
              <w:pStyle w:val="tablecopy"/>
              <w:jc w:val="start"/>
            </w:pPr>
            <w:r>
              <w:t>Logs</w:t>
            </w:r>
          </w:p>
        </w:tc>
        <w:tc>
          <w:tcPr>
            <w:tcW w:w="43.45pt" w:type="dxa"/>
            <w:vAlign w:val="center"/>
          </w:tcPr>
          <w:p w14:paraId="0F8A4D62" w14:textId="77777777" w:rsidR="00802C9B" w:rsidRDefault="00000000">
            <w:pPr>
              <w:pStyle w:val="tablecopy"/>
              <w:jc w:val="center"/>
            </w:pPr>
            <w:r>
              <w:t>12,566</w:t>
            </w:r>
          </w:p>
        </w:tc>
        <w:tc>
          <w:tcPr>
            <w:tcW w:w="43.45pt" w:type="dxa"/>
            <w:vAlign w:val="center"/>
          </w:tcPr>
          <w:p w14:paraId="47C76EE2" w14:textId="77777777" w:rsidR="00802C9B" w:rsidRDefault="00000000">
            <w:pPr>
              <w:pStyle w:val="tablecopy"/>
              <w:jc w:val="center"/>
            </w:pPr>
            <w:r>
              <w:t>849</w:t>
            </w:r>
          </w:p>
        </w:tc>
        <w:tc>
          <w:tcPr>
            <w:tcW w:w="41.15pt" w:type="dxa"/>
            <w:vAlign w:val="center"/>
          </w:tcPr>
          <w:p w14:paraId="48F5BC7A" w14:textId="77777777" w:rsidR="00802C9B" w:rsidRDefault="00000000">
            <w:pPr>
              <w:pStyle w:val="tablecopy"/>
              <w:jc w:val="center"/>
            </w:pPr>
            <w:r>
              <w:t>93.2%</w:t>
            </w:r>
          </w:p>
        </w:tc>
        <w:tc>
          <w:tcPr>
            <w:tcW w:w="32.95pt" w:type="dxa"/>
            <w:vAlign w:val="center"/>
          </w:tcPr>
          <w:p w14:paraId="164C6F23" w14:textId="77777777" w:rsidR="00802C9B" w:rsidRDefault="00000000">
            <w:pPr>
              <w:pStyle w:val="tablecopy"/>
              <w:jc w:val="center"/>
            </w:pPr>
            <w:r>
              <w:t>14.8×</w:t>
            </w:r>
          </w:p>
        </w:tc>
      </w:tr>
      <w:tr w:rsidR="00802C9B" w14:paraId="397FA5C5" w14:textId="77777777">
        <w:trPr>
          <w:jc w:val="center"/>
        </w:trPr>
        <w:tc>
          <w:tcPr>
            <w:tcW w:w="80.05pt" w:type="dxa"/>
            <w:vAlign w:val="center"/>
          </w:tcPr>
          <w:p w14:paraId="5C55B0A4" w14:textId="77777777" w:rsidR="00802C9B" w:rsidRDefault="00000000">
            <w:pPr>
              <w:pStyle w:val="tablecopy"/>
              <w:jc w:val="start"/>
            </w:pPr>
            <w:r>
              <w:t>Search results</w:t>
            </w:r>
          </w:p>
        </w:tc>
        <w:tc>
          <w:tcPr>
            <w:tcW w:w="43.45pt" w:type="dxa"/>
            <w:vAlign w:val="center"/>
          </w:tcPr>
          <w:p w14:paraId="5E667D09" w14:textId="77777777" w:rsidR="00802C9B" w:rsidRDefault="00000000">
            <w:pPr>
              <w:pStyle w:val="tablecopy"/>
              <w:jc w:val="center"/>
            </w:pPr>
            <w:r>
              <w:t>8,948</w:t>
            </w:r>
          </w:p>
        </w:tc>
        <w:tc>
          <w:tcPr>
            <w:tcW w:w="43.45pt" w:type="dxa"/>
            <w:vAlign w:val="center"/>
          </w:tcPr>
          <w:p w14:paraId="1CD7ACF8" w14:textId="77777777" w:rsidR="00802C9B" w:rsidRDefault="00000000">
            <w:pPr>
              <w:pStyle w:val="tablecopy"/>
              <w:jc w:val="center"/>
            </w:pPr>
            <w:r>
              <w:t>715</w:t>
            </w:r>
          </w:p>
        </w:tc>
        <w:tc>
          <w:tcPr>
            <w:tcW w:w="41.15pt" w:type="dxa"/>
            <w:vAlign w:val="center"/>
          </w:tcPr>
          <w:p w14:paraId="191372C0" w14:textId="77777777" w:rsidR="00802C9B" w:rsidRDefault="00000000">
            <w:pPr>
              <w:pStyle w:val="tablecopy"/>
              <w:jc w:val="center"/>
            </w:pPr>
            <w:r>
              <w:t>92.0%</w:t>
            </w:r>
          </w:p>
        </w:tc>
        <w:tc>
          <w:tcPr>
            <w:tcW w:w="32.95pt" w:type="dxa"/>
            <w:vAlign w:val="center"/>
          </w:tcPr>
          <w:p w14:paraId="1A25DC43" w14:textId="77777777" w:rsidR="00802C9B" w:rsidRDefault="00000000">
            <w:pPr>
              <w:pStyle w:val="tablecopy"/>
              <w:jc w:val="center"/>
            </w:pPr>
            <w:r>
              <w:t>12.5×</w:t>
            </w:r>
          </w:p>
        </w:tc>
      </w:tr>
      <w:tr w:rsidR="00802C9B" w14:paraId="55C53584" w14:textId="77777777">
        <w:trPr>
          <w:jc w:val="center"/>
        </w:trPr>
        <w:tc>
          <w:tcPr>
            <w:tcW w:w="80.05pt" w:type="dxa"/>
            <w:vAlign w:val="center"/>
          </w:tcPr>
          <w:p w14:paraId="71074F94" w14:textId="77777777" w:rsidR="00802C9B" w:rsidRDefault="00000000">
            <w:pPr>
              <w:pStyle w:val="tablecopy"/>
              <w:jc w:val="start"/>
            </w:pPr>
            <w:r>
              <w:t>JSON (structured)</w:t>
            </w:r>
          </w:p>
        </w:tc>
        <w:tc>
          <w:tcPr>
            <w:tcW w:w="43.45pt" w:type="dxa"/>
            <w:vAlign w:val="center"/>
          </w:tcPr>
          <w:p w14:paraId="4084D8E0" w14:textId="77777777" w:rsidR="00802C9B" w:rsidRDefault="00000000">
            <w:pPr>
              <w:pStyle w:val="tablecopy"/>
              <w:jc w:val="center"/>
            </w:pPr>
            <w:r>
              <w:t>13,108</w:t>
            </w:r>
          </w:p>
        </w:tc>
        <w:tc>
          <w:tcPr>
            <w:tcW w:w="43.45pt" w:type="dxa"/>
            <w:vAlign w:val="center"/>
          </w:tcPr>
          <w:p w14:paraId="4380E9CF" w14:textId="77777777" w:rsidR="00802C9B" w:rsidRDefault="00000000">
            <w:pPr>
              <w:pStyle w:val="tablecopy"/>
              <w:jc w:val="center"/>
            </w:pPr>
            <w:r>
              <w:t>3,272</w:t>
            </w:r>
          </w:p>
        </w:tc>
        <w:tc>
          <w:tcPr>
            <w:tcW w:w="41.15pt" w:type="dxa"/>
            <w:vAlign w:val="center"/>
          </w:tcPr>
          <w:p w14:paraId="43967B46" w14:textId="77777777" w:rsidR="00802C9B" w:rsidRDefault="00000000">
            <w:pPr>
              <w:pStyle w:val="tablecopy"/>
              <w:jc w:val="center"/>
            </w:pPr>
            <w:r>
              <w:t>75.0%</w:t>
            </w:r>
          </w:p>
        </w:tc>
        <w:tc>
          <w:tcPr>
            <w:tcW w:w="32.95pt" w:type="dxa"/>
            <w:vAlign w:val="center"/>
          </w:tcPr>
          <w:p w14:paraId="7F03F46F" w14:textId="77777777" w:rsidR="00802C9B" w:rsidRDefault="00000000">
            <w:pPr>
              <w:pStyle w:val="tablecopy"/>
              <w:jc w:val="center"/>
            </w:pPr>
            <w:r>
              <w:t>4.2×</w:t>
            </w:r>
          </w:p>
        </w:tc>
      </w:tr>
    </w:tbl>
    <w:p w14:paraId="09A2F813" w14:textId="77777777" w:rsidR="00802C9B" w:rsidRDefault="00000000">
      <w:pPr>
        <w:pStyle w:val="tablefootnote"/>
      </w:pPr>
      <w:r>
        <w:t>Deterministic offline corpus; tokens counted with the repository tokenizer. Ratio = tokens in / tokens out.</w:t>
      </w:r>
    </w:p>
    <w:p w14:paraId="4C13B2B0" w14:textId="77777777" w:rsidR="00802C9B" w:rsidRDefault="00802C9B">
      <w:pPr>
        <w:rPr>
          <w:sz w:val="8"/>
        </w:rPr>
      </w:pPr>
    </w:p>
    <w:p w14:paraId="2ABAF636" w14:textId="77777777" w:rsidR="00802C9B" w:rsidRDefault="00000000">
      <w:pPr>
        <w:pStyle w:val="Heading2"/>
      </w:pPr>
      <w:r>
        <w:t>Hook Compression on Real Command Output</w:t>
      </w:r>
    </w:p>
    <w:p w14:paraId="61843B26" w14:textId="77777777" w:rsidR="00802C9B" w:rsidRDefault="00000000">
      <w:pPr>
        <w:pStyle w:val="BodyText"/>
      </w:pPr>
      <w:r>
        <w:t xml:space="preserve">To confirm that the savings hold on real tool traffic rather than curated inputs, we exercised the PostToolUse hook (Section IX) on the raw output of everyday developer commands (Table X). We report reduction against the </w:t>
      </w:r>
      <w:r>
        <w:rPr>
          <w:i/>
        </w:rPr>
        <w:t>delivered</w:t>
      </w:r>
      <w:r>
        <w:t xml:space="preserve"> size—the bytes the host actually hands the model after its own 30,000-character truncation—because measuring </w:t>
      </w:r>
      <w:r>
        <w:lastRenderedPageBreak/>
        <w:t>against the multi-megabyte raw output would overstate the result by roughly 30×. Even against the already-truncated delivered size, a version-control history, a filesystem walk, and a repository-wide search each shrank by 90–96%. Across a twelve-command suite, nine compressed for a mean reduction of 89.9% and about 48,500 tokens saved, at a median added latency of 125 ms per call, and every command round-tripped byte-exactly through CCR.</w:t>
      </w:r>
    </w:p>
    <w:p w14:paraId="28DE103A" w14:textId="77777777" w:rsidR="00802C9B" w:rsidRDefault="00000000">
      <w:pPr>
        <w:pStyle w:val="tablehead"/>
      </w:pPr>
      <w:r>
        <w:t>TABLE X</w:t>
      </w:r>
      <w:r>
        <w:br/>
        <w:t>PostToolUse Hook on Real Command Output</w:t>
      </w:r>
    </w:p>
    <w:tbl>
      <w:tblPr>
        <w:tblW w:w="241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1441"/>
        <w:gridCol w:w="1036"/>
        <w:gridCol w:w="856"/>
        <w:gridCol w:w="766"/>
        <w:gridCol w:w="721"/>
      </w:tblGrid>
      <w:tr w:rsidR="00802C9B" w14:paraId="3037BED8" w14:textId="77777777">
        <w:trPr>
          <w:cantSplit/>
          <w:tblHeader/>
          <w:jc w:val="center"/>
        </w:trPr>
        <w:tc>
          <w:tcPr>
            <w:tcW w:w="72.05pt" w:type="dxa"/>
            <w:vAlign w:val="center"/>
          </w:tcPr>
          <w:p w14:paraId="6A21385D" w14:textId="77777777" w:rsidR="00802C9B" w:rsidRDefault="00000000">
            <w:pPr>
              <w:pStyle w:val="tablecolhead"/>
            </w:pPr>
            <w:r>
              <w:t>Command</w:t>
            </w:r>
          </w:p>
        </w:tc>
        <w:tc>
          <w:tcPr>
            <w:tcW w:w="51.80pt" w:type="dxa"/>
            <w:vAlign w:val="center"/>
          </w:tcPr>
          <w:p w14:paraId="177C49F0" w14:textId="77777777" w:rsidR="00802C9B" w:rsidRDefault="00000000">
            <w:pPr>
              <w:pStyle w:val="tablecolhead"/>
            </w:pPr>
            <w:r>
              <w:t>Raw</w:t>
            </w:r>
          </w:p>
        </w:tc>
        <w:tc>
          <w:tcPr>
            <w:tcW w:w="42.80pt" w:type="dxa"/>
            <w:vAlign w:val="center"/>
          </w:tcPr>
          <w:p w14:paraId="162D4339" w14:textId="77777777" w:rsidR="00802C9B" w:rsidRDefault="00000000">
            <w:pPr>
              <w:pStyle w:val="tablecolhead"/>
            </w:pPr>
            <w:r>
              <w:t>Deliv.</w:t>
            </w:r>
          </w:p>
        </w:tc>
        <w:tc>
          <w:tcPr>
            <w:tcW w:w="38.30pt" w:type="dxa"/>
            <w:vAlign w:val="center"/>
          </w:tcPr>
          <w:p w14:paraId="61789CAD" w14:textId="77777777" w:rsidR="00802C9B" w:rsidRDefault="00000000">
            <w:pPr>
              <w:pStyle w:val="tablecolhead"/>
            </w:pPr>
            <w:r>
              <w:t>After</w:t>
            </w:r>
          </w:p>
        </w:tc>
        <w:tc>
          <w:tcPr>
            <w:tcW w:w="36.05pt" w:type="dxa"/>
            <w:vAlign w:val="center"/>
          </w:tcPr>
          <w:p w14:paraId="6B1F70D0" w14:textId="77777777" w:rsidR="00802C9B" w:rsidRDefault="00000000">
            <w:pPr>
              <w:pStyle w:val="tablecolhead"/>
            </w:pPr>
            <w:r>
              <w:t>Saved</w:t>
            </w:r>
          </w:p>
        </w:tc>
      </w:tr>
      <w:tr w:rsidR="00802C9B" w14:paraId="420DAF90" w14:textId="77777777">
        <w:trPr>
          <w:jc w:val="center"/>
        </w:trPr>
        <w:tc>
          <w:tcPr>
            <w:tcW w:w="72.05pt" w:type="dxa"/>
            <w:vAlign w:val="center"/>
          </w:tcPr>
          <w:p w14:paraId="65A131DE" w14:textId="77777777" w:rsidR="00802C9B" w:rsidRDefault="00000000">
            <w:pPr>
              <w:pStyle w:val="tablecopy"/>
              <w:jc w:val="start"/>
            </w:pPr>
            <w:r>
              <w:t>git log --stat</w:t>
            </w:r>
          </w:p>
        </w:tc>
        <w:tc>
          <w:tcPr>
            <w:tcW w:w="51.80pt" w:type="dxa"/>
            <w:vAlign w:val="center"/>
          </w:tcPr>
          <w:p w14:paraId="740303D6" w14:textId="77777777" w:rsidR="00802C9B" w:rsidRDefault="00000000">
            <w:pPr>
              <w:pStyle w:val="tablecopy"/>
              <w:jc w:val="center"/>
            </w:pPr>
            <w:r>
              <w:t>988,571</w:t>
            </w:r>
          </w:p>
        </w:tc>
        <w:tc>
          <w:tcPr>
            <w:tcW w:w="42.80pt" w:type="dxa"/>
            <w:vAlign w:val="center"/>
          </w:tcPr>
          <w:p w14:paraId="32B7220D" w14:textId="77777777" w:rsidR="00802C9B" w:rsidRDefault="00000000">
            <w:pPr>
              <w:pStyle w:val="tablecopy"/>
              <w:jc w:val="center"/>
            </w:pPr>
            <w:r>
              <w:t>30,000</w:t>
            </w:r>
          </w:p>
        </w:tc>
        <w:tc>
          <w:tcPr>
            <w:tcW w:w="38.30pt" w:type="dxa"/>
            <w:vAlign w:val="center"/>
          </w:tcPr>
          <w:p w14:paraId="36A2298F" w14:textId="77777777" w:rsidR="00802C9B" w:rsidRDefault="00000000">
            <w:pPr>
              <w:pStyle w:val="tablecopy"/>
              <w:jc w:val="center"/>
            </w:pPr>
            <w:r>
              <w:t>1,463</w:t>
            </w:r>
          </w:p>
        </w:tc>
        <w:tc>
          <w:tcPr>
            <w:tcW w:w="36.05pt" w:type="dxa"/>
            <w:vAlign w:val="center"/>
          </w:tcPr>
          <w:p w14:paraId="06212ED1" w14:textId="77777777" w:rsidR="00802C9B" w:rsidRDefault="00000000">
            <w:pPr>
              <w:pStyle w:val="tablecopy"/>
              <w:jc w:val="center"/>
            </w:pPr>
            <w:r>
              <w:t>95.1%</w:t>
            </w:r>
          </w:p>
        </w:tc>
      </w:tr>
      <w:tr w:rsidR="00802C9B" w14:paraId="41226CE6" w14:textId="77777777">
        <w:trPr>
          <w:jc w:val="center"/>
        </w:trPr>
        <w:tc>
          <w:tcPr>
            <w:tcW w:w="72.05pt" w:type="dxa"/>
            <w:vAlign w:val="center"/>
          </w:tcPr>
          <w:p w14:paraId="22150487" w14:textId="77777777" w:rsidR="00802C9B" w:rsidRDefault="00000000">
            <w:pPr>
              <w:pStyle w:val="tablecopy"/>
              <w:jc w:val="start"/>
            </w:pPr>
            <w:r>
              <w:t>git log --oneline</w:t>
            </w:r>
          </w:p>
        </w:tc>
        <w:tc>
          <w:tcPr>
            <w:tcW w:w="51.80pt" w:type="dxa"/>
            <w:vAlign w:val="center"/>
          </w:tcPr>
          <w:p w14:paraId="1B5B6106" w14:textId="77777777" w:rsidR="00802C9B" w:rsidRDefault="00000000">
            <w:pPr>
              <w:pStyle w:val="tablecopy"/>
              <w:jc w:val="center"/>
            </w:pPr>
            <w:r>
              <w:t>124,483</w:t>
            </w:r>
          </w:p>
        </w:tc>
        <w:tc>
          <w:tcPr>
            <w:tcW w:w="42.80pt" w:type="dxa"/>
            <w:vAlign w:val="center"/>
          </w:tcPr>
          <w:p w14:paraId="1BA5DC94" w14:textId="77777777" w:rsidR="00802C9B" w:rsidRDefault="00000000">
            <w:pPr>
              <w:pStyle w:val="tablecopy"/>
              <w:jc w:val="center"/>
            </w:pPr>
            <w:r>
              <w:t>30,000</w:t>
            </w:r>
          </w:p>
        </w:tc>
        <w:tc>
          <w:tcPr>
            <w:tcW w:w="38.30pt" w:type="dxa"/>
            <w:vAlign w:val="center"/>
          </w:tcPr>
          <w:p w14:paraId="450BD27D" w14:textId="77777777" w:rsidR="00802C9B" w:rsidRDefault="00000000">
            <w:pPr>
              <w:pStyle w:val="tablecopy"/>
              <w:jc w:val="center"/>
            </w:pPr>
            <w:r>
              <w:t>2,800</w:t>
            </w:r>
          </w:p>
        </w:tc>
        <w:tc>
          <w:tcPr>
            <w:tcW w:w="36.05pt" w:type="dxa"/>
            <w:vAlign w:val="center"/>
          </w:tcPr>
          <w:p w14:paraId="7196CC24" w14:textId="77777777" w:rsidR="00802C9B" w:rsidRDefault="00000000">
            <w:pPr>
              <w:pStyle w:val="tablecopy"/>
              <w:jc w:val="center"/>
            </w:pPr>
            <w:r>
              <w:t>90.7%</w:t>
            </w:r>
          </w:p>
        </w:tc>
      </w:tr>
      <w:tr w:rsidR="00802C9B" w14:paraId="1DFE412C" w14:textId="77777777">
        <w:trPr>
          <w:jc w:val="center"/>
        </w:trPr>
        <w:tc>
          <w:tcPr>
            <w:tcW w:w="72.05pt" w:type="dxa"/>
            <w:vAlign w:val="center"/>
          </w:tcPr>
          <w:p w14:paraId="60B89C14" w14:textId="77777777" w:rsidR="00802C9B" w:rsidRDefault="00000000">
            <w:pPr>
              <w:pStyle w:val="tablecopy"/>
              <w:jc w:val="start"/>
            </w:pPr>
            <w:r>
              <w:t>find</w:t>
            </w:r>
          </w:p>
        </w:tc>
        <w:tc>
          <w:tcPr>
            <w:tcW w:w="51.80pt" w:type="dxa"/>
            <w:vAlign w:val="center"/>
          </w:tcPr>
          <w:p w14:paraId="25489404" w14:textId="77777777" w:rsidR="00802C9B" w:rsidRDefault="00000000">
            <w:pPr>
              <w:pStyle w:val="tablecopy"/>
              <w:jc w:val="center"/>
            </w:pPr>
            <w:r>
              <w:t>2,126,584</w:t>
            </w:r>
          </w:p>
        </w:tc>
        <w:tc>
          <w:tcPr>
            <w:tcW w:w="42.80pt" w:type="dxa"/>
            <w:vAlign w:val="center"/>
          </w:tcPr>
          <w:p w14:paraId="6C6334BE" w14:textId="77777777" w:rsidR="00802C9B" w:rsidRDefault="00000000">
            <w:pPr>
              <w:pStyle w:val="tablecopy"/>
              <w:jc w:val="center"/>
            </w:pPr>
            <w:r>
              <w:t>30,000</w:t>
            </w:r>
          </w:p>
        </w:tc>
        <w:tc>
          <w:tcPr>
            <w:tcW w:w="38.30pt" w:type="dxa"/>
            <w:vAlign w:val="center"/>
          </w:tcPr>
          <w:p w14:paraId="34EB4E51" w14:textId="77777777" w:rsidR="00802C9B" w:rsidRDefault="00000000">
            <w:pPr>
              <w:pStyle w:val="tablecopy"/>
              <w:jc w:val="center"/>
            </w:pPr>
            <w:r>
              <w:t>1,261</w:t>
            </w:r>
          </w:p>
        </w:tc>
        <w:tc>
          <w:tcPr>
            <w:tcW w:w="36.05pt" w:type="dxa"/>
            <w:vAlign w:val="center"/>
          </w:tcPr>
          <w:p w14:paraId="4228457A" w14:textId="77777777" w:rsidR="00802C9B" w:rsidRDefault="00000000">
            <w:pPr>
              <w:pStyle w:val="tablecopy"/>
              <w:jc w:val="center"/>
            </w:pPr>
            <w:r>
              <w:t>95.8%</w:t>
            </w:r>
          </w:p>
        </w:tc>
      </w:tr>
      <w:tr w:rsidR="00802C9B" w14:paraId="4BACB422" w14:textId="77777777">
        <w:trPr>
          <w:jc w:val="center"/>
        </w:trPr>
        <w:tc>
          <w:tcPr>
            <w:tcW w:w="72.05pt" w:type="dxa"/>
            <w:vAlign w:val="center"/>
          </w:tcPr>
          <w:p w14:paraId="3E170562" w14:textId="77777777" w:rsidR="00802C9B" w:rsidRDefault="00000000">
            <w:pPr>
              <w:pStyle w:val="tablecopy"/>
              <w:jc w:val="start"/>
            </w:pPr>
            <w:r>
              <w:t>grep -rn def</w:t>
            </w:r>
          </w:p>
        </w:tc>
        <w:tc>
          <w:tcPr>
            <w:tcW w:w="51.80pt" w:type="dxa"/>
            <w:vAlign w:val="center"/>
          </w:tcPr>
          <w:p w14:paraId="1436569F" w14:textId="77777777" w:rsidR="00802C9B" w:rsidRDefault="00000000">
            <w:pPr>
              <w:pStyle w:val="tablecopy"/>
              <w:jc w:val="center"/>
            </w:pPr>
            <w:r>
              <w:t>419,512</w:t>
            </w:r>
          </w:p>
        </w:tc>
        <w:tc>
          <w:tcPr>
            <w:tcW w:w="42.80pt" w:type="dxa"/>
            <w:vAlign w:val="center"/>
          </w:tcPr>
          <w:p w14:paraId="03A5D952" w14:textId="77777777" w:rsidR="00802C9B" w:rsidRDefault="00000000">
            <w:pPr>
              <w:pStyle w:val="tablecopy"/>
              <w:jc w:val="center"/>
            </w:pPr>
            <w:r>
              <w:t>30,000</w:t>
            </w:r>
          </w:p>
        </w:tc>
        <w:tc>
          <w:tcPr>
            <w:tcW w:w="38.30pt" w:type="dxa"/>
            <w:vAlign w:val="center"/>
          </w:tcPr>
          <w:p w14:paraId="0C8EE42D" w14:textId="77777777" w:rsidR="00802C9B" w:rsidRDefault="00000000">
            <w:pPr>
              <w:pStyle w:val="tablecopy"/>
              <w:jc w:val="center"/>
            </w:pPr>
            <w:r>
              <w:t>1,845</w:t>
            </w:r>
          </w:p>
        </w:tc>
        <w:tc>
          <w:tcPr>
            <w:tcW w:w="36.05pt" w:type="dxa"/>
            <w:vAlign w:val="center"/>
          </w:tcPr>
          <w:p w14:paraId="60D44D77" w14:textId="77777777" w:rsidR="00802C9B" w:rsidRDefault="00000000">
            <w:pPr>
              <w:pStyle w:val="tablecopy"/>
              <w:jc w:val="center"/>
            </w:pPr>
            <w:r>
              <w:t>93.8%</w:t>
            </w:r>
          </w:p>
        </w:tc>
      </w:tr>
      <w:tr w:rsidR="00802C9B" w14:paraId="69A4EADE" w14:textId="77777777">
        <w:trPr>
          <w:jc w:val="center"/>
        </w:trPr>
        <w:tc>
          <w:tcPr>
            <w:tcW w:w="72.05pt" w:type="dxa"/>
            <w:vAlign w:val="center"/>
          </w:tcPr>
          <w:p w14:paraId="3B875764" w14:textId="77777777" w:rsidR="00802C9B" w:rsidRDefault="00000000">
            <w:pPr>
              <w:pStyle w:val="tablecopy"/>
              <w:jc w:val="start"/>
            </w:pPr>
            <w:r>
              <w:t>JSON (uniform)</w:t>
            </w:r>
          </w:p>
        </w:tc>
        <w:tc>
          <w:tcPr>
            <w:tcW w:w="51.80pt" w:type="dxa"/>
            <w:vAlign w:val="center"/>
          </w:tcPr>
          <w:p w14:paraId="52306567" w14:textId="77777777" w:rsidR="00802C9B" w:rsidRDefault="00000000">
            <w:pPr>
              <w:pStyle w:val="tablecopy"/>
              <w:jc w:val="center"/>
            </w:pPr>
            <w:r>
              <w:t>166,440</w:t>
            </w:r>
          </w:p>
        </w:tc>
        <w:tc>
          <w:tcPr>
            <w:tcW w:w="42.80pt" w:type="dxa"/>
            <w:vAlign w:val="center"/>
          </w:tcPr>
          <w:p w14:paraId="25AF0499" w14:textId="77777777" w:rsidR="00802C9B" w:rsidRDefault="00000000">
            <w:pPr>
              <w:pStyle w:val="tablecopy"/>
              <w:jc w:val="center"/>
            </w:pPr>
            <w:r>
              <w:t>30,000</w:t>
            </w:r>
          </w:p>
        </w:tc>
        <w:tc>
          <w:tcPr>
            <w:tcW w:w="38.30pt" w:type="dxa"/>
            <w:vAlign w:val="center"/>
          </w:tcPr>
          <w:p w14:paraId="465035CD" w14:textId="77777777" w:rsidR="00802C9B" w:rsidRDefault="00000000">
            <w:pPr>
              <w:pStyle w:val="tablecopy"/>
              <w:jc w:val="center"/>
            </w:pPr>
            <w:r>
              <w:t>8,706</w:t>
            </w:r>
          </w:p>
        </w:tc>
        <w:tc>
          <w:tcPr>
            <w:tcW w:w="36.05pt" w:type="dxa"/>
            <w:vAlign w:val="center"/>
          </w:tcPr>
          <w:p w14:paraId="0E2CD99C" w14:textId="77777777" w:rsidR="00802C9B" w:rsidRDefault="00000000">
            <w:pPr>
              <w:pStyle w:val="tablecopy"/>
              <w:jc w:val="center"/>
            </w:pPr>
            <w:r>
              <w:t>71.0%</w:t>
            </w:r>
          </w:p>
        </w:tc>
      </w:tr>
    </w:tbl>
    <w:p w14:paraId="76D34580" w14:textId="77777777" w:rsidR="00802C9B" w:rsidRDefault="00000000">
      <w:pPr>
        <w:pStyle w:val="tablefootnote"/>
      </w:pPr>
      <w:r>
        <w:t>Bytes. Saved is reduction against delivered size (post host truncation). Suite: 9/12 commands compressed, 89.9% mean, ~48.5k tokens saved, median 125 ms; all round-trips byte-exact.</w:t>
      </w:r>
    </w:p>
    <w:p w14:paraId="221E2D32" w14:textId="77777777" w:rsidR="00802C9B" w:rsidRDefault="00802C9B">
      <w:pPr>
        <w:rPr>
          <w:sz w:val="8"/>
        </w:rPr>
      </w:pPr>
    </w:p>
    <w:p w14:paraId="7AB8AE01" w14:textId="77777777" w:rsidR="00802C9B" w:rsidRDefault="00000000">
      <w:pPr>
        <w:pStyle w:val="Heading2"/>
      </w:pPr>
      <w:r>
        <w:t>Reversibility and Retention Audit</w:t>
      </w:r>
    </w:p>
    <w:p w14:paraId="19F84A36" w14:textId="1AD8C5B5" w:rsidR="00802C9B" w:rsidRDefault="00000000">
      <w:pPr>
        <w:pStyle w:val="BodyText"/>
      </w:pPr>
      <w:r>
        <w:t>Reversibility is the property that lets IntelliContext compress aggressively without losing information, so we audited it directly rather than assuming it (Table XI). We planted 1,485 known facts across 180 synthetic documents spanning nine content types, four size bands, and three needle positions, then checked—entirely offline, at zero API cost—whether each fact survived compression verbatim or could be recovered through CCR. 80.2% of facts survived verbatim and 99.7% were effectively recoverable, unrecoverable loss fell to 0.0%. Where CCR engaged it was flawless: 77 of 77 documents round-tripped the entire original byte-for-byte with no fact lost. Two systematic biases are worth reporting, both for candour and as tuning guidance. Retention is head-biased—early-position facts survived at 85.5%, middle at 78.8%, and late at 76.4%—so, combined with the host's head-truncation, information at the very end of long output is doubly disadvantaged. Retention is also debugging-tuned: anomalous content such as errors and failures was kept 14.2 percentage points more often than ordinary facts (89.3% versus 75.0%), a deliberate bias for an assistant whose dominant task is diagnosis.</w:t>
      </w:r>
    </w:p>
    <w:p w14:paraId="6543B808" w14:textId="77777777" w:rsidR="00802C9B" w:rsidRDefault="00000000">
      <w:pPr>
        <w:pStyle w:val="tablehead"/>
      </w:pPr>
      <w:r>
        <w:t>TABLE XI</w:t>
      </w:r>
      <w:r>
        <w:br/>
        <w:t>Fact-Retention Audit (1,485 Planted Facts)</w:t>
      </w:r>
    </w:p>
    <w:tbl>
      <w:tblPr>
        <w:tblW w:w="241pt" w:type="dxa"/>
        <w:jc w:val="center"/>
        <w:tblBorders>
          <w:top w:val="single" w:sz="4" w:space="0" w:color="auto"/>
          <w:start w:val="single" w:sz="4" w:space="0" w:color="auto"/>
          <w:bottom w:val="single" w:sz="4" w:space="0" w:color="auto"/>
          <w:end w:val="single" w:sz="4" w:space="0" w:color="auto"/>
          <w:insideH w:val="single" w:sz="2" w:space="0" w:color="auto"/>
          <w:insideV w:val="single" w:sz="2" w:space="0" w:color="auto"/>
        </w:tblBorders>
        <w:tblLayout w:type="fixed"/>
        <w:tblLook w:firstRow="1" w:lastRow="0" w:firstColumn="0" w:lastColumn="0" w:noHBand="0" w:noVBand="0"/>
      </w:tblPr>
      <w:tblGrid>
        <w:gridCol w:w="2195"/>
        <w:gridCol w:w="1384"/>
        <w:gridCol w:w="1241"/>
      </w:tblGrid>
      <w:tr w:rsidR="00802C9B" w14:paraId="3DF6FB09" w14:textId="77777777">
        <w:trPr>
          <w:cantSplit/>
          <w:tblHeader/>
          <w:jc w:val="center"/>
        </w:trPr>
        <w:tc>
          <w:tcPr>
            <w:tcW w:w="109.75pt" w:type="dxa"/>
            <w:vAlign w:val="center"/>
          </w:tcPr>
          <w:p w14:paraId="71F7F082" w14:textId="77777777" w:rsidR="00802C9B" w:rsidRDefault="00000000">
            <w:pPr>
              <w:pStyle w:val="tablecolhead"/>
            </w:pPr>
            <w:r>
              <w:t>Metric</w:t>
            </w:r>
          </w:p>
        </w:tc>
        <w:tc>
          <w:tcPr>
            <w:tcW w:w="69.20pt" w:type="dxa"/>
            <w:vAlign w:val="center"/>
          </w:tcPr>
          <w:p w14:paraId="4FD290C1" w14:textId="77777777" w:rsidR="00802C9B" w:rsidRDefault="00000000">
            <w:pPr>
              <w:pStyle w:val="tablecolhead"/>
            </w:pPr>
            <w:r>
              <w:t>All docs</w:t>
            </w:r>
          </w:p>
        </w:tc>
        <w:tc>
          <w:tcPr>
            <w:tcW w:w="62.05pt" w:type="dxa"/>
            <w:vAlign w:val="center"/>
          </w:tcPr>
          <w:p w14:paraId="5C081ABF" w14:textId="77777777" w:rsidR="00802C9B" w:rsidRDefault="00000000">
            <w:pPr>
              <w:pStyle w:val="tablecolhead"/>
            </w:pPr>
            <w:r>
              <w:t>Compr. ran</w:t>
            </w:r>
          </w:p>
        </w:tc>
      </w:tr>
      <w:tr w:rsidR="00802C9B" w14:paraId="7A6031E7" w14:textId="77777777">
        <w:trPr>
          <w:jc w:val="center"/>
        </w:trPr>
        <w:tc>
          <w:tcPr>
            <w:tcW w:w="109.75pt" w:type="dxa"/>
            <w:vAlign w:val="center"/>
          </w:tcPr>
          <w:p w14:paraId="47096674" w14:textId="77777777" w:rsidR="00802C9B" w:rsidRDefault="00000000">
            <w:pPr>
              <w:pStyle w:val="tablecopy"/>
              <w:jc w:val="start"/>
            </w:pPr>
            <w:r>
              <w:t>PRESENT (verbatim)</w:t>
            </w:r>
          </w:p>
        </w:tc>
        <w:tc>
          <w:tcPr>
            <w:tcW w:w="69.20pt" w:type="dxa"/>
            <w:vAlign w:val="center"/>
          </w:tcPr>
          <w:p w14:paraId="4EAC5658" w14:textId="77777777" w:rsidR="00802C9B" w:rsidRDefault="00000000">
            <w:pPr>
              <w:pStyle w:val="tablecopy"/>
              <w:jc w:val="center"/>
            </w:pPr>
            <w:r>
              <w:t>80.2% [78.1–82.2]</w:t>
            </w:r>
          </w:p>
        </w:tc>
        <w:tc>
          <w:tcPr>
            <w:tcW w:w="62.05pt" w:type="dxa"/>
            <w:vAlign w:val="center"/>
          </w:tcPr>
          <w:p w14:paraId="44793E84" w14:textId="77777777" w:rsidR="00802C9B" w:rsidRDefault="00000000">
            <w:pPr>
              <w:pStyle w:val="tablecopy"/>
              <w:jc w:val="center"/>
            </w:pPr>
            <w:r>
              <w:t>73.2% [70.4–75.8]</w:t>
            </w:r>
          </w:p>
        </w:tc>
      </w:tr>
      <w:tr w:rsidR="00802C9B" w14:paraId="0CCF7523" w14:textId="77777777">
        <w:trPr>
          <w:jc w:val="center"/>
        </w:trPr>
        <w:tc>
          <w:tcPr>
            <w:tcW w:w="109.75pt" w:type="dxa"/>
            <w:vAlign w:val="center"/>
          </w:tcPr>
          <w:p w14:paraId="576776F5" w14:textId="77777777" w:rsidR="00802C9B" w:rsidRDefault="00000000">
            <w:pPr>
              <w:pStyle w:val="tablecopy"/>
              <w:jc w:val="start"/>
            </w:pPr>
            <w:r>
              <w:t>Effective (present + recoverable)</w:t>
            </w:r>
          </w:p>
        </w:tc>
        <w:tc>
          <w:tcPr>
            <w:tcW w:w="69.20pt" w:type="dxa"/>
            <w:vAlign w:val="center"/>
          </w:tcPr>
          <w:p w14:paraId="374B8193" w14:textId="77777777" w:rsidR="00802C9B" w:rsidRDefault="00000000">
            <w:pPr>
              <w:pStyle w:val="tablecopy"/>
              <w:jc w:val="center"/>
            </w:pPr>
            <w:r>
              <w:t>99.7% [99.2–99.9]</w:t>
            </w:r>
          </w:p>
        </w:tc>
        <w:tc>
          <w:tcPr>
            <w:tcW w:w="62.05pt" w:type="dxa"/>
            <w:vAlign w:val="center"/>
          </w:tcPr>
          <w:p w14:paraId="66B6C5CF" w14:textId="77777777" w:rsidR="00802C9B" w:rsidRDefault="00000000">
            <w:pPr>
              <w:pStyle w:val="tablecopy"/>
              <w:jc w:val="center"/>
            </w:pPr>
            <w:r>
              <w:t>99.5% [98.9–99.9]</w:t>
            </w:r>
          </w:p>
        </w:tc>
      </w:tr>
      <w:tr w:rsidR="00802C9B" w14:paraId="44BC01F4" w14:textId="77777777">
        <w:trPr>
          <w:jc w:val="center"/>
        </w:trPr>
        <w:tc>
          <w:tcPr>
            <w:tcW w:w="109.75pt" w:type="dxa"/>
            <w:vAlign w:val="center"/>
          </w:tcPr>
          <w:p w14:paraId="0DCD7884" w14:textId="77777777" w:rsidR="00802C9B" w:rsidRDefault="00000000">
            <w:pPr>
              <w:pStyle w:val="tablecopy"/>
              <w:jc w:val="start"/>
            </w:pPr>
            <w:r>
              <w:t>LOST (post-fix)</w:t>
            </w:r>
          </w:p>
        </w:tc>
        <w:tc>
          <w:tcPr>
            <w:tcW w:w="69.20pt" w:type="dxa"/>
            <w:vAlign w:val="center"/>
          </w:tcPr>
          <w:p w14:paraId="1E95074B" w14:textId="77777777" w:rsidR="00802C9B" w:rsidRDefault="00000000">
            <w:pPr>
              <w:pStyle w:val="tablecopy"/>
              <w:jc w:val="center"/>
            </w:pPr>
            <w:r>
              <w:t>0.0% [0.0–0.4]</w:t>
            </w:r>
          </w:p>
        </w:tc>
        <w:tc>
          <w:tcPr>
            <w:tcW w:w="62.05pt" w:type="dxa"/>
            <w:vAlign w:val="center"/>
          </w:tcPr>
          <w:p w14:paraId="56458995" w14:textId="77777777" w:rsidR="00802C9B" w:rsidRDefault="00000000">
            <w:pPr>
              <w:pStyle w:val="tablecopy"/>
              <w:jc w:val="center"/>
            </w:pPr>
            <w:r>
              <w:t>—</w:t>
            </w:r>
          </w:p>
        </w:tc>
      </w:tr>
    </w:tbl>
    <w:p w14:paraId="7BA3CBE6" w14:textId="77777777" w:rsidR="00802C9B" w:rsidRDefault="00000000">
      <w:pPr>
        <w:pStyle w:val="tablefootnote"/>
      </w:pPr>
      <w:r>
        <w:t>180 documents, 9 content types × 4 size bands × 3 needle positions, 0 API calls. 95% intervals in brackets. Where CCR engaged, 77/77 documents round-tripped byte-for-byte. 50/180 byte-identical no-ops are reported separately.</w:t>
      </w:r>
    </w:p>
    <w:p w14:paraId="55D223B9" w14:textId="77777777" w:rsidR="00802C9B" w:rsidRDefault="00802C9B">
      <w:pPr>
        <w:rPr>
          <w:sz w:val="8"/>
        </w:rPr>
      </w:pPr>
    </w:p>
    <w:p w14:paraId="79B16312" w14:textId="77777777" w:rsidR="00802C9B" w:rsidRDefault="00000000">
      <w:pPr>
        <w:pStyle w:val="Heading2"/>
      </w:pPr>
      <w:r>
        <w:t>Cross-Workload Analysis</w:t>
      </w:r>
    </w:p>
    <w:p w14:paraId="253294D7" w14:textId="77777777" w:rsidR="00802C9B" w:rsidRDefault="00000000">
      <w:pPr>
        <w:pStyle w:val="BodyText"/>
      </w:pPr>
      <w:r>
        <w:t xml:space="preserve">The evaluation shows that IntelliContext's effectiveness depends heavily on input characteristics. Repetitive or generated content achieved the highest compression; bundled source code compressed far better than implementation-heavy repositories; structured JSON payloads benefited from repeated field names and predictable layouts; and information-dense prose offered comparatively little opportunity. Redundancy within the prompt, more than any other factor, governs compression performance—consistent with the type-aware design, which is built to exploit exactly </w:t>
      </w:r>
      <w:r>
        <w:t>the structural redundancy that a general-purpose compressor cannot see.</w:t>
      </w:r>
    </w:p>
    <w:p w14:paraId="2084B3C8" w14:textId="77777777" w:rsidR="00802C9B" w:rsidRDefault="00000000" w:rsidP="002F29E6">
      <w:pPr>
        <w:pStyle w:val="Heading1"/>
        <w:ind w:firstLine="0pt"/>
      </w:pPr>
      <w:r>
        <w:t>Discussion</w:t>
      </w:r>
    </w:p>
    <w:p w14:paraId="1DF1B190" w14:textId="77777777" w:rsidR="00802C9B" w:rsidRDefault="00000000">
      <w:pPr>
        <w:pStyle w:val="Heading2"/>
      </w:pPr>
      <w:r>
        <w:t>Measurement-Driven Correctness</w:t>
      </w:r>
    </w:p>
    <w:p w14:paraId="5C3593BD" w14:textId="77777777" w:rsidR="00802C9B" w:rsidRDefault="00000000">
      <w:pPr>
        <w:pStyle w:val="BodyText"/>
      </w:pPr>
      <w:r>
        <w:t>The retention audit did more than confirm a design goal—it corrected one. The project had documented that “nothing is ever thrown away,” and every aggregate metric agreed. Planting known facts and checking their survival told a different story: 5 of the 1,485 facts had been destroyed with no recovery path, a loss invisible to ratio and token-savings numbers alike. The cause was a single inverted gate. Two compressors stored the original in CCR only when the output shrank past half the input (a min_compression_ratio_for_ccr of 0.5), so a mildly lossy pass discarded content without registering it—the safety net was skipped in exactly the cases where it was cheapest to keep. Promoting that threshold to a first-class configuration field with a default of 1.0—store whenever anything is dropped—turned 5 unrecoverable losses into 0 at a cost of 0.3–0.8 percentage points of compression ratio. We report this not as an incident but as evidence: reversibility here is a measured property, defended by adversarial fact-planting tests, rather than an aspiration asserted in documentation. It is also why the tokenizer-validated acceptance gate and the byte-faithful invariants are backed by executable tests instead of review alone.</w:t>
      </w:r>
    </w:p>
    <w:p w14:paraId="0E719CDE" w14:textId="77777777" w:rsidR="00802C9B" w:rsidRDefault="00000000">
      <w:pPr>
        <w:pStyle w:val="Heading2"/>
      </w:pPr>
      <w:r>
        <w:t>Architectural Design Principles</w:t>
      </w:r>
    </w:p>
    <w:p w14:paraId="379BB702" w14:textId="77777777" w:rsidR="00802C9B" w:rsidRDefault="00000000">
      <w:pPr>
        <w:pStyle w:val="BodyText"/>
      </w:pPr>
      <w:r>
        <w:t>Two correctness requirements shaped the architecture in ways that prior context-management approaches do not address. First, cache-safe compression demands live-zone-only operation: any system that trims prior turns to fit a token budget modifies the prompt prefix and collapses cache-hit rates from that point forward, because provider caches are byte-keyed. IntelliContext instead determines, before touching anything, which positions the provider has already seen, and never lets a compressor read a hot-zone byte. Second, byte-faithful forwarding is necessary even for passthrough traffic: routing a JSON body through a parse-then-re-encode step silently alters whitespace, escape sequences, and decimal precision, shifting byte offsets in the cached prefix and causing spurious misses for every proxied request. Byte-range surgery avoids this by patching only the positions a compressor explicitly returns.</w:t>
      </w:r>
    </w:p>
    <w:p w14:paraId="6BC890B4" w14:textId="77777777" w:rsidR="00802C9B" w:rsidRDefault="00000000">
      <w:pPr>
        <w:pStyle w:val="Heading2"/>
      </w:pPr>
      <w:r>
        <w:t>Design Constraints and Mitigations</w:t>
      </w:r>
    </w:p>
    <w:p w14:paraId="08644673" w14:textId="77777777" w:rsidR="00802C9B" w:rsidRDefault="00000000">
      <w:pPr>
        <w:pStyle w:val="BodyText"/>
      </w:pPr>
      <w:r>
        <w:t>Several problems required dedicated solutions. Binary modalities cannot be handled by text tokenizer gates, so MediaCompressor routes each binary block through a lightweight classifier, selects codec parameters by content category, and enforces a perceptual quality floor. Token counting alone does not bound how much meaning a generative compressor changes, so Kompress-base adds a semantic-similarity gate and falls back to extractive selection when the threshold is not met. CCR entries must stay retrievable for the entire session, which can outlast a static time-to-live, so the store uses a sliding-window expiry backed by a persistent tier. Finally, sessions that span multiple providers tend to repeat tool calls for shared artifacts; a shared-context primitive keyed by workspace and content hash lets one session publish live-zone content for others to read, cutting redundant tool calls in an early two-provider trial, with read-only semantics that preserve Invariant I2.</w:t>
      </w:r>
    </w:p>
    <w:p w14:paraId="09EF6367" w14:textId="77777777" w:rsidR="00802C9B" w:rsidRDefault="00000000" w:rsidP="002F29E6">
      <w:pPr>
        <w:pStyle w:val="Heading1"/>
        <w:ind w:firstLine="0pt"/>
      </w:pPr>
      <w:r>
        <w:lastRenderedPageBreak/>
        <w:t>Future Work</w:t>
      </w:r>
    </w:p>
    <w:p w14:paraId="3FC50DAE" w14:textId="1DD560F2" w:rsidR="00802C9B" w:rsidRDefault="00000000">
      <w:pPr>
        <w:pStyle w:val="BodyText"/>
      </w:pPr>
      <w:r>
        <w:t xml:space="preserve">The most immediate priority is to complete the empirical picture: collecting fully paired uncompressed baselines for </w:t>
      </w:r>
      <w:r w:rsidR="00995376">
        <w:t>standard metrices</w:t>
      </w:r>
      <w:r>
        <w:t>, widening the statistical basis beyond the current sample and trial counts, and replaying a larger and more diverse corpus so that the 20–85% savings range can be characterised across mixed content types. Extending the CacheAligner detector from the four recognised live-state formats to the eight that currently remain unstabilised is a small, additive change that should push cache-prefix stability past its present coverage bound and further raise real-world cache-hit rates. Broader model and provider coverage is the second priority: because the live-zone discipline depends only on provider cache markers and byte-faithful forwarding, the approach should transfer to any cache-enabled API, and we plan native compression paths for additional providers together with a cross-provider study to confirm that the ten invariants hold uniformly. Production hardening—reducing the latency of generative text compression through quantisation or a distilled successor model, and folding the optional machine-learning text model into the same signed-artifact packaging as the native core—forms the third. Finally, validating cross-agent sharing at production scale, across many concurrent sessions and workspaces, is the most promising avenue for compounding per-session savings into fleet-level cost reduction.</w:t>
      </w:r>
    </w:p>
    <w:p w14:paraId="05AAACF2" w14:textId="77777777" w:rsidR="00802C9B" w:rsidRDefault="00000000" w:rsidP="002F29E6">
      <w:pPr>
        <w:pStyle w:val="Heading1"/>
        <w:ind w:firstLine="0pt"/>
      </w:pPr>
      <w:r>
        <w:t>Conclusion</w:t>
      </w:r>
    </w:p>
    <w:p w14:paraId="7FB9867E" w14:textId="24CD0D04" w:rsidR="00802C9B" w:rsidRDefault="00000000">
      <w:pPr>
        <w:pStyle w:val="BodyText"/>
      </w:pPr>
      <w:r>
        <w:t>Prompt caching is one of the largest cost levers available to operators of long-running LLM agents, but it pays off only when the cached prefix stays byte-identical from one turn to the next. Most context-compression approaches break exactly this property, either by rewriting prior turns or by re-serialising the request body in transit. IntelliContext's contribution is a principled alternative: partition each request on the provider's own cache markers, compress only within the uncached live zone, and forward the body through byte-range surgery rather than re-encoding. Ten test-enforced invariants anchor this discipline and guard against regression, and cache-prefix stability, measured directly, rose from 0% to 100% under rotating live-state values. On five production workloads the result is a 20.3–85.2% reduction in prompt tokens, independently confirmed by an external provider's 56.6% billing measurement. The typed content router generalises the approach beyond text to images and audio; the semantic-fidelity gate adds a quality floor that token counting alone cannot provide; and reversible CCR, audited at 99.7% effective recovery with zero unrecoverable loss, ensures that nothing is discarded—only deferred. Because one engine is reachable through three interoperable integration modes—proxy, runtime hooks, and wrapped tools—these guarantees travel across agent harnesses without a line of client change, making aggressive, cache-safe context compression a practical building block for production agent pipelines.</w:t>
      </w:r>
    </w:p>
    <w:p w14:paraId="0B699407" w14:textId="77777777" w:rsidR="00802C9B" w:rsidRDefault="00000000" w:rsidP="002F29E6">
      <w:pPr>
        <w:pStyle w:val="Heading1"/>
        <w:ind w:firstLine="0pt"/>
      </w:pPr>
      <w:r>
        <w:t>Artifact Availability</w:t>
      </w:r>
    </w:p>
    <w:p w14:paraId="6C607495" w14:textId="37F5D65A" w:rsidR="00802C9B" w:rsidRDefault="00000000">
      <w:pPr>
        <w:pStyle w:val="BodyText"/>
      </w:pPr>
      <w:r>
        <w:t xml:space="preserve">In accordance with IEEE reproducibility guidelines: the IntelliContext middleware is deployed within the author's organisation as an internal engineering tool and is not publicly released, but its core algorithmic components—the ContentRouter dispatch logic, the ten cache-safety invariants, byte-range surgery, and the CCR store—are described in sufficient detail in Sections IV–VII to enable independent reimplementation. The production workload traces cannot be </w:t>
      </w:r>
      <w:r>
        <w:t>released due to confidentiality constraints</w:t>
      </w:r>
      <w:r w:rsidR="00995376">
        <w:t xml:space="preserve"> </w:t>
      </w:r>
      <w:r>
        <w:t>and the evaluation protocol is fully specified in Section X-A.</w:t>
      </w:r>
    </w:p>
    <w:p w14:paraId="4B656021" w14:textId="77777777" w:rsidR="00802C9B" w:rsidRDefault="00000000">
      <w:pPr>
        <w:pStyle w:val="Heading5"/>
      </w:pPr>
      <w:r>
        <w:t>Acknowledgment</w:t>
      </w:r>
    </w:p>
    <w:p w14:paraId="0B25B054" w14:textId="77777777" w:rsidR="00802C9B" w:rsidRDefault="00000000">
      <w:pPr>
        <w:pStyle w:val="BodyText"/>
      </w:pPr>
      <w:r>
        <w:t>The author thanks the maintainers of the open-source runtime and web-framework libraries on which the IntelliContext stack is built, and the anonymous reviewers whose feedback improved the presentation of this work.</w:t>
      </w:r>
    </w:p>
    <w:p w14:paraId="3FEA2DEE" w14:textId="77777777" w:rsidR="00802C9B" w:rsidRDefault="00000000">
      <w:pPr>
        <w:pStyle w:val="Heading5"/>
      </w:pPr>
      <w:r>
        <w:t>References</w:t>
      </w:r>
    </w:p>
    <w:p w14:paraId="15F0CBC5" w14:textId="77777777" w:rsidR="00802C9B" w:rsidRDefault="00000000">
      <w:pPr>
        <w:pStyle w:val="references"/>
      </w:pPr>
      <w:r>
        <w:t>Anthropic, “Claude Code: Agentic coding in the terminal,” Anthropic Documentation, 2025.</w:t>
      </w:r>
    </w:p>
    <w:p w14:paraId="51C602E8" w14:textId="77777777" w:rsidR="00802C9B" w:rsidRDefault="00000000">
      <w:pPr>
        <w:pStyle w:val="references"/>
      </w:pPr>
      <w:r>
        <w:t>Anthropic, “Prompt caching,” Anthropic API Documentation, 2024.</w:t>
      </w:r>
    </w:p>
    <w:p w14:paraId="346A5CEB" w14:textId="77777777" w:rsidR="00802C9B" w:rsidRDefault="00000000">
      <w:pPr>
        <w:pStyle w:val="references"/>
      </w:pPr>
      <w:r>
        <w:t>OpenAI, “Prompt caching,” OpenAI Platform Documentation, 2024.</w:t>
      </w:r>
    </w:p>
    <w:p w14:paraId="6F7B66A7" w14:textId="77777777" w:rsidR="00802C9B" w:rsidRDefault="00000000">
      <w:pPr>
        <w:pStyle w:val="references"/>
      </w:pPr>
      <w:r>
        <w:t>OpenAI, “Chat completions—stored completions and compaction,” OpenAI Platform Documentation, 2025.</w:t>
      </w:r>
    </w:p>
    <w:p w14:paraId="6C1E1937" w14:textId="77777777" w:rsidR="00802C9B" w:rsidRDefault="00000000">
      <w:pPr>
        <w:pStyle w:val="references"/>
      </w:pPr>
      <w:r>
        <w:t>H. Jiang, Q. Wu, C.-Y. Lin, Y. Yang, and L. Qiu, “LLMLingua: Compressing prompts for accelerated inference of large language models,” in Proc. EMNLP, 2023, pp. 13358–13376.</w:t>
      </w:r>
    </w:p>
    <w:p w14:paraId="59BA3942" w14:textId="77777777" w:rsidR="00802C9B" w:rsidRDefault="00000000">
      <w:pPr>
        <w:pStyle w:val="references"/>
      </w:pPr>
      <w:r>
        <w:t>M. Pan, L. Kong, C. Lyu, M. Luo, Z. Niu, G. He, and K. Duh, “LLMLingua-2: Data distillation for efficient and faithful task-agnostic prompt compression,” in Findings of ACL, 2024, pp. 963–979.</w:t>
      </w:r>
    </w:p>
    <w:p w14:paraId="58337091" w14:textId="77777777" w:rsidR="00802C9B" w:rsidRDefault="00000000">
      <w:pPr>
        <w:pStyle w:val="references"/>
      </w:pPr>
      <w:r>
        <w:t>A. Chevalier, A. Wettig, A. Ajith, and D. Chen, “Adapting language models to compress contexts,” in Proc. EMNLP, 2023, pp. 3829–3846.</w:t>
      </w:r>
    </w:p>
    <w:p w14:paraId="4872517A" w14:textId="77777777" w:rsidR="00802C9B" w:rsidRDefault="00000000">
      <w:pPr>
        <w:pStyle w:val="references"/>
      </w:pPr>
      <w:r>
        <w:t>Y. Li, B. Dong, F. Guerin, and C. Lin, “Compressing context to enhance inference efficiency of large language models,” in Proc. EMNLP, 2023, pp. 6342–6358.</w:t>
      </w:r>
    </w:p>
    <w:p w14:paraId="64AC9740" w14:textId="77777777" w:rsidR="00802C9B" w:rsidRDefault="00000000">
      <w:pPr>
        <w:pStyle w:val="references"/>
      </w:pPr>
      <w:r>
        <w:t>C. Packer, V. Fang, S. G. Patil, K. Lin, S. Wooders, and J. E. Gonzalez, “MemGPT: Towards LLMs as operating systems,” 2023, arXiv:2310.08560.</w:t>
      </w:r>
    </w:p>
    <w:p w14:paraId="4C335B99" w14:textId="77777777" w:rsidR="00802C9B" w:rsidRDefault="00000000">
      <w:pPr>
        <w:pStyle w:val="references"/>
      </w:pPr>
      <w:r>
        <w:t>W. Kwon, Z. Li, S. Zhuang, Y. Sheng, L. Zheng, C. H. Yu, J. E. Gonzalez, H. Zhang, and I. Stoica, “Efficient memory management for large language model serving with PagedAttention,” in Proc. SOSP, 2023, pp. 611–626.</w:t>
      </w:r>
    </w:p>
    <w:p w14:paraId="694DE541" w14:textId="77777777" w:rsidR="00802C9B" w:rsidRDefault="00000000">
      <w:pPr>
        <w:pStyle w:val="references"/>
      </w:pPr>
      <w:r>
        <w:t>Tokio Contributors, “Axum: Ergonomic and modular web framework built with Tokio,” crates.io, 2024.</w:t>
      </w:r>
    </w:p>
    <w:p w14:paraId="6C60E54C" w14:textId="77777777" w:rsidR="00802C9B" w:rsidRDefault="00000000">
      <w:pPr>
        <w:pStyle w:val="references"/>
      </w:pPr>
      <w:r>
        <w:t>A. V. Aho and M. J. Corasick, “Efficient string matching: An aid to bibliographic search,” Commun. ACM, vol. 18, no. 6, pp. 333–340, Jun. 1975.</w:t>
      </w:r>
    </w:p>
    <w:p w14:paraId="5C498A05" w14:textId="77777777" w:rsidR="00802C9B" w:rsidRDefault="00000000">
      <w:pPr>
        <w:pStyle w:val="references"/>
      </w:pPr>
      <w:r>
        <w:t>OpenAI, “tiktoken: Fast BPE tokeniser for use with OpenAI’s models,” GitHub, 2023.</w:t>
      </w:r>
    </w:p>
    <w:p w14:paraId="0C40D3F0" w14:textId="77777777" w:rsidR="00802C9B" w:rsidRDefault="00000000">
      <w:pPr>
        <w:pStyle w:val="references"/>
      </w:pPr>
      <w:r>
        <w:t>S. E. Robertson and K. Spärck Jones, “Simple, proven approaches to text retrieval,” Univ. Cambridge, Tech. Rep. TR-356, 1994.</w:t>
      </w:r>
    </w:p>
    <w:p w14:paraId="2E0F43CE" w14:textId="77777777" w:rsidR="00802C9B" w:rsidRDefault="00000000">
      <w:pPr>
        <w:pStyle w:val="references"/>
      </w:pPr>
      <w:r>
        <w:t>Anthropic, “Model Context Protocol specification,” GitHub, 2024.</w:t>
      </w:r>
    </w:p>
    <w:p w14:paraId="1AA8F05C" w14:textId="77777777" w:rsidR="00802C9B" w:rsidRDefault="00000000">
      <w:pPr>
        <w:pStyle w:val="references"/>
      </w:pPr>
      <w:r>
        <w:t>K. Cobbe, V. Kosaraju, M. Bavarian, M. Chen, H. Jun, L. Kaiser, M. Plappert, J. Tworek, J. Hilton, R. Nakano, C. Hesse, and J. Schulman, “Training verifiers to solve math word problems,” 2021, arXiv:2110.14168.</w:t>
      </w:r>
    </w:p>
    <w:p w14:paraId="5E19A794" w14:textId="77777777" w:rsidR="00802C9B" w:rsidRDefault="00000000">
      <w:pPr>
        <w:pStyle w:val="references"/>
      </w:pPr>
      <w:r>
        <w:t>S. Lin, J. Hilton, and O. Evans, “TruthfulQA: Measuring how models mimic human falsehoods,” in Proc. ACL, 2022, pp. 3214–3252.</w:t>
      </w:r>
    </w:p>
    <w:p w14:paraId="193EAE69" w14:textId="77777777" w:rsidR="00802C9B" w:rsidRDefault="00000000">
      <w:pPr>
        <w:pStyle w:val="references"/>
      </w:pPr>
      <w:r>
        <w:t>P. Rajpurkar, R. Jia, and P. Liang, “Know what you don’t know: Unanswerable questions for SQuAD,” in Proc. ACL, 2018, pp. 784–789.</w:t>
      </w:r>
    </w:p>
    <w:p w14:paraId="14B5BD3A" w14:textId="77777777" w:rsidR="00802C9B" w:rsidRDefault="00000000">
      <w:pPr>
        <w:pStyle w:val="references"/>
      </w:pPr>
      <w:r>
        <w:t>S. G. Patil, T. Zhang, X. Wang, and J. E. Gonzalez, “Gorilla: Large language model connected with massive APIs,” 2023, arXiv:2305.15334.</w:t>
      </w:r>
    </w:p>
    <w:p w14:paraId="1B290DB3" w14:textId="77777777" w:rsidR="00802C9B" w:rsidRDefault="00000000">
      <w:pPr>
        <w:pStyle w:val="references"/>
      </w:pPr>
      <w:r>
        <w:t>D. Tolnay and contributors, “Serde: A serialization framework for Rust,” crates.io, 2024.</w:t>
      </w:r>
    </w:p>
    <w:p w14:paraId="10FF4547" w14:textId="77777777" w:rsidR="00802C9B" w:rsidRDefault="00000000">
      <w:pPr>
        <w:pStyle w:val="references"/>
      </w:pPr>
      <w:r>
        <w:t>J. O’Connor, J.-P. Aumasson, S. Neves, and Z. Wilcox-O’Hearn, “BLAKE3: One function, fast everywhere,” GitHub, 2022.</w:t>
      </w:r>
    </w:p>
    <w:p w14:paraId="2C115F94" w14:textId="77777777" w:rsidR="00802C9B" w:rsidRDefault="00000000">
      <w:pPr>
        <w:pStyle w:val="references"/>
      </w:pPr>
      <w:r>
        <w:t>Pyke Contributors, “ort: ONNX Runtime Rust bindings,” crates.io, 2024.</w:t>
      </w:r>
    </w:p>
    <w:p w14:paraId="318C7FBE" w14:textId="77777777" w:rsidR="00802C9B" w:rsidRDefault="00000000">
      <w:pPr>
        <w:pStyle w:val="references"/>
      </w:pPr>
      <w:r>
        <w:t>Z. Wang, A. C. Bovik, H. R. Sheikh, and E. P. Simoncelli, “Image quality assessment: From error visibility to structural similarity,” IEEE Trans. Image Process., vol. 13, no. 4, pp. 600–612, Apr. 2004.</w:t>
      </w:r>
    </w:p>
    <w:p w14:paraId="760D60BB" w14:textId="77777777" w:rsidR="00802C9B" w:rsidRDefault="00000000">
      <w:pPr>
        <w:pStyle w:val="references"/>
      </w:pPr>
      <w:r>
        <w:t>N. Reimers and I. Gurevych, “Sentence-BERT: Sentence embeddings using Siamese BERT-networks,” in Proc. EMNLP, 2019, pp. 3982–3992.</w:t>
      </w:r>
    </w:p>
    <w:sectPr w:rsidR="00802C9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2A1CD354" w14:textId="77777777" w:rsidR="007C3B70" w:rsidRDefault="007C3B70" w:rsidP="001A3B3D">
      <w:r>
        <w:separator/>
      </w:r>
    </w:p>
  </w:endnote>
  <w:endnote w:type="continuationSeparator" w:id="0">
    <w:p w14:paraId="7CBA6E3F" w14:textId="77777777" w:rsidR="007C3B70" w:rsidRDefault="007C3B7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panose1 w:val="020B0004020202020204"/>
    <w:charset w:characterSet="iso-8859-1"/>
    <w:family w:val="swiss"/>
    <w:pitch w:val="variable"/>
    <w:sig w:usb0="20000287" w:usb1="00000003" w:usb2="00000000" w:usb3="00000000" w:csb0="0000019F" w:csb1="00000000"/>
  </w:font>
  <w:font w:name="Consolas">
    <w:panose1 w:val="020B0609020204030204"/>
    <w:charset w:characterSet="iso-8859-1"/>
    <w:family w:val="modern"/>
    <w:pitch w:val="fixed"/>
    <w:sig w:usb0="E10002FF" w:usb1="4000FCFF" w:usb2="00000009"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AB10D3B" w14:textId="71D878CF" w:rsidR="00184D83" w:rsidRDefault="00184D83">
    <w:pPr>
      <w:pStyle w:val="Footer"/>
    </w:pPr>
    <w:r>
      <w:rPr>
        <w:noProof/>
      </w:rPr>
      <w:drawing>
        <wp:anchor distT="0" distB="0" distL="0" distR="0" simplePos="0" relativeHeight="251659264" behindDoc="0" locked="0" layoutInCell="1" allowOverlap="1" wp14:anchorId="189F9EE7" wp14:editId="370E8DEE">
          <wp:simplePos x="635" y="635"/>
          <wp:positionH relativeFrom="page">
            <wp:align>center</wp:align>
          </wp:positionH>
          <wp:positionV relativeFrom="page">
            <wp:align>bottom</wp:align>
          </wp:positionV>
          <wp:extent cx="421005" cy="345440"/>
          <wp:effectExtent l="0" t="0" r="10795" b="0"/>
          <wp:wrapNone/>
          <wp:docPr id="1023387691" name="Text Box 2" descr="PUBLIC">
            <a:extLst xmlns:a="http://purl.oclc.org/ooxml/drawingml/main">
              <a:ext uri="{5AE41FA2-C0FF-4470-9BD4-5FADCA87CBE2}">
                <aclsh:classification xmlns:aclsh="http://schemas.microsoft.com/office/drawing/2020/classificationShape" classificationOutcomeType="ftr"/>
              </a:ext>
            </a:extLst>
          </wp:docPr>
          <wp:cNvGraphicFramePr/>
          <a:graphic xmlns:a="http://purl.oclc.org/ooxml/drawingml/main">
            <a:graphicData uri="http://schemas.microsoft.com/office/word/2010/wordprocessingShape">
              <wp:wsp>
                <wp:cNvSpPr txBox="1"/>
                <wp:spPr>
                  <a:xfrm>
                    <a:off x="0" y="0"/>
                    <a:ext cx="421005" cy="345440"/>
                  </a:xfrm>
                  <a:prstGeom prst="rect">
                    <a:avLst/>
                  </a:prstGeom>
                  <a:noFill/>
                  <a:ln>
                    <a:noFill/>
                  </a:ln>
                </wp:spPr>
                <wp:txbx>
                  <wne:txbxContent>
                    <w:p w14:paraId="4465748F" w14:textId="03356460" w:rsidR="00184D83" w:rsidRPr="00184D83" w:rsidRDefault="00184D83" w:rsidP="00184D83">
                      <w:pPr>
                        <w:rPr>
                          <w:rFonts w:ascii="Aptos" w:eastAsia="Aptos" w:hAnsi="Aptos" w:cs="Aptos"/>
                          <w:noProof/>
                          <w:color w:val="000000"/>
                        </w:rPr>
                      </w:pPr>
                      <w:r w:rsidRPr="00184D83">
                        <w:rPr>
                          <w:rFonts w:ascii="Aptos" w:eastAsia="Aptos" w:hAnsi="Aptos" w:cs="Aptos"/>
                          <w:noProof/>
                          <w:color w:val="000000"/>
                        </w:rPr>
                        <w:t>PUBLIC</w:t>
                      </w:r>
                    </w:p>
                  </wne:txbxContent>
                </wp:txbx>
                <wp:bodyPr rot="0" spcFirstLastPara="0" vertOverflow="overflow" horzOverflow="overflow" vert="horz" wrap="none" lIns="0" tIns="0" rIns="0" bIns="190500" numCol="1" spcCol="0" rtlCol="0" fromWordArt="0" anchor="b" anchorCtr="0" forceAA="0" compatLnSpc="1">
                  <a:prstTxWarp prst="textNoShape">
                    <a:avLst/>
                  </a:prstTxWarp>
                  <a:spAutoFit/>
                </wp:bodyPr>
              </wp:wsp>
            </a:graphicData>
          </a:graphic>
        </wp:anchor>
      </w:drawing>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3759B0D1" w14:textId="5B855CC1" w:rsidR="00184D83" w:rsidRDefault="00184D83">
    <w:pPr>
      <w:pStyle w:val="Footer"/>
    </w:pPr>
    <w:r>
      <w:rPr>
        <w:noProof/>
      </w:rPr>
      <w:drawing>
        <wp:anchor distT="0" distB="0" distL="0" distR="0" simplePos="0" relativeHeight="251660288" behindDoc="0" locked="0" layoutInCell="1" allowOverlap="1" wp14:anchorId="264442AA" wp14:editId="72EA360B">
          <wp:simplePos x="635" y="635"/>
          <wp:positionH relativeFrom="page">
            <wp:align>center</wp:align>
          </wp:positionH>
          <wp:positionV relativeFrom="page">
            <wp:align>bottom</wp:align>
          </wp:positionV>
          <wp:extent cx="421005" cy="345440"/>
          <wp:effectExtent l="0" t="0" r="10795" b="0"/>
          <wp:wrapNone/>
          <wp:docPr id="772928506" name="Text Box 3" descr="PUBLIC">
            <a:extLst xmlns:a="http://purl.oclc.org/ooxml/drawingml/main">
              <a:ext uri="{5AE41FA2-C0FF-4470-9BD4-5FADCA87CBE2}">
                <aclsh:classification xmlns:aclsh="http://schemas.microsoft.com/office/drawing/2020/classificationShape" classificationOutcomeType="ftr"/>
              </a:ext>
            </a:extLst>
          </wp:docPr>
          <wp:cNvGraphicFramePr/>
          <a:graphic xmlns:a="http://purl.oclc.org/ooxml/drawingml/main">
            <a:graphicData uri="http://schemas.microsoft.com/office/word/2010/wordprocessingShape">
              <wp:wsp>
                <wp:cNvSpPr txBox="1"/>
                <wp:spPr>
                  <a:xfrm>
                    <a:off x="0" y="0"/>
                    <a:ext cx="421005" cy="345440"/>
                  </a:xfrm>
                  <a:prstGeom prst="rect">
                    <a:avLst/>
                  </a:prstGeom>
                  <a:noFill/>
                  <a:ln>
                    <a:noFill/>
                  </a:ln>
                </wp:spPr>
                <wp:txbx>
                  <wne:txbxContent>
                    <w:p w14:paraId="581EB295" w14:textId="2CB5DE30" w:rsidR="00184D83" w:rsidRPr="00184D83" w:rsidRDefault="00184D83" w:rsidP="00184D83">
                      <w:pPr>
                        <w:rPr>
                          <w:rFonts w:ascii="Aptos" w:eastAsia="Aptos" w:hAnsi="Aptos" w:cs="Aptos"/>
                          <w:noProof/>
                          <w:color w:val="000000"/>
                        </w:rPr>
                      </w:pPr>
                      <w:r w:rsidRPr="00184D83">
                        <w:rPr>
                          <w:rFonts w:ascii="Aptos" w:eastAsia="Aptos" w:hAnsi="Aptos" w:cs="Aptos"/>
                          <w:noProof/>
                          <w:color w:val="000000"/>
                        </w:rPr>
                        <w:t>PUBLIC</w:t>
                      </w:r>
                    </w:p>
                  </wne:txbxContent>
                </wp:txbx>
                <wp:bodyPr rot="0" spcFirstLastPara="0" vertOverflow="overflow" horzOverflow="overflow" vert="horz" wrap="none" lIns="0" tIns="0" rIns="0" bIns="190500" numCol="1" spcCol="0" rtlCol="0" fromWordArt="0" anchor="b" anchorCtr="0" forceAA="0" compatLnSpc="1">
                  <a:prstTxWarp prst="textNoShape">
                    <a:avLst/>
                  </a:prstTxWarp>
                  <a:spAutoFit/>
                </wp:bodyPr>
              </wp:wsp>
            </a:graphicData>
          </a:graphic>
        </wp:anchor>
      </w:drawing>
    </w: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1DA949E7" w14:textId="559DA755" w:rsidR="001A3B3D" w:rsidRPr="006F6D3D" w:rsidRDefault="00184D83" w:rsidP="0056610F">
    <w:pPr>
      <w:pStyle w:val="Footer"/>
      <w:jc w:val="start"/>
      <w:rPr>
        <w:sz w:val="16"/>
        <w:szCs w:val="16"/>
      </w:rPr>
    </w:pPr>
    <w:r>
      <w:rPr>
        <w:noProof/>
        <w:sz w:val="16"/>
        <w:szCs w:val="16"/>
      </w:rPr>
      <w:drawing>
        <wp:anchor distT="0" distB="0" distL="0" distR="0" simplePos="0" relativeHeight="251658240" behindDoc="0" locked="0" layoutInCell="1" allowOverlap="1" wp14:anchorId="1C294132" wp14:editId="0DC97844">
          <wp:simplePos x="0" y="0"/>
          <wp:positionH relativeFrom="page">
            <wp:align>center</wp:align>
          </wp:positionH>
          <wp:positionV relativeFrom="page">
            <wp:align>bottom</wp:align>
          </wp:positionV>
          <wp:extent cx="421005" cy="345440"/>
          <wp:effectExtent l="0" t="0" r="10795" b="0"/>
          <wp:wrapNone/>
          <wp:docPr id="434706882" name="Text Box 1" descr="PUBLIC">
            <a:extLst xmlns:a="http://purl.oclc.org/ooxml/drawingml/main">
              <a:ext uri="{5AE41FA2-C0FF-4470-9BD4-5FADCA87CBE2}">
                <aclsh:classification xmlns:aclsh="http://schemas.microsoft.com/office/drawing/2020/classificationShape" classificationOutcomeType="ftr"/>
              </a:ext>
            </a:extLst>
          </wp:docPr>
          <wp:cNvGraphicFramePr/>
          <a:graphic xmlns:a="http://purl.oclc.org/ooxml/drawingml/main">
            <a:graphicData uri="http://schemas.microsoft.com/office/word/2010/wordprocessingShape">
              <wp:wsp>
                <wp:cNvSpPr txBox="1"/>
                <wp:spPr>
                  <a:xfrm>
                    <a:off x="0" y="0"/>
                    <a:ext cx="421005" cy="345440"/>
                  </a:xfrm>
                  <a:prstGeom prst="rect">
                    <a:avLst/>
                  </a:prstGeom>
                  <a:noFill/>
                  <a:ln>
                    <a:noFill/>
                  </a:ln>
                </wp:spPr>
                <wp:txbx>
                  <wne:txbxContent>
                    <w:p w14:paraId="51E512C6" w14:textId="5C0E1A55" w:rsidR="00184D83" w:rsidRPr="00184D83" w:rsidRDefault="00184D83" w:rsidP="00184D83">
                      <w:pPr>
                        <w:rPr>
                          <w:rFonts w:ascii="Aptos" w:eastAsia="Aptos" w:hAnsi="Aptos" w:cs="Aptos"/>
                          <w:noProof/>
                          <w:color w:val="000000"/>
                        </w:rPr>
                      </w:pPr>
                      <w:r w:rsidRPr="00184D83">
                        <w:rPr>
                          <w:rFonts w:ascii="Aptos" w:eastAsia="Aptos" w:hAnsi="Aptos" w:cs="Aptos"/>
                          <w:noProof/>
                          <w:color w:val="000000"/>
                        </w:rPr>
                        <w:t>PUBLIC</w:t>
                      </w:r>
                    </w:p>
                  </wne:txbxContent>
                </wp:txbx>
                <wp:bodyPr rot="0" spcFirstLastPara="0" vertOverflow="overflow" horzOverflow="overflow" vert="horz" wrap="none" lIns="0" tIns="0" rIns="0" bIns="190500" numCol="1" spcCol="0" rtlCol="0" fromWordArt="0" anchor="b" anchorCtr="0" forceAA="0" compatLnSpc="1">
                  <a:prstTxWarp prst="textNoShape">
                    <a:avLst/>
                  </a:prstTxWarp>
                  <a:spAutoFit/>
                </wp:bodyPr>
              </wp:wsp>
            </a:graphicData>
          </a:graphic>
        </wp:anchor>
      </w:drawing>
    </w:r>
    <w:r w:rsidR="001A3B3D"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7620FD91" w14:textId="77777777" w:rsidR="007C3B70" w:rsidRDefault="007C3B70" w:rsidP="001A3B3D">
      <w:r>
        <w:separator/>
      </w:r>
    </w:p>
  </w:footnote>
  <w:footnote w:type="continuationSeparator" w:id="0">
    <w:p w14:paraId="7B00ECF4" w14:textId="77777777" w:rsidR="007C3B70" w:rsidRDefault="007C3B7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657958623">
    <w:abstractNumId w:val="16"/>
  </w:num>
  <w:num w:numId="26" w16cid:durableId="305817690">
    <w:abstractNumId w:val="16"/>
  </w:num>
  <w:num w:numId="27" w16cid:durableId="325981285">
    <w:abstractNumId w:val="16"/>
  </w:num>
  <w:num w:numId="28" w16cid:durableId="1568566722">
    <w:abstractNumId w:val="16"/>
  </w:num>
  <w:num w:numId="29" w16cid:durableId="2071341297">
    <w:abstractNumId w:val="16"/>
  </w:num>
  <w:num w:numId="30" w16cid:durableId="1947350148">
    <w:abstractNumId w:val="16"/>
  </w:num>
  <w:num w:numId="31" w16cid:durableId="887843196">
    <w:abstractNumId w:val="16"/>
  </w:num>
  <w:num w:numId="32" w16cid:durableId="540048265">
    <w:abstractNumId w:val="16"/>
  </w:num>
  <w:num w:numId="33" w16cid:durableId="688412245">
    <w:abstractNumId w:val="16"/>
  </w:num>
  <w:num w:numId="34" w16cid:durableId="1762991571">
    <w:abstractNumId w:val="16"/>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B3DD0"/>
    <w:rsid w:val="000C1E68"/>
    <w:rsid w:val="00162066"/>
    <w:rsid w:val="00184D83"/>
    <w:rsid w:val="001A2EFD"/>
    <w:rsid w:val="001A3B3D"/>
    <w:rsid w:val="001B67DC"/>
    <w:rsid w:val="001C44E0"/>
    <w:rsid w:val="002254A9"/>
    <w:rsid w:val="00233D97"/>
    <w:rsid w:val="002347A2"/>
    <w:rsid w:val="002850E3"/>
    <w:rsid w:val="002F29E6"/>
    <w:rsid w:val="00354FCF"/>
    <w:rsid w:val="003A19E2"/>
    <w:rsid w:val="003A1A86"/>
    <w:rsid w:val="003B2B40"/>
    <w:rsid w:val="003B4E04"/>
    <w:rsid w:val="003F5A08"/>
    <w:rsid w:val="00420716"/>
    <w:rsid w:val="004325FB"/>
    <w:rsid w:val="004432BA"/>
    <w:rsid w:val="0044407E"/>
    <w:rsid w:val="00447BB9"/>
    <w:rsid w:val="004516BE"/>
    <w:rsid w:val="0046031D"/>
    <w:rsid w:val="00473AC9"/>
    <w:rsid w:val="004D72B5"/>
    <w:rsid w:val="00551B7F"/>
    <w:rsid w:val="0056610F"/>
    <w:rsid w:val="00575BCA"/>
    <w:rsid w:val="005B0344"/>
    <w:rsid w:val="005B520E"/>
    <w:rsid w:val="005E2800"/>
    <w:rsid w:val="005E6208"/>
    <w:rsid w:val="00605825"/>
    <w:rsid w:val="00645D22"/>
    <w:rsid w:val="00651A08"/>
    <w:rsid w:val="00654204"/>
    <w:rsid w:val="00670434"/>
    <w:rsid w:val="006A5D82"/>
    <w:rsid w:val="006B6B66"/>
    <w:rsid w:val="006F6D3D"/>
    <w:rsid w:val="00715BEA"/>
    <w:rsid w:val="00740EEA"/>
    <w:rsid w:val="00747494"/>
    <w:rsid w:val="00794804"/>
    <w:rsid w:val="007A62A4"/>
    <w:rsid w:val="007B33F1"/>
    <w:rsid w:val="007B6DDA"/>
    <w:rsid w:val="007C0308"/>
    <w:rsid w:val="007C2FF2"/>
    <w:rsid w:val="007C3B70"/>
    <w:rsid w:val="007D6232"/>
    <w:rsid w:val="007F1F99"/>
    <w:rsid w:val="007F768F"/>
    <w:rsid w:val="00802C9B"/>
    <w:rsid w:val="0080791D"/>
    <w:rsid w:val="008147B5"/>
    <w:rsid w:val="00836367"/>
    <w:rsid w:val="00873603"/>
    <w:rsid w:val="008A2C7D"/>
    <w:rsid w:val="008B6524"/>
    <w:rsid w:val="008C4B23"/>
    <w:rsid w:val="008F6E2C"/>
    <w:rsid w:val="009303D9"/>
    <w:rsid w:val="00933C64"/>
    <w:rsid w:val="00972203"/>
    <w:rsid w:val="00995376"/>
    <w:rsid w:val="009F1D79"/>
    <w:rsid w:val="00A059B3"/>
    <w:rsid w:val="00A30912"/>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50D71"/>
    <w:rsid w:val="00D632BE"/>
    <w:rsid w:val="00D72D06"/>
    <w:rsid w:val="00D7522C"/>
    <w:rsid w:val="00D7536F"/>
    <w:rsid w:val="00D76668"/>
    <w:rsid w:val="00DF6EBE"/>
    <w:rsid w:val="00E07383"/>
    <w:rsid w:val="00E165BC"/>
    <w:rsid w:val="00E324DE"/>
    <w:rsid w:val="00E61E12"/>
    <w:rsid w:val="00E7596C"/>
    <w:rsid w:val="00E878F2"/>
    <w:rsid w:val="00ED0149"/>
    <w:rsid w:val="00EF7DE3"/>
    <w:rsid w:val="00F03103"/>
    <w:rsid w:val="00F271DE"/>
    <w:rsid w:val="00F627DA"/>
    <w:rsid w:val="00F7288F"/>
    <w:rsid w:val="00F847A6"/>
    <w:rsid w:val="00F9441B"/>
    <w:rsid w:val="00FA4C32"/>
    <w:rsid w:val="00FE63C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C3454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footer" Target="footer3.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10</Pages>
  <Words>8977</Words>
  <Characters>51175</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IntelliContext: Cache-Safe, Type-Aware Context Compression for LLM Agent Pipelines</dc:title>
  <dc:subject/>
  <dc:creator>Kartik Mehta</dc:creator>
  <cp:keywords/>
  <cp:lastModifiedBy>Harshit Mehta</cp:lastModifiedBy>
  <cp:revision>2</cp:revision>
  <dcterms:created xsi:type="dcterms:W3CDTF">2026-08-13T17:23:00Z</dcterms:created>
  <dcterms:modified xsi:type="dcterms:W3CDTF">2026-08-13T17:23:00Z</dcterms:modified>
</cp:coreProperties>
</file>

<file path=docProps/custom.xml><?xml version="1.0" encoding="utf-8"?>
<Properties xmlns="http://purl.oclc.org/ooxml/officeDocument/customProperties" xmlns:vt="http://purl.oclc.org/ooxml/officeDocument/docPropsVTypes">
  <property fmtid="{D5CDD505-2E9C-101B-9397-08002B2CF9AE}" pid="2" name="ClassificationContentMarkingFooterShapeIds">
    <vt:lpwstr>19e919c2,3cffa82b,2e11f3fa</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3486a02c-2dfb-4efe-823f-aa2d1f0e6ab7_Enabled">
    <vt:lpwstr>true</vt:lpwstr>
  </property>
  <property fmtid="{D5CDD505-2E9C-101B-9397-08002B2CF9AE}" pid="6" name="MSIP_Label_3486a02c-2dfb-4efe-823f-aa2d1f0e6ab7_SetDate">
    <vt:lpwstr>2026-08-13T15:29:24Z</vt:lpwstr>
  </property>
  <property fmtid="{D5CDD505-2E9C-101B-9397-08002B2CF9AE}" pid="7" name="MSIP_Label_3486a02c-2dfb-4efe-823f-aa2d1f0e6ab7_Method">
    <vt:lpwstr>Privileged</vt:lpwstr>
  </property>
  <property fmtid="{D5CDD505-2E9C-101B-9397-08002B2CF9AE}" pid="8" name="MSIP_Label_3486a02c-2dfb-4efe-823f-aa2d1f0e6ab7_Name">
    <vt:lpwstr>CLAPUBLIC</vt:lpwstr>
  </property>
  <property fmtid="{D5CDD505-2E9C-101B-9397-08002B2CF9AE}" pid="9" name="MSIP_Label_3486a02c-2dfb-4efe-823f-aa2d1f0e6ab7_SiteId">
    <vt:lpwstr>e0fd434d-ba64-497b-90d2-859c472e1a92</vt:lpwstr>
  </property>
  <property fmtid="{D5CDD505-2E9C-101B-9397-08002B2CF9AE}" pid="10" name="MSIP_Label_3486a02c-2dfb-4efe-823f-aa2d1f0e6ab7_ActionId">
    <vt:lpwstr>9ad67878-27e3-42ba-8f14-24d22c743c1f</vt:lpwstr>
  </property>
  <property fmtid="{D5CDD505-2E9C-101B-9397-08002B2CF9AE}" pid="11" name="MSIP_Label_3486a02c-2dfb-4efe-823f-aa2d1f0e6ab7_ContentBits">
    <vt:lpwstr>2</vt:lpwstr>
  </property>
  <property fmtid="{D5CDD505-2E9C-101B-9397-08002B2CF9AE}" pid="12" name="MSIP_Label_3486a02c-2dfb-4efe-823f-aa2d1f0e6ab7_Tag">
    <vt:lpwstr>50, 0, 1, 1</vt:lpwstr>
  </property>
</Properties>
</file>