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Master Services Agreement is entered into as of March 1, 2026, by and between TechCorp Inc., a Washington corporation, and DevPartner LLC, an Oregon limited liability company.</w:t>
      </w:r>
    </w:p>
    <w:p>
      <w:pPr>
        <w:pStyle w:val="Heading2"/>
      </w:pPr>
      <w:r>
        <w:t>1. SERVICES</w:t>
      </w:r>
    </w:p>
    <w:p>
      <w:r>
        <w:t>DevPartner shall provide software development services to TechCorp pursuant to mutually agreed Statements of Work.</w:t>
      </w:r>
    </w:p>
    <w:p>
      <w:pPr>
        <w:pStyle w:val="Heading2"/>
      </w:pPr>
      <w:r>
        <w:t>2. PAYMENT TERMS</w:t>
      </w:r>
    </w:p>
    <w:p>
      <w:r>
        <w:t>TechCorp shall pay all invoices within 60 days of receipt. Late payments shall accrue interest at 1.5% per month.</w:t>
      </w:r>
    </w:p>
    <w:p>
      <w:pPr>
        <w:pStyle w:val="Heading2"/>
      </w:pPr>
      <w:r>
        <w:t>3. INTELLECTUAL PROPERTY</w:t>
      </w:r>
    </w:p>
    <w:p>
      <w:r>
        <w:t>All work product created under this Agreement shall be owned by TechCorp. DevPartner retains ownership of pre-existing materials.</w:t>
      </w:r>
    </w:p>
    <w:p>
      <w:pPr>
        <w:pStyle w:val="Heading2"/>
      </w:pPr>
      <w:r>
        <w:t>4. LIMITATION OF LIABILITY</w:t>
      </w:r>
    </w:p>
    <w:p>
      <w:r>
        <w:t>Each Party’s liability shall be limited to the fees paid in the three months preceding the claim.</w:t>
      </w:r>
    </w:p>
    <w:p>
      <w:pPr>
        <w:pStyle w:val="Heading2"/>
      </w:pPr>
      <w:r>
        <w:t>5. GOVERNING LAW</w:t>
      </w:r>
    </w:p>
    <w:p>
      <w:r>
        <w:t>This Agreement shall be governed by the laws of the State of Washington.</w:t>
      </w:r>
    </w:p>
    <w:p>
      <w:pPr>
        <w:pStyle w:val="Heading2"/>
      </w:pPr>
      <w:r>
        <w:t>6. TERMINATION</w:t>
      </w:r>
    </w:p>
    <w:p>
      <w:r>
        <w:t>Either Party may terminate this Agreement for convenience upon 120 days written notice.</w:t>
      </w:r>
    </w:p>
    <w:p>
      <w:pPr>
        <w:pStyle w:val="Heading2"/>
      </w:pPr>
      <w:r>
        <w:t>7. CONFIDENTIALITY</w:t>
      </w:r>
    </w:p>
    <w:p>
      <w:r>
        <w:t>Each Party shall protect the other’s confidential information. These obligations shall survive for two years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