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Commercial Lease Agreement is entered into as of April 1, 2026, between Property Holdings LLC (Landlord) and StartupCo Inc. (Tenant).</w:t>
      </w:r>
    </w:p>
    <w:p>
      <w:pPr>
        <w:pStyle w:val="Heading2"/>
      </w:pPr>
      <w:r>
        <w:t>1. PREMISES</w:t>
      </w:r>
    </w:p>
    <w:p>
      <w:r>
        <w:t>Landlord leases to Tenant approximately 5,000 square feet of office space at 123 Business Park Drive, Suite 200, Austin, Texas 78701.</w:t>
      </w:r>
    </w:p>
    <w:p>
      <w:pPr>
        <w:pStyle w:val="Heading2"/>
      </w:pPr>
      <w:r>
        <w:t>2. TERM</w:t>
      </w:r>
    </w:p>
    <w:p>
      <w:r>
        <w:t>The initial lease term shall be five years commencing on May 1, 2026.</w:t>
      </w:r>
    </w:p>
    <w:p>
      <w:pPr>
        <w:pStyle w:val="Heading2"/>
      </w:pPr>
      <w:r>
        <w:t>3. RENT</w:t>
      </w:r>
    </w:p>
    <w:p>
      <w:r>
        <w:t>Tenant shall pay monthly rent of $12,000. Rent shall be due on the first day of each month.</w:t>
      </w:r>
    </w:p>
    <w:p>
      <w:pPr>
        <w:pStyle w:val="Heading2"/>
      </w:pPr>
      <w:r>
        <w:t>4. GOVERNING LAW</w:t>
      </w:r>
    </w:p>
    <w:p>
      <w:r>
        <w:t>This Lease shall be governed by the laws of the State of Texas.</w:t>
      </w:r>
    </w:p>
    <w:p>
      <w:pPr>
        <w:pStyle w:val="Heading2"/>
      </w:pPr>
      <w:r>
        <w:t>5. LIABILITY</w:t>
      </w:r>
    </w:p>
    <w:p>
      <w:r>
        <w:t>Tenant’s liability for any breach of this Lease shall be unlimited.</w:t>
      </w:r>
    </w:p>
    <w:p>
      <w:pPr>
        <w:pStyle w:val="Heading2"/>
      </w:pPr>
      <w:r>
        <w:t>6. TERMINATION</w:t>
      </w:r>
    </w:p>
    <w:p>
      <w:r>
        <w:t>Either Party may terminate this Lease upon 180 days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