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(the "Agreement") is entered into as of January 15, 2026 (the "Effective Date"), by and between Alpha Technologies, Inc., a Delaware corporation with its principal place of business at 100 Market Street, Wilmington, DE 19801 ("Alpha"), and Beta Solutions LLC, a California limited liability company with its principal place of business at 500 Howard Street, San Francisco, CA 94105 ("Beta"). Alpha and Beta are each referred to as a "Party" and collectively as the "Parties."</w:t>
      </w:r>
    </w:p>
    <w:p>
      <w:pPr>
        <w:pStyle w:val="Heading2"/>
      </w:pPr>
      <w:r>
        <w:t>1. PURPOSE</w:t>
      </w:r>
    </w:p>
    <w:p>
      <w:r>
        <w:t>The Parties wish to explore a potential business relationship (the "Purpose") and may disclose confidential information to each other for that Purpose. Each Party may disclose certain proprietary and confidential information to the other Party, including but not limited to technical specifications, business plans, customer lists, pricing information, and trade secrets (collectively, "Confidential Information").</w:t>
      </w:r>
    </w:p>
    <w:p>
      <w:pPr>
        <w:pStyle w:val="Heading2"/>
      </w:pPr>
      <w:r>
        <w:t>2. CONFIDENTIALITY OBLIGATIONS</w:t>
      </w:r>
    </w:p>
    <w:p>
      <w:r>
        <w:t>Each Party agrees to (a) hold the other Party’s Confidential Information in strict confidence, (b) not disclose such Confidential Information to any third party without prior written consent, and (c) use such Confidential Information solely for the Purpose. The obligations in this Section 2 shall survive termination of this Agreement for five years.</w:t>
      </w:r>
    </w:p>
    <w:p>
      <w:pPr>
        <w:pStyle w:val="Heading2"/>
      </w:pPr>
      <w:r>
        <w:t>3. TERM AND TERMINATION</w:t>
      </w:r>
    </w:p>
    <w:p>
      <w:r>
        <w:t>This Agreement shall commence on the Effective Date and shall remain in effect for a period of two (2) years. Either Party may terminate this Agreement upon 90 days notice to the other Party. Upon termination, each Party shall return or destroy all Confidential Information received from the other Party within ten (10) business days.</w:t>
      </w:r>
    </w:p>
    <w:p>
      <w:pPr>
        <w:pStyle w:val="Heading2"/>
      </w:pPr>
      <w:r>
        <w:t>4. GOVERNING LAW</w:t>
      </w:r>
    </w:p>
    <w:p>
      <w:r>
        <w:t>This Agreement shall be governed by and construed in accordance with the laws of the State of Delaware, without regard to its conflict of laws principles. The Parties consent to the exclusive jurisdiction of the state and federal courts located in the State of Delaware for any dispute arising under this Agreement.</w:t>
      </w:r>
    </w:p>
    <w:p>
      <w:pPr>
        <w:pStyle w:val="Heading2"/>
      </w:pPr>
      <w:r>
        <w:t>5. LIMITATION OF LIABILITY</w:t>
      </w:r>
    </w:p>
    <w:p>
      <w:r>
        <w:t>Liability is unlimited for all claims arising under this Agreement. Neither Party shall be liable for indirect, incidental, or consequential damages, except as required by applicable law.</w:t>
      </w:r>
    </w:p>
    <w:p>
      <w:pPr>
        <w:pStyle w:val="Heading2"/>
      </w:pPr>
      <w:r>
        <w:t>6. INDEMNIFICATION</w:t>
      </w:r>
    </w:p>
    <w:p>
      <w:r>
        <w:t>Each Party shall indemnify, defend, and hold harmless the other Party from any and all third-party claims, damages, losses, and expenses (including reasonable attorneys’ fees) arising from the indemnifying Party’s breach of this Agreement or its misuse of Confidential Information. The indemnifying Party’s total liability for indemnification shall be unlimited.</w:t>
      </w:r>
    </w:p>
    <w:p>
      <w:pPr>
        <w:pStyle w:val="Heading2"/>
      </w:pPr>
      <w:r>
        <w:t>7. INJUNCTIVE RELIEF</w:t>
      </w:r>
    </w:p>
    <w:p>
      <w:r>
        <w:t>Each Party acknowledges that monetary damages may be inadequate to remedy a breach of this Agreement and agrees that the non-breaching Party shall be entitled to seek injunctive relief in addition to any other available remedies.</w:t>
      </w:r>
    </w:p>
    <w:p>
      <w:pPr>
        <w:pStyle w:val="Heading2"/>
      </w:pPr>
      <w:r>
        <w:t>8. MISCELLANEOUS</w:t>
      </w:r>
    </w:p>
    <w:p>
      <w:r>
        <w:t>This Agreement constitutes the entire agreement between the Parties regarding the subject matter hereof. This Agreement may be amended only in writing signed by both Parties. If any provision is found unenforceable, the remaining provisions shall remain in full force and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