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52"/>
          <w:szCs w:val="52"/>
        </w:rPr>
        <w:t xml:space="preserve">Customer Intelligence Report</w:t>
      </w:r>
    </w:p>
    <w:p>
      <w:pPr>
        <w:spacing w:after="600"/>
        <w:jc w:val="center"/>
      </w:pPr>
      <w:r>
        <w:rPr>
          <w:color w:val="44546A"/>
          <w:sz w:val="28"/>
          <w:szCs w:val="28"/>
        </w:rPr>
        <w:t xml:space="preserve">Segmentation, Lifetime Value, Churn Risk &amp; Price Sensitivity</w:t>
      </w:r>
    </w:p>
    <w:p>
      <w:pPr>
        <w:spacing w:after="200"/>
        <w:jc w:val="center"/>
      </w:pPr>
      <w:r>
        <w:rPr>
          <w:i/>
          <w:iCs/>
          <w:color w:val="595959"/>
          <w:sz w:val="22"/>
          <w:szCs w:val="22"/>
        </w:rPr>
        <w:t xml:space="preserve">Dataset: Online Retail II (UCI) — UK Online Gift Retailer, Dec 2009 – Dec 2011</w:t>
      </w:r>
    </w:p>
    <w:p>
      <w:pPr>
        <w:spacing w:before="2400"/>
        <w:jc w:val="center"/>
      </w:pPr>
      <w:r>
        <w:rPr>
          <w:color w:val="808080"/>
          <w:sz w:val="20"/>
          <w:szCs w:val="20"/>
        </w:rPr>
        <w:t xml:space="preserve">Prepared as a self-directed analytics project</w:t>
      </w:r>
    </w:p>
    <w:p>
      <w:pPr>
        <w:sectPr>
          <w:pgSz w:w="12240" w:h="15840" w:orient="portrait"/>
          <w:pgMar w:top="1080" w:right="1080" w:bottom="1080" w:left="1080" w:header="708" w:footer="708" w:gutter="0"/>
          <w:pgNumType/>
          <w:docGrid w:linePitch="360"/>
        </w:sectPr>
      </w:pPr>
    </w:p>
    <w:p>
      <w:pPr>
        <w:pStyle w:val="Heading1"/>
        <w:spacing w:after="160" w:before="320"/>
      </w:pPr>
      <w:r>
        <w:t xml:space="preserve">Executive Summary</w:t>
      </w:r>
    </w:p>
    <w:p>
      <w:pPr>
        <w:spacing w:after="200"/>
        <w:jc w:val="left"/>
      </w:pPr>
      <w:r>
        <w:t xml:space="preserve">This report analyzes roughly 6,000 customers of a UK-based online gift retailer over a two-year period, combining four analytical lenses — behavioral segmentation, predicted customer lifetime value (CLV), churn risk, and price sensitivity — into a single, decision-ready view of the customer base. The goal was to move beyond a single-output prediction model and instead answer a layered business question: which customers matter most, which are at risk of leaving, and how should pricing strategy differ across groups?</w:t>
      </w:r>
    </w:p>
    <w:p>
      <w:pPr>
        <w:spacing w:after="200"/>
        <w:jc w:val="left"/>
      </w:pPr>
      <w:r>
        <w:t xml:space="preserve">Four customer segments were identified: Champions, At-Risk, New/Occasional, and Lost/Inactive. The clearest finding is that the At-Risk segment — customers with substantial historical value but an 82% churn rate — represents the highest-priority opportunity for retention investment, while the Lost/Inactive segment is best deprioritized given its near-total churn and negligible predicted future value. Price sensitivity varies meaningfully across segments, and one result (a positive elasticity for the Lost/Inactive segment) was identified as a statistical artifact of seasonality rather than a genuine pricing insight — a finding discussed in detail in Section 5.</w:t>
      </w:r>
    </w:p>
    <w:p>
      <w:pPr>
        <w:pBdr>
          <w:bottom w:val="single" w:color="BFBFBF" w:sz="6" w:space="1"/>
        </w:pBdr>
        <w:spacing w:after="240"/>
      </w:pPr>
    </w:p>
    <w:p>
      <w:pPr>
        <w:pStyle w:val="Heading1"/>
        <w:spacing w:after="160" w:before="320"/>
      </w:pPr>
      <w:r>
        <w:t xml:space="preserve">1. Objective &amp; Approach</w:t>
      </w:r>
    </w:p>
    <w:p>
      <w:pPr>
        <w:spacing w:after="200"/>
        <w:jc w:val="left"/>
      </w:pPr>
      <w:r>
        <w:t xml:space="preserve">Most introductory customer-analytics projects stop at a single model — e.g., predicting whether a customer will churn. This project instead layers four techniques so that each adds context to the others:</w:t>
      </w:r>
    </w:p>
    <w:p>
      <w:pPr>
        <w:pStyle w:val="ListParagraph"/>
        <w:numPr>
          <w:ilvl w:val="0"/>
          <w:numId w:val="1"/>
        </w:numPr>
        <w:spacing w:after="100"/>
      </w:pPr>
      <w:r>
        <w:t xml:space="preserve">Segmentation (K-Means clustering on RFM features) — establishes who the customers are</w:t>
      </w:r>
    </w:p>
    <w:p>
      <w:pPr>
        <w:pStyle w:val="ListParagraph"/>
        <w:numPr>
          <w:ilvl w:val="0"/>
          <w:numId w:val="1"/>
        </w:numPr>
        <w:spacing w:after="100"/>
      </w:pPr>
      <w:r>
        <w:t xml:space="preserve">Customer Lifetime Value (BG/NBD + Gamma-Gamma probabilistic models) — estimates forward-looking value per customer</w:t>
      </w:r>
    </w:p>
    <w:p>
      <w:pPr>
        <w:pStyle w:val="ListParagraph"/>
        <w:numPr>
          <w:ilvl w:val="0"/>
          <w:numId w:val="1"/>
        </w:numPr>
        <w:spacing w:after="100"/>
      </w:pPr>
      <w:r>
        <w:t xml:space="preserve">Churn Risk (logistic regression) — estimates likelihood a customer has already lapsed, and why</w:t>
      </w:r>
    </w:p>
    <w:p>
      <w:pPr>
        <w:pStyle w:val="ListParagraph"/>
        <w:numPr>
          <w:ilvl w:val="0"/>
          <w:numId w:val="1"/>
        </w:numPr>
        <w:spacing w:after="100"/>
      </w:pPr>
      <w:r>
        <w:t xml:space="preserve">Price Sensitivity (log-log elasticity regression) — estimates how demand within each segment responds to price</w:t>
      </w:r>
    </w:p>
    <w:p>
      <w:pPr>
        <w:spacing w:after="200"/>
        <w:jc w:val="left"/>
      </w:pPr>
      <w:r>
        <w:t xml:space="preserve">Each phase's output was fed into the next, culminating in a single segment-level summary table (Section 6) that supports concrete business recommendations (Section 7).</w:t>
      </w:r>
    </w:p>
    <w:p>
      <w:pPr>
        <w:pStyle w:val="Heading1"/>
        <w:spacing w:after="160" w:before="320"/>
      </w:pPr>
      <w:r>
        <w:t xml:space="preserve">2. Data &amp; Preparation</w:t>
      </w:r>
    </w:p>
    <w:p>
      <w:pPr>
        <w:spacing w:after="200"/>
        <w:jc w:val="left"/>
      </w:pPr>
      <w:r>
        <w:t xml:space="preserve">The dataset comprises 1,067,371 transaction line items across two years (Dec 2009 – Dec 2011). Key preparation steps:</w:t>
      </w:r>
    </w:p>
    <w:p>
      <w:pPr>
        <w:pStyle w:val="ListParagraph"/>
        <w:numPr>
          <w:ilvl w:val="0"/>
          <w:numId w:val="1"/>
        </w:numPr>
        <w:spacing w:after="100"/>
      </w:pPr>
      <w:r>
        <w:t xml:space="preserve">Removed ~243,000 rows with no Customer ID (unusable for customer-level analysis)</w:t>
      </w:r>
    </w:p>
    <w:p>
      <w:pPr>
        <w:pStyle w:val="ListParagraph"/>
        <w:numPr>
          <w:ilvl w:val="0"/>
          <w:numId w:val="1"/>
        </w:numPr>
        <w:spacing w:after="100"/>
      </w:pPr>
      <w:r>
        <w:t xml:space="preserve">Identified cancelled orders (Invoice numbers prefixed “C”) and, rather than discarding this signal, converted it into a per-customer “Cancel Count” feature retained for later modeling</w:t>
      </w:r>
    </w:p>
    <w:p>
      <w:pPr>
        <w:pStyle w:val="ListParagraph"/>
        <w:numPr>
          <w:ilvl w:val="0"/>
          <w:numId w:val="1"/>
        </w:numPr>
        <w:spacing w:after="100"/>
      </w:pPr>
      <w:r>
        <w:t xml:space="preserve">Removed 71 rows with zero or negative price (a mix of manual/administrative entries and likely data errors) and non-product administrative codes (e.g., postage, manual adjustments) prior to price-sensitivity analysis</w:t>
      </w:r>
    </w:p>
    <w:p>
      <w:pPr>
        <w:pStyle w:val="ListParagraph"/>
        <w:numPr>
          <w:ilvl w:val="0"/>
          <w:numId w:val="1"/>
        </w:numPr>
        <w:spacing w:after="100"/>
      </w:pPr>
      <w:r>
        <w:t xml:space="preserve">Converted InvoiceDate to proper datetime format and constructed a TotalPrice (Quantity × Price) field</w:t>
      </w:r>
    </w:p>
    <w:p>
      <w:pPr>
        <w:spacing w:after="200"/>
        <w:jc w:val="left"/>
      </w:pPr>
      <w:r>
        <w:t xml:space="preserve">The cleaned dataset of 824,364 transaction lines across roughly 5,878 customers formed the basis for all subsequent analysis.</w:t>
      </w:r>
    </w:p>
    <w:p>
      <w:pPr>
        <w:pStyle w:val="Heading1"/>
        <w:spacing w:after="160" w:before="320"/>
      </w:pPr>
      <w:r>
        <w:t xml:space="preserve">3. Customer Segmentation</w:t>
      </w:r>
    </w:p>
    <w:p>
      <w:pPr>
        <w:spacing w:after="200"/>
        <w:jc w:val="left"/>
      </w:pPr>
      <w:r>
        <w:t xml:space="preserve">Customers were segmented using K-Means clustering on standardized, log-transformed RFM features (Recency, Frequency, Monetary value), with the number of clusters (k = 4) chosen using the elbow method and confirmed with silhouette scoring. The resulting segments were: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600"/>
        <w:gridCol w:w="1500"/>
        <w:gridCol w:w="2580"/>
      </w:tblGrid>
      <w:tr>
        <w:trPr>
          <w:tblHeader/>
        </w:trPr>
        <w:tc>
          <w:tcPr>
            <w:tcW w:type="dxa" w:w="2000"/>
            <w:shd w:fill="1F3864" w:color="auto" w:val="clear"/>
            <w:tcMar>
              <w:top w:type="dxa" w:w="100"/>
              <w:left w:type="dxa" w:w="100"/>
              <w:bottom w:type="dxa" w:w="100"/>
              <w:right w:type="dxa" w:w="100"/>
            </w:tcMar>
          </w:tcPr>
          <w:p>
            <w:r>
              <w:rPr>
                <w:b/>
                <w:bCs/>
                <w:color w:val="FFFFFF"/>
                <w:sz w:val="19"/>
                <w:szCs w:val="19"/>
              </w:rPr>
              <w:t xml:space="preserve">Segment</w:t>
            </w:r>
          </w:p>
        </w:tc>
        <w:tc>
          <w:tcPr>
            <w:tcW w:type="dxa" w:w="1600"/>
            <w:shd w:fill="1F3864" w:color="auto" w:val="clear"/>
            <w:tcMar>
              <w:top w:type="dxa" w:w="100"/>
              <w:left w:type="dxa" w:w="100"/>
              <w:bottom w:type="dxa" w:w="100"/>
              <w:right w:type="dxa" w:w="100"/>
            </w:tcMar>
          </w:tcPr>
          <w:p>
            <w:r>
              <w:rPr>
                <w:b/>
                <w:bCs/>
                <w:color w:val="FFFFFF"/>
                <w:sz w:val="19"/>
                <w:szCs w:val="19"/>
              </w:rPr>
              <w:t xml:space="preserve">Recency (days)</w:t>
            </w:r>
          </w:p>
        </w:tc>
        <w:tc>
          <w:tcPr>
            <w:tcW w:type="dxa" w:w="1800"/>
            <w:shd w:fill="1F3864" w:color="auto" w:val="clear"/>
            <w:tcMar>
              <w:top w:type="dxa" w:w="100"/>
              <w:left w:type="dxa" w:w="100"/>
              <w:bottom w:type="dxa" w:w="100"/>
              <w:right w:type="dxa" w:w="100"/>
            </w:tcMar>
          </w:tcPr>
          <w:p>
            <w:r>
              <w:rPr>
                <w:b/>
                <w:bCs/>
                <w:color w:val="FFFFFF"/>
                <w:sz w:val="19"/>
                <w:szCs w:val="19"/>
              </w:rPr>
              <w:t xml:space="preserve">Frequency (orders)</w:t>
            </w:r>
          </w:p>
        </w:tc>
        <w:tc>
          <w:tcPr>
            <w:tcW w:type="dxa" w:w="1600"/>
            <w:shd w:fill="1F3864" w:color="auto" w:val="clear"/>
            <w:tcMar>
              <w:top w:type="dxa" w:w="100"/>
              <w:left w:type="dxa" w:w="100"/>
              <w:bottom w:type="dxa" w:w="100"/>
              <w:right w:type="dxa" w:w="100"/>
            </w:tcMar>
          </w:tcPr>
          <w:p>
            <w:r>
              <w:rPr>
                <w:b/>
                <w:bCs/>
                <w:color w:val="FFFFFF"/>
                <w:sz w:val="19"/>
                <w:szCs w:val="19"/>
              </w:rPr>
              <w:t xml:space="preserve">Monetary ($)</w:t>
            </w:r>
          </w:p>
        </w:tc>
        <w:tc>
          <w:tcPr>
            <w:tcW w:type="dxa" w:w="1500"/>
            <w:shd w:fill="1F3864" w:color="auto" w:val="clear"/>
            <w:tcMar>
              <w:top w:type="dxa" w:w="100"/>
              <w:left w:type="dxa" w:w="100"/>
              <w:bottom w:type="dxa" w:w="100"/>
              <w:right w:type="dxa" w:w="100"/>
            </w:tcMar>
          </w:tcPr>
          <w:p>
            <w:r>
              <w:rPr>
                <w:b/>
                <w:bCs/>
                <w:color w:val="FFFFFF"/>
                <w:sz w:val="19"/>
                <w:szCs w:val="19"/>
              </w:rPr>
              <w:t xml:space="preserve">Cancel Count</w:t>
            </w:r>
          </w:p>
        </w:tc>
        <w:tc>
          <w:tcPr>
            <w:tcW w:type="dxa" w:w="2580"/>
            <w:shd w:fill="1F3864" w:color="auto" w:val="clear"/>
            <w:tcMar>
              <w:top w:type="dxa" w:w="100"/>
              <w:left w:type="dxa" w:w="100"/>
              <w:bottom w:type="dxa" w:w="100"/>
              <w:right w:type="dxa" w:w="100"/>
            </w:tcMar>
          </w:tcPr>
          <w:p>
            <w:r>
              <w:rPr>
                <w:b/>
                <w:bCs/>
                <w:color w:val="FFFFFF"/>
                <w:sz w:val="19"/>
                <w:szCs w:val="19"/>
              </w:rPr>
              <w:t xml:space="preserve">Profile</w:t>
            </w:r>
          </w:p>
        </w:tc>
      </w:tr>
      <w:tr>
        <w:tc>
          <w:tcPr>
            <w:tcW w:type="dxa" w:w="2000"/>
            <w:tcMar>
              <w:top w:type="dxa" w:w="90"/>
              <w:left w:type="dxa" w:w="100"/>
              <w:bottom w:type="dxa" w:w="90"/>
              <w:right w:type="dxa" w:w="100"/>
            </w:tcMar>
          </w:tcPr>
          <w:p>
            <w:r>
              <w:rPr>
                <w:sz w:val="19"/>
                <w:szCs w:val="19"/>
              </w:rPr>
              <w:t xml:space="preserve">Champions</w:t>
            </w:r>
          </w:p>
        </w:tc>
        <w:tc>
          <w:tcPr>
            <w:tcW w:type="dxa" w:w="1600"/>
            <w:tcMar>
              <w:top w:type="dxa" w:w="90"/>
              <w:left w:type="dxa" w:w="100"/>
              <w:bottom w:type="dxa" w:w="90"/>
              <w:right w:type="dxa" w:w="100"/>
            </w:tcMar>
          </w:tcPr>
          <w:p>
            <w:r>
              <w:rPr>
                <w:sz w:val="19"/>
                <w:szCs w:val="19"/>
              </w:rPr>
              <w:t xml:space="preserve">27.4</w:t>
            </w:r>
          </w:p>
        </w:tc>
        <w:tc>
          <w:tcPr>
            <w:tcW w:type="dxa" w:w="1800"/>
            <w:tcMar>
              <w:top w:type="dxa" w:w="90"/>
              <w:left w:type="dxa" w:w="100"/>
              <w:bottom w:type="dxa" w:w="90"/>
              <w:right w:type="dxa" w:w="100"/>
            </w:tcMar>
          </w:tcPr>
          <w:p>
            <w:r>
              <w:rPr>
                <w:sz w:val="19"/>
                <w:szCs w:val="19"/>
              </w:rPr>
              <w:t xml:space="preserve">19.3</w:t>
            </w:r>
          </w:p>
        </w:tc>
        <w:tc>
          <w:tcPr>
            <w:tcW w:type="dxa" w:w="1600"/>
            <w:tcMar>
              <w:top w:type="dxa" w:w="90"/>
              <w:left w:type="dxa" w:w="100"/>
              <w:bottom w:type="dxa" w:w="90"/>
              <w:right w:type="dxa" w:w="100"/>
            </w:tcMar>
          </w:tcPr>
          <w:p>
            <w:r>
              <w:rPr>
                <w:sz w:val="19"/>
                <w:szCs w:val="19"/>
              </w:rPr>
              <w:t xml:space="preserve">11,014</w:t>
            </w:r>
          </w:p>
        </w:tc>
        <w:tc>
          <w:tcPr>
            <w:tcW w:type="dxa" w:w="1500"/>
            <w:tcMar>
              <w:top w:type="dxa" w:w="90"/>
              <w:left w:type="dxa" w:w="100"/>
              <w:bottom w:type="dxa" w:w="90"/>
              <w:right w:type="dxa" w:w="100"/>
            </w:tcMar>
          </w:tcPr>
          <w:p>
            <w:r>
              <w:rPr>
                <w:sz w:val="19"/>
                <w:szCs w:val="19"/>
              </w:rPr>
              <w:t xml:space="preserve">10.5</w:t>
            </w:r>
          </w:p>
        </w:tc>
        <w:tc>
          <w:tcPr>
            <w:tcW w:type="dxa" w:w="2580"/>
            <w:tcMar>
              <w:top w:type="dxa" w:w="90"/>
              <w:left w:type="dxa" w:w="100"/>
              <w:bottom w:type="dxa" w:w="90"/>
              <w:right w:type="dxa" w:w="100"/>
            </w:tcMar>
          </w:tcPr>
          <w:p>
            <w:r>
              <w:rPr>
                <w:sz w:val="19"/>
                <w:szCs w:val="19"/>
              </w:rPr>
              <w:t xml:space="preserve">Most recent, most frequent, highest spend</w:t>
            </w:r>
          </w:p>
        </w:tc>
      </w:tr>
      <w:tr>
        <w:tc>
          <w:tcPr>
            <w:tcW w:type="dxa" w:w="2000"/>
            <w:shd w:fill="F2F2F2" w:color="auto" w:val="clear"/>
            <w:tcMar>
              <w:top w:type="dxa" w:w="90"/>
              <w:left w:type="dxa" w:w="100"/>
              <w:bottom w:type="dxa" w:w="90"/>
              <w:right w:type="dxa" w:w="100"/>
            </w:tcMar>
          </w:tcPr>
          <w:p>
            <w:r>
              <w:rPr>
                <w:sz w:val="19"/>
                <w:szCs w:val="19"/>
              </w:rPr>
              <w:t xml:space="preserve">New/Occasional</w:t>
            </w:r>
          </w:p>
        </w:tc>
        <w:tc>
          <w:tcPr>
            <w:tcW w:type="dxa" w:w="1600"/>
            <w:shd w:fill="F2F2F2" w:color="auto" w:val="clear"/>
            <w:tcMar>
              <w:top w:type="dxa" w:w="90"/>
              <w:left w:type="dxa" w:w="100"/>
              <w:bottom w:type="dxa" w:w="90"/>
              <w:right w:type="dxa" w:w="100"/>
            </w:tcMar>
          </w:tcPr>
          <w:p>
            <w:r>
              <w:rPr>
                <w:sz w:val="19"/>
                <w:szCs w:val="19"/>
              </w:rPr>
              <w:t xml:space="preserve">28.4</w:t>
            </w:r>
          </w:p>
        </w:tc>
        <w:tc>
          <w:tcPr>
            <w:tcW w:type="dxa" w:w="1800"/>
            <w:shd w:fill="F2F2F2" w:color="auto" w:val="clear"/>
            <w:tcMar>
              <w:top w:type="dxa" w:w="90"/>
              <w:left w:type="dxa" w:w="100"/>
              <w:bottom w:type="dxa" w:w="90"/>
              <w:right w:type="dxa" w:w="100"/>
            </w:tcMar>
          </w:tcPr>
          <w:p>
            <w:r>
              <w:rPr>
                <w:sz w:val="19"/>
                <w:szCs w:val="19"/>
              </w:rPr>
              <w:t xml:space="preserve">3.0</w:t>
            </w:r>
          </w:p>
        </w:tc>
        <w:tc>
          <w:tcPr>
            <w:tcW w:type="dxa" w:w="1600"/>
            <w:shd w:fill="F2F2F2" w:color="auto" w:val="clear"/>
            <w:tcMar>
              <w:top w:type="dxa" w:w="90"/>
              <w:left w:type="dxa" w:w="100"/>
              <w:bottom w:type="dxa" w:w="90"/>
              <w:right w:type="dxa" w:w="100"/>
            </w:tcMar>
          </w:tcPr>
          <w:p>
            <w:r>
              <w:rPr>
                <w:sz w:val="19"/>
                <w:szCs w:val="19"/>
              </w:rPr>
              <w:t xml:space="preserve">865</w:t>
            </w:r>
          </w:p>
        </w:tc>
        <w:tc>
          <w:tcPr>
            <w:tcW w:type="dxa" w:w="1500"/>
            <w:shd w:fill="F2F2F2" w:color="auto" w:val="clear"/>
            <w:tcMar>
              <w:top w:type="dxa" w:w="90"/>
              <w:left w:type="dxa" w:w="100"/>
              <w:bottom w:type="dxa" w:w="90"/>
              <w:right w:type="dxa" w:w="100"/>
            </w:tcMar>
          </w:tcPr>
          <w:p>
            <w:r>
              <w:rPr>
                <w:sz w:val="19"/>
                <w:szCs w:val="19"/>
              </w:rPr>
              <w:t xml:space="preserve">1.0</w:t>
            </w:r>
          </w:p>
        </w:tc>
        <w:tc>
          <w:tcPr>
            <w:tcW w:type="dxa" w:w="2580"/>
            <w:shd w:fill="F2F2F2" w:color="auto" w:val="clear"/>
            <w:tcMar>
              <w:top w:type="dxa" w:w="90"/>
              <w:left w:type="dxa" w:w="100"/>
              <w:bottom w:type="dxa" w:w="90"/>
              <w:right w:type="dxa" w:w="100"/>
            </w:tcMar>
          </w:tcPr>
          <w:p>
            <w:r>
              <w:rPr>
                <w:sz w:val="19"/>
                <w:szCs w:val="19"/>
              </w:rPr>
              <w:t xml:space="preserve">Recently active, limited order history</w:t>
            </w:r>
          </w:p>
        </w:tc>
      </w:tr>
      <w:tr>
        <w:tc>
          <w:tcPr>
            <w:tcW w:type="dxa" w:w="2000"/>
            <w:tcMar>
              <w:top w:type="dxa" w:w="90"/>
              <w:left w:type="dxa" w:w="100"/>
              <w:bottom w:type="dxa" w:w="90"/>
              <w:right w:type="dxa" w:w="100"/>
            </w:tcMar>
          </w:tcPr>
          <w:p>
            <w:r>
              <w:rPr>
                <w:sz w:val="19"/>
                <w:szCs w:val="19"/>
              </w:rPr>
              <w:t xml:space="preserve">At-Risk</w:t>
            </w:r>
          </w:p>
        </w:tc>
        <w:tc>
          <w:tcPr>
            <w:tcW w:type="dxa" w:w="1600"/>
            <w:tcMar>
              <w:top w:type="dxa" w:w="90"/>
              <w:left w:type="dxa" w:w="100"/>
              <w:bottom w:type="dxa" w:w="90"/>
              <w:right w:type="dxa" w:w="100"/>
            </w:tcMar>
          </w:tcPr>
          <w:p>
            <w:r>
              <w:rPr>
                <w:sz w:val="19"/>
                <w:szCs w:val="19"/>
              </w:rPr>
              <w:t xml:space="preserve">227.9</w:t>
            </w:r>
          </w:p>
        </w:tc>
        <w:tc>
          <w:tcPr>
            <w:tcW w:type="dxa" w:w="1800"/>
            <w:tcMar>
              <w:top w:type="dxa" w:w="90"/>
              <w:left w:type="dxa" w:w="100"/>
              <w:bottom w:type="dxa" w:w="90"/>
              <w:right w:type="dxa" w:w="100"/>
            </w:tcMar>
          </w:tcPr>
          <w:p>
            <w:r>
              <w:rPr>
                <w:sz w:val="19"/>
                <w:szCs w:val="19"/>
              </w:rPr>
              <w:t xml:space="preserve">5.1</w:t>
            </w:r>
          </w:p>
        </w:tc>
        <w:tc>
          <w:tcPr>
            <w:tcW w:type="dxa" w:w="1600"/>
            <w:tcMar>
              <w:top w:type="dxa" w:w="90"/>
              <w:left w:type="dxa" w:w="100"/>
              <w:bottom w:type="dxa" w:w="90"/>
              <w:right w:type="dxa" w:w="100"/>
            </w:tcMar>
          </w:tcPr>
          <w:p>
            <w:r>
              <w:rPr>
                <w:sz w:val="19"/>
                <w:szCs w:val="19"/>
              </w:rPr>
              <w:t xml:space="preserve">2,002</w:t>
            </w:r>
          </w:p>
        </w:tc>
        <w:tc>
          <w:tcPr>
            <w:tcW w:type="dxa" w:w="1500"/>
            <w:tcMar>
              <w:top w:type="dxa" w:w="90"/>
              <w:left w:type="dxa" w:w="100"/>
              <w:bottom w:type="dxa" w:w="90"/>
              <w:right w:type="dxa" w:w="100"/>
            </w:tcMar>
          </w:tcPr>
          <w:p>
            <w:r>
              <w:rPr>
                <w:sz w:val="19"/>
                <w:szCs w:val="19"/>
              </w:rPr>
              <w:t xml:space="preserve">2.6</w:t>
            </w:r>
          </w:p>
        </w:tc>
        <w:tc>
          <w:tcPr>
            <w:tcW w:type="dxa" w:w="2580"/>
            <w:tcMar>
              <w:top w:type="dxa" w:w="90"/>
              <w:left w:type="dxa" w:w="100"/>
              <w:bottom w:type="dxa" w:w="90"/>
              <w:right w:type="dxa" w:w="100"/>
            </w:tcMar>
          </w:tcPr>
          <w:p>
            <w:r>
              <w:rPr>
                <w:sz w:val="19"/>
                <w:szCs w:val="19"/>
              </w:rPr>
              <w:t xml:space="preserve">Moderate history, going quiet</w:t>
            </w:r>
          </w:p>
        </w:tc>
      </w:tr>
      <w:tr>
        <w:tc>
          <w:tcPr>
            <w:tcW w:type="dxa" w:w="2000"/>
            <w:shd w:fill="F2F2F2" w:color="auto" w:val="clear"/>
            <w:tcMar>
              <w:top w:type="dxa" w:w="90"/>
              <w:left w:type="dxa" w:w="100"/>
              <w:bottom w:type="dxa" w:w="90"/>
              <w:right w:type="dxa" w:w="100"/>
            </w:tcMar>
          </w:tcPr>
          <w:p>
            <w:r>
              <w:rPr>
                <w:sz w:val="19"/>
                <w:szCs w:val="19"/>
              </w:rPr>
              <w:t xml:space="preserve">Lost/Inactive</w:t>
            </w:r>
          </w:p>
        </w:tc>
        <w:tc>
          <w:tcPr>
            <w:tcW w:type="dxa" w:w="1600"/>
            <w:shd w:fill="F2F2F2" w:color="auto" w:val="clear"/>
            <w:tcMar>
              <w:top w:type="dxa" w:w="90"/>
              <w:left w:type="dxa" w:w="100"/>
              <w:bottom w:type="dxa" w:w="90"/>
              <w:right w:type="dxa" w:w="100"/>
            </w:tcMar>
          </w:tcPr>
          <w:p>
            <w:r>
              <w:rPr>
                <w:sz w:val="19"/>
                <w:szCs w:val="19"/>
              </w:rPr>
              <w:t xml:space="preserve">395.9</w:t>
            </w:r>
          </w:p>
        </w:tc>
        <w:tc>
          <w:tcPr>
            <w:tcW w:type="dxa" w:w="1800"/>
            <w:shd w:fill="F2F2F2" w:color="auto" w:val="clear"/>
            <w:tcMar>
              <w:top w:type="dxa" w:w="90"/>
              <w:left w:type="dxa" w:w="100"/>
              <w:bottom w:type="dxa" w:w="90"/>
              <w:right w:type="dxa" w:w="100"/>
            </w:tcMar>
          </w:tcPr>
          <w:p>
            <w:r>
              <w:rPr>
                <w:sz w:val="19"/>
                <w:szCs w:val="19"/>
              </w:rPr>
              <w:t xml:space="preserve">1.4</w:t>
            </w:r>
          </w:p>
        </w:tc>
        <w:tc>
          <w:tcPr>
            <w:tcW w:type="dxa" w:w="1600"/>
            <w:shd w:fill="F2F2F2" w:color="auto" w:val="clear"/>
            <w:tcMar>
              <w:top w:type="dxa" w:w="90"/>
              <w:left w:type="dxa" w:w="100"/>
              <w:bottom w:type="dxa" w:w="90"/>
              <w:right w:type="dxa" w:w="100"/>
            </w:tcMar>
          </w:tcPr>
          <w:p>
            <w:r>
              <w:rPr>
                <w:sz w:val="19"/>
                <w:szCs w:val="19"/>
              </w:rPr>
              <w:t xml:space="preserve">326</w:t>
            </w:r>
          </w:p>
        </w:tc>
        <w:tc>
          <w:tcPr>
            <w:tcW w:type="dxa" w:w="1500"/>
            <w:shd w:fill="F2F2F2" w:color="auto" w:val="clear"/>
            <w:tcMar>
              <w:top w:type="dxa" w:w="90"/>
              <w:left w:type="dxa" w:w="100"/>
              <w:bottom w:type="dxa" w:w="90"/>
              <w:right w:type="dxa" w:w="100"/>
            </w:tcMar>
          </w:tcPr>
          <w:p>
            <w:r>
              <w:rPr>
                <w:sz w:val="19"/>
                <w:szCs w:val="19"/>
              </w:rPr>
              <w:t xml:space="preserve">0.5</w:t>
            </w:r>
          </w:p>
        </w:tc>
        <w:tc>
          <w:tcPr>
            <w:tcW w:type="dxa" w:w="2580"/>
            <w:shd w:fill="F2F2F2" w:color="auto" w:val="clear"/>
            <w:tcMar>
              <w:top w:type="dxa" w:w="90"/>
              <w:left w:type="dxa" w:w="100"/>
              <w:bottom w:type="dxa" w:w="90"/>
              <w:right w:type="dxa" w:w="100"/>
            </w:tcMar>
          </w:tcPr>
          <w:p>
            <w:r>
              <w:rPr>
                <w:sz w:val="19"/>
                <w:szCs w:val="19"/>
              </w:rPr>
              <w:t xml:space="preserve">Long dormant, minimal engagement</w:t>
            </w:r>
          </w:p>
        </w:tc>
      </w:tr>
    </w:tbl>
    <w:p>
      <w:pPr>
        <w:spacing w:after="200"/>
        <w:jc w:val="left"/>
      </w:pPr>
      <w:r>
        <w:rPr>
          <w:sz w:val="2"/>
          <w:szCs w:val="2"/>
        </w:rPr>
        <w:t xml:space="preserve"/>
      </w:r>
    </w:p>
    <w:p>
      <w:pPr>
        <w:spacing w:after="200"/>
        <w:jc w:val="left"/>
      </w:pPr>
      <w:r>
        <w:t xml:space="preserve">Segment sizes were reasonably balanced (1,188 – 1,974 customers each), indicating the clustering captured genuine structure rather than an arbitrary split.</w:t>
      </w:r>
    </w:p>
    <w:p>
      <w:pPr>
        <w:pStyle w:val="Heading1"/>
        <w:spacing w:after="160" w:before="320"/>
      </w:pPr>
      <w:r>
        <w:t xml:space="preserve">4. Customer Lifetime Value (CLV)</w:t>
      </w:r>
    </w:p>
    <w:p>
      <w:pPr>
        <w:spacing w:after="200"/>
        <w:jc w:val="left"/>
      </w:pPr>
      <w:r>
        <w:t xml:space="preserve">Rather than relying on a naive average-spend calculation, CLV was estimated using the BG/NBD model (predicting future purchase frequency from each customer’s historical frequency, recency, and observation period) combined with the Gamma-Gamma model (predicting expected spend per transaction), projected over a 12-month horizon with a standard monthly discount rate applied.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color="auto" w:val="clear"/>
            <w:tcMar>
              <w:top w:type="dxa" w:w="100"/>
              <w:left w:type="dxa" w:w="100"/>
              <w:bottom w:type="dxa" w:w="100"/>
              <w:right w:type="dxa" w:w="100"/>
            </w:tcMar>
          </w:tcPr>
          <w:p>
            <w:r>
              <w:rPr>
                <w:b/>
                <w:bCs/>
                <w:color w:val="FFFFFF"/>
                <w:sz w:val="19"/>
                <w:szCs w:val="19"/>
              </w:rPr>
              <w:t xml:space="preserve">Segment</w:t>
            </w:r>
          </w:p>
        </w:tc>
        <w:tc>
          <w:tcPr>
            <w:tcW w:type="dxa" w:w="5040"/>
            <w:shd w:fill="1F3864" w:color="auto" w:val="clear"/>
            <w:tcMar>
              <w:top w:type="dxa" w:w="100"/>
              <w:left w:type="dxa" w:w="100"/>
              <w:bottom w:type="dxa" w:w="100"/>
              <w:right w:type="dxa" w:w="100"/>
            </w:tcMar>
          </w:tcPr>
          <w:p>
            <w:r>
              <w:rPr>
                <w:b/>
                <w:bCs/>
                <w:color w:val="FFFFFF"/>
                <w:sz w:val="19"/>
                <w:szCs w:val="19"/>
              </w:rPr>
              <w:t xml:space="preserve">Avg. Predicted 12-Month CLV ($)</w:t>
            </w:r>
          </w:p>
        </w:tc>
      </w:tr>
      <w:tr>
        <w:tc>
          <w:tcPr>
            <w:tcW w:type="dxa" w:w="5040"/>
            <w:tcMar>
              <w:top w:type="dxa" w:w="90"/>
              <w:left w:type="dxa" w:w="100"/>
              <w:bottom w:type="dxa" w:w="90"/>
              <w:right w:type="dxa" w:w="100"/>
            </w:tcMar>
          </w:tcPr>
          <w:p>
            <w:r>
              <w:rPr>
                <w:sz w:val="19"/>
                <w:szCs w:val="19"/>
              </w:rPr>
              <w:t xml:space="preserve">Champions</w:t>
            </w:r>
          </w:p>
        </w:tc>
        <w:tc>
          <w:tcPr>
            <w:tcW w:type="dxa" w:w="5040"/>
            <w:tcMar>
              <w:top w:type="dxa" w:w="90"/>
              <w:left w:type="dxa" w:w="100"/>
              <w:bottom w:type="dxa" w:w="90"/>
              <w:right w:type="dxa" w:w="100"/>
            </w:tcMar>
          </w:tcPr>
          <w:p>
            <w:r>
              <w:rPr>
                <w:sz w:val="19"/>
                <w:szCs w:val="19"/>
              </w:rPr>
              <w:t xml:space="preserve">5,393.00</w:t>
            </w:r>
          </w:p>
        </w:tc>
      </w:tr>
      <w:tr>
        <w:tc>
          <w:tcPr>
            <w:tcW w:type="dxa" w:w="5040"/>
            <w:shd w:fill="F2F2F2" w:color="auto" w:val="clear"/>
            <w:tcMar>
              <w:top w:type="dxa" w:w="90"/>
              <w:left w:type="dxa" w:w="100"/>
              <w:bottom w:type="dxa" w:w="90"/>
              <w:right w:type="dxa" w:w="100"/>
            </w:tcMar>
          </w:tcPr>
          <w:p>
            <w:r>
              <w:rPr>
                <w:sz w:val="19"/>
                <w:szCs w:val="19"/>
              </w:rPr>
              <w:t xml:space="preserve">New/Occasional</w:t>
            </w:r>
          </w:p>
        </w:tc>
        <w:tc>
          <w:tcPr>
            <w:tcW w:type="dxa" w:w="5040"/>
            <w:shd w:fill="F2F2F2" w:color="auto" w:val="clear"/>
            <w:tcMar>
              <w:top w:type="dxa" w:w="90"/>
              <w:left w:type="dxa" w:w="100"/>
              <w:bottom w:type="dxa" w:w="90"/>
              <w:right w:type="dxa" w:w="100"/>
            </w:tcMar>
          </w:tcPr>
          <w:p>
            <w:r>
              <w:rPr>
                <w:sz w:val="19"/>
                <w:szCs w:val="19"/>
              </w:rPr>
              <w:t xml:space="preserve">1,030.74</w:t>
            </w:r>
          </w:p>
        </w:tc>
      </w:tr>
      <w:tr>
        <w:tc>
          <w:tcPr>
            <w:tcW w:type="dxa" w:w="5040"/>
            <w:tcMar>
              <w:top w:type="dxa" w:w="90"/>
              <w:left w:type="dxa" w:w="100"/>
              <w:bottom w:type="dxa" w:w="90"/>
              <w:right w:type="dxa" w:w="100"/>
            </w:tcMar>
          </w:tcPr>
          <w:p>
            <w:r>
              <w:rPr>
                <w:sz w:val="19"/>
                <w:szCs w:val="19"/>
              </w:rPr>
              <w:t xml:space="preserve">At-Risk</w:t>
            </w:r>
          </w:p>
        </w:tc>
        <w:tc>
          <w:tcPr>
            <w:tcW w:type="dxa" w:w="5040"/>
            <w:tcMar>
              <w:top w:type="dxa" w:w="90"/>
              <w:left w:type="dxa" w:w="100"/>
              <w:bottom w:type="dxa" w:w="90"/>
              <w:right w:type="dxa" w:w="100"/>
            </w:tcMar>
          </w:tcPr>
          <w:p>
            <w:r>
              <w:rPr>
                <w:sz w:val="19"/>
                <w:szCs w:val="19"/>
              </w:rPr>
              <w:t xml:space="preserve">826.58</w:t>
            </w:r>
          </w:p>
        </w:tc>
      </w:tr>
      <w:tr>
        <w:tc>
          <w:tcPr>
            <w:tcW w:type="dxa" w:w="5040"/>
            <w:shd w:fill="F2F2F2" w:color="auto" w:val="clear"/>
            <w:tcMar>
              <w:top w:type="dxa" w:w="90"/>
              <w:left w:type="dxa" w:w="100"/>
              <w:bottom w:type="dxa" w:w="90"/>
              <w:right w:type="dxa" w:w="100"/>
            </w:tcMar>
          </w:tcPr>
          <w:p>
            <w:r>
              <w:rPr>
                <w:sz w:val="19"/>
                <w:szCs w:val="19"/>
              </w:rPr>
              <w:t xml:space="preserve">Lost/Inactive</w:t>
            </w:r>
          </w:p>
        </w:tc>
        <w:tc>
          <w:tcPr>
            <w:tcW w:type="dxa" w:w="5040"/>
            <w:shd w:fill="F2F2F2" w:color="auto" w:val="clear"/>
            <w:tcMar>
              <w:top w:type="dxa" w:w="90"/>
              <w:left w:type="dxa" w:w="100"/>
              <w:bottom w:type="dxa" w:w="90"/>
              <w:right w:type="dxa" w:w="100"/>
            </w:tcMar>
          </w:tcPr>
          <w:p>
            <w:r>
              <w:rPr>
                <w:sz w:val="19"/>
                <w:szCs w:val="19"/>
              </w:rPr>
              <w:t xml:space="preserve">92.87</w:t>
            </w:r>
          </w:p>
        </w:tc>
      </w:tr>
    </w:tbl>
    <w:p>
      <w:pPr>
        <w:spacing w:after="200"/>
        <w:jc w:val="left"/>
      </w:pPr>
      <w:r>
        <w:rPr>
          <w:sz w:val="2"/>
          <w:szCs w:val="2"/>
        </w:rPr>
        <w:t xml:space="preserve"/>
      </w:r>
    </w:p>
    <w:p>
      <w:pPr>
        <w:spacing w:after="200"/>
        <w:jc w:val="left"/>
      </w:pPr>
      <w:r>
        <w:t xml:space="preserve">Notably, New/Occasional customers show higher predicted CLV than At-Risk customers, despite lower historical spend to date. This is because CLV is forward-looking: the model weighs recent purchase activity heavily, and At-Risk customers’ long recency gap signals a lower probability of future purchasing — even though they have spent more historically. This distinction between historical value and predicted future value is central to the retention-prioritization argument in Section 7.</w:t>
      </w:r>
    </w:p>
    <w:p>
      <w:pPr>
        <w:pStyle w:val="Heading1"/>
        <w:spacing w:after="160" w:before="320"/>
      </w:pPr>
      <w:r>
        <w:t xml:space="preserve">5. Churn Risk</w:t>
      </w:r>
    </w:p>
    <w:p>
      <w:pPr>
        <w:spacing w:after="200"/>
        <w:jc w:val="left"/>
      </w:pPr>
      <w:r>
        <w:t xml:space="preserve">Churn was defined empirically: a customer was labeled churned if their gap since last purchase exceeded 75 days, a threshold selected using the actual distribution of reorder gaps in the data (median 24 days, 75th percentile 61 days), positioned deliberately between the 75th-percentile gap and a more conservative 90-day cutoff.</w:t>
      </w:r>
    </w:p>
    <w:p>
      <w:pPr>
        <w:spacing w:after="200"/>
        <w:jc w:val="left"/>
      </w:pPr>
      <w:r>
        <w:t xml:space="preserve">A logistic regression model (excluding Recency itself, to avoid circularity with the churn definition) achieved 92% accuracy and a recall of 95% on churned customers, using Frequency, Monetary value, Cancel Count, predicted CLV, and Segment as predictors. Feature coefficients showed that Segment membership carries most of the model’s predictive power — an expected and honestly-reported result, since segments were themselves built from RFM data closely related to the churn definition.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color="auto" w:val="clear"/>
            <w:tcMar>
              <w:top w:type="dxa" w:w="100"/>
              <w:left w:type="dxa" w:w="100"/>
              <w:bottom w:type="dxa" w:w="100"/>
              <w:right w:type="dxa" w:w="100"/>
            </w:tcMar>
          </w:tcPr>
          <w:p>
            <w:r>
              <w:rPr>
                <w:b/>
                <w:bCs/>
                <w:color w:val="FFFFFF"/>
                <w:sz w:val="19"/>
                <w:szCs w:val="19"/>
              </w:rPr>
              <w:t xml:space="preserve">Segment</w:t>
            </w:r>
          </w:p>
        </w:tc>
        <w:tc>
          <w:tcPr>
            <w:tcW w:type="dxa" w:w="5040"/>
            <w:shd w:fill="1F3864" w:color="auto" w:val="clear"/>
            <w:tcMar>
              <w:top w:type="dxa" w:w="100"/>
              <w:left w:type="dxa" w:w="100"/>
              <w:bottom w:type="dxa" w:w="100"/>
              <w:right w:type="dxa" w:w="100"/>
            </w:tcMar>
          </w:tcPr>
          <w:p>
            <w:r>
              <w:rPr>
                <w:b/>
                <w:bCs/>
                <w:color w:val="FFFFFF"/>
                <w:sz w:val="19"/>
                <w:szCs w:val="19"/>
              </w:rPr>
              <w:t xml:space="preserve">Churn Rate</w:t>
            </w:r>
          </w:p>
        </w:tc>
      </w:tr>
      <w:tr>
        <w:tc>
          <w:tcPr>
            <w:tcW w:type="dxa" w:w="5040"/>
            <w:tcMar>
              <w:top w:type="dxa" w:w="90"/>
              <w:left w:type="dxa" w:w="100"/>
              <w:bottom w:type="dxa" w:w="90"/>
              <w:right w:type="dxa" w:w="100"/>
            </w:tcMar>
          </w:tcPr>
          <w:p>
            <w:r>
              <w:rPr>
                <w:sz w:val="19"/>
                <w:szCs w:val="19"/>
              </w:rPr>
              <w:t xml:space="preserve">Lost/Inactive</w:t>
            </w:r>
          </w:p>
        </w:tc>
        <w:tc>
          <w:tcPr>
            <w:tcW w:type="dxa" w:w="5040"/>
            <w:tcMar>
              <w:top w:type="dxa" w:w="90"/>
              <w:left w:type="dxa" w:w="100"/>
              <w:bottom w:type="dxa" w:w="90"/>
              <w:right w:type="dxa" w:w="100"/>
            </w:tcMar>
          </w:tcPr>
          <w:p>
            <w:r>
              <w:rPr>
                <w:sz w:val="19"/>
                <w:szCs w:val="19"/>
              </w:rPr>
              <w:t xml:space="preserve">95.0%</w:t>
            </w:r>
          </w:p>
        </w:tc>
      </w:tr>
      <w:tr>
        <w:tc>
          <w:tcPr>
            <w:tcW w:type="dxa" w:w="5040"/>
            <w:shd w:fill="F2F2F2" w:color="auto" w:val="clear"/>
            <w:tcMar>
              <w:top w:type="dxa" w:w="90"/>
              <w:left w:type="dxa" w:w="100"/>
              <w:bottom w:type="dxa" w:w="90"/>
              <w:right w:type="dxa" w:w="100"/>
            </w:tcMar>
          </w:tcPr>
          <w:p>
            <w:r>
              <w:rPr>
                <w:sz w:val="19"/>
                <w:szCs w:val="19"/>
              </w:rPr>
              <w:t xml:space="preserve">At-Risk</w:t>
            </w:r>
          </w:p>
        </w:tc>
        <w:tc>
          <w:tcPr>
            <w:tcW w:type="dxa" w:w="5040"/>
            <w:shd w:fill="F2F2F2" w:color="auto" w:val="clear"/>
            <w:tcMar>
              <w:top w:type="dxa" w:w="90"/>
              <w:left w:type="dxa" w:w="100"/>
              <w:bottom w:type="dxa" w:w="90"/>
              <w:right w:type="dxa" w:w="100"/>
            </w:tcMar>
          </w:tcPr>
          <w:p>
            <w:r>
              <w:rPr>
                <w:sz w:val="19"/>
                <w:szCs w:val="19"/>
              </w:rPr>
              <w:t xml:space="preserve">81.9%</w:t>
            </w:r>
          </w:p>
        </w:tc>
      </w:tr>
      <w:tr>
        <w:tc>
          <w:tcPr>
            <w:tcW w:type="dxa" w:w="5040"/>
            <w:tcMar>
              <w:top w:type="dxa" w:w="90"/>
              <w:left w:type="dxa" w:w="100"/>
              <w:bottom w:type="dxa" w:w="90"/>
              <w:right w:type="dxa" w:w="100"/>
            </w:tcMar>
          </w:tcPr>
          <w:p>
            <w:r>
              <w:rPr>
                <w:sz w:val="19"/>
                <w:szCs w:val="19"/>
              </w:rPr>
              <w:t xml:space="preserve">Champions</w:t>
            </w:r>
          </w:p>
        </w:tc>
        <w:tc>
          <w:tcPr>
            <w:tcW w:type="dxa" w:w="5040"/>
            <w:tcMar>
              <w:top w:type="dxa" w:w="90"/>
              <w:left w:type="dxa" w:w="100"/>
              <w:bottom w:type="dxa" w:w="90"/>
              <w:right w:type="dxa" w:w="100"/>
            </w:tcMar>
          </w:tcPr>
          <w:p>
            <w:r>
              <w:rPr>
                <w:sz w:val="19"/>
                <w:szCs w:val="19"/>
              </w:rPr>
              <w:t xml:space="preserve">5.6%</w:t>
            </w:r>
          </w:p>
        </w:tc>
      </w:tr>
      <w:tr>
        <w:tc>
          <w:tcPr>
            <w:tcW w:type="dxa" w:w="5040"/>
            <w:shd w:fill="F2F2F2" w:color="auto" w:val="clear"/>
            <w:tcMar>
              <w:top w:type="dxa" w:w="90"/>
              <w:left w:type="dxa" w:w="100"/>
              <w:bottom w:type="dxa" w:w="90"/>
              <w:right w:type="dxa" w:w="100"/>
            </w:tcMar>
          </w:tcPr>
          <w:p>
            <w:r>
              <w:rPr>
                <w:sz w:val="19"/>
                <w:szCs w:val="19"/>
              </w:rPr>
              <w:t xml:space="preserve">New/Occasional</w:t>
            </w:r>
          </w:p>
        </w:tc>
        <w:tc>
          <w:tcPr>
            <w:tcW w:type="dxa" w:w="5040"/>
            <w:shd w:fill="F2F2F2" w:color="auto" w:val="clear"/>
            <w:tcMar>
              <w:top w:type="dxa" w:w="90"/>
              <w:left w:type="dxa" w:w="100"/>
              <w:bottom w:type="dxa" w:w="90"/>
              <w:right w:type="dxa" w:w="100"/>
            </w:tcMar>
          </w:tcPr>
          <w:p>
            <w:r>
              <w:rPr>
                <w:sz w:val="19"/>
                <w:szCs w:val="19"/>
              </w:rPr>
              <w:t xml:space="preserve">3.1%</w:t>
            </w:r>
          </w:p>
        </w:tc>
      </w:tr>
    </w:tbl>
    <w:p>
      <w:pPr>
        <w:spacing w:after="200"/>
        <w:jc w:val="left"/>
      </w:pPr>
      <w:r>
        <w:rPr>
          <w:sz w:val="2"/>
          <w:szCs w:val="2"/>
        </w:rPr>
        <w:t xml:space="preserve"/>
      </w:r>
    </w:p>
    <w:p>
      <w:pPr>
        <w:spacing w:after="200"/>
        <w:jc w:val="left"/>
      </w:pPr>
      <w:r>
        <w:t xml:space="preserve">The At-Risk segment stands out: despite meaningful historical value ($2,002 average spend, second-highest of all segments), 82% have already lapsed past the churn threshold — identifying this group as the clearest retention opportunity in the dataset.</w:t>
      </w:r>
    </w:p>
    <w:p>
      <w:pPr>
        <w:pStyle w:val="Heading1"/>
        <w:spacing w:after="160" w:before="320"/>
      </w:pPr>
      <w:r>
        <w:t xml:space="preserve">6. Price Sensitivity</w:t>
      </w:r>
    </w:p>
    <w:p>
      <w:pPr>
        <w:spacing w:after="200"/>
        <w:jc w:val="left"/>
      </w:pPr>
      <w:r>
        <w:t xml:space="preserve">Price elasticity of demand was estimated per segment using log-log regression (log Quantity ~ log Price) on weekly aggregated purchase data, pooling all products purchased by each segment to avoid the noise and low explanatory power seen in single-product-level regressions (which averaged R² ≈ 0.14 in exploratory testing).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480"/>
      </w:tblGrid>
      <w:tr>
        <w:trPr>
          <w:tblHeader/>
        </w:trPr>
        <w:tc>
          <w:tcPr>
            <w:tcW w:type="dxa" w:w="2400"/>
            <w:shd w:fill="1F3864" w:color="auto" w:val="clear"/>
            <w:tcMar>
              <w:top w:type="dxa" w:w="100"/>
              <w:left w:type="dxa" w:w="100"/>
              <w:bottom w:type="dxa" w:w="100"/>
              <w:right w:type="dxa" w:w="100"/>
            </w:tcMar>
          </w:tcPr>
          <w:p>
            <w:r>
              <w:rPr>
                <w:b/>
                <w:bCs/>
                <w:color w:val="FFFFFF"/>
                <w:sz w:val="19"/>
                <w:szCs w:val="19"/>
              </w:rPr>
              <w:t xml:space="preserve">Segment</w:t>
            </w:r>
          </w:p>
        </w:tc>
        <w:tc>
          <w:tcPr>
            <w:tcW w:type="dxa" w:w="1800"/>
            <w:shd w:fill="1F3864" w:color="auto" w:val="clear"/>
            <w:tcMar>
              <w:top w:type="dxa" w:w="100"/>
              <w:left w:type="dxa" w:w="100"/>
              <w:bottom w:type="dxa" w:w="100"/>
              <w:right w:type="dxa" w:w="100"/>
            </w:tcMar>
          </w:tcPr>
          <w:p>
            <w:r>
              <w:rPr>
                <w:b/>
                <w:bCs/>
                <w:color w:val="FFFFFF"/>
                <w:sz w:val="19"/>
                <w:szCs w:val="19"/>
              </w:rPr>
              <w:t xml:space="preserve">Elasticity</w:t>
            </w:r>
          </w:p>
        </w:tc>
        <w:tc>
          <w:tcPr>
            <w:tcW w:type="dxa" w:w="1800"/>
            <w:shd w:fill="1F3864" w:color="auto" w:val="clear"/>
            <w:tcMar>
              <w:top w:type="dxa" w:w="100"/>
              <w:left w:type="dxa" w:w="100"/>
              <w:bottom w:type="dxa" w:w="100"/>
              <w:right w:type="dxa" w:w="100"/>
            </w:tcMar>
          </w:tcPr>
          <w:p>
            <w:r>
              <w:rPr>
                <w:b/>
                <w:bCs/>
                <w:color w:val="FFFFFF"/>
                <w:sz w:val="19"/>
                <w:szCs w:val="19"/>
              </w:rPr>
              <w:t xml:space="preserve">p-value</w:t>
            </w:r>
          </w:p>
        </w:tc>
        <w:tc>
          <w:tcPr>
            <w:tcW w:type="dxa" w:w="3480"/>
            <w:shd w:fill="1F3864" w:color="auto" w:val="clear"/>
            <w:tcMar>
              <w:top w:type="dxa" w:w="100"/>
              <w:left w:type="dxa" w:w="100"/>
              <w:bottom w:type="dxa" w:w="100"/>
              <w:right w:type="dxa" w:w="100"/>
            </w:tcMar>
          </w:tcPr>
          <w:p>
            <w:r>
              <w:rPr>
                <w:b/>
                <w:bCs/>
                <w:color w:val="FFFFFF"/>
                <w:sz w:val="19"/>
                <w:szCs w:val="19"/>
              </w:rPr>
              <w:t xml:space="preserve">Statistically Significant?</w:t>
            </w:r>
          </w:p>
        </w:tc>
      </w:tr>
      <w:tr>
        <w:tc>
          <w:tcPr>
            <w:tcW w:type="dxa" w:w="2400"/>
            <w:tcMar>
              <w:top w:type="dxa" w:w="90"/>
              <w:left w:type="dxa" w:w="100"/>
              <w:bottom w:type="dxa" w:w="90"/>
              <w:right w:type="dxa" w:w="100"/>
            </w:tcMar>
          </w:tcPr>
          <w:p>
            <w:r>
              <w:rPr>
                <w:sz w:val="19"/>
                <w:szCs w:val="19"/>
              </w:rPr>
              <w:t xml:space="preserve">New/Occasional</w:t>
            </w:r>
          </w:p>
        </w:tc>
        <w:tc>
          <w:tcPr>
            <w:tcW w:type="dxa" w:w="1800"/>
            <w:tcMar>
              <w:top w:type="dxa" w:w="90"/>
              <w:left w:type="dxa" w:w="100"/>
              <w:bottom w:type="dxa" w:w="90"/>
              <w:right w:type="dxa" w:w="100"/>
            </w:tcMar>
          </w:tcPr>
          <w:p>
            <w:r>
              <w:rPr>
                <w:sz w:val="19"/>
                <w:szCs w:val="19"/>
              </w:rPr>
              <w:t xml:space="preserve">−2.37</w:t>
            </w:r>
          </w:p>
        </w:tc>
        <w:tc>
          <w:tcPr>
            <w:tcW w:type="dxa" w:w="1800"/>
            <w:tcMar>
              <w:top w:type="dxa" w:w="90"/>
              <w:left w:type="dxa" w:w="100"/>
              <w:bottom w:type="dxa" w:w="90"/>
              <w:right w:type="dxa" w:w="100"/>
            </w:tcMar>
          </w:tcPr>
          <w:p>
            <w:r>
              <w:rPr>
                <w:sz w:val="19"/>
                <w:szCs w:val="19"/>
              </w:rPr>
              <w:t xml:space="preserve">0.003</w:t>
            </w:r>
          </w:p>
        </w:tc>
        <w:tc>
          <w:tcPr>
            <w:tcW w:type="dxa" w:w="3480"/>
            <w:tcMar>
              <w:top w:type="dxa" w:w="90"/>
              <w:left w:type="dxa" w:w="100"/>
              <w:bottom w:type="dxa" w:w="90"/>
              <w:right w:type="dxa" w:w="100"/>
            </w:tcMar>
          </w:tcPr>
          <w:p>
            <w:r>
              <w:rPr>
                <w:sz w:val="19"/>
                <w:szCs w:val="19"/>
              </w:rPr>
              <w:t xml:space="preserve">Yes — highly elastic</w:t>
            </w:r>
          </w:p>
        </w:tc>
      </w:tr>
      <w:tr>
        <w:tc>
          <w:tcPr>
            <w:tcW w:type="dxa" w:w="2400"/>
            <w:shd w:fill="F2F2F2" w:color="auto" w:val="clear"/>
            <w:tcMar>
              <w:top w:type="dxa" w:w="90"/>
              <w:left w:type="dxa" w:w="100"/>
              <w:bottom w:type="dxa" w:w="90"/>
              <w:right w:type="dxa" w:w="100"/>
            </w:tcMar>
          </w:tcPr>
          <w:p>
            <w:r>
              <w:rPr>
                <w:sz w:val="19"/>
                <w:szCs w:val="19"/>
              </w:rPr>
              <w:t xml:space="preserve">Champions</w:t>
            </w:r>
          </w:p>
        </w:tc>
        <w:tc>
          <w:tcPr>
            <w:tcW w:type="dxa" w:w="1800"/>
            <w:shd w:fill="F2F2F2" w:color="auto" w:val="clear"/>
            <w:tcMar>
              <w:top w:type="dxa" w:w="90"/>
              <w:left w:type="dxa" w:w="100"/>
              <w:bottom w:type="dxa" w:w="90"/>
              <w:right w:type="dxa" w:w="100"/>
            </w:tcMar>
          </w:tcPr>
          <w:p>
            <w:r>
              <w:rPr>
                <w:sz w:val="19"/>
                <w:szCs w:val="19"/>
              </w:rPr>
              <w:t xml:space="preserve">−1.87</w:t>
            </w:r>
          </w:p>
        </w:tc>
        <w:tc>
          <w:tcPr>
            <w:tcW w:type="dxa" w:w="1800"/>
            <w:shd w:fill="F2F2F2" w:color="auto" w:val="clear"/>
            <w:tcMar>
              <w:top w:type="dxa" w:w="90"/>
              <w:left w:type="dxa" w:w="100"/>
              <w:bottom w:type="dxa" w:w="90"/>
              <w:right w:type="dxa" w:w="100"/>
            </w:tcMar>
          </w:tcPr>
          <w:p>
            <w:r>
              <w:rPr>
                <w:sz w:val="19"/>
                <w:szCs w:val="19"/>
              </w:rPr>
              <w:t xml:space="preserve">0.003</w:t>
            </w:r>
          </w:p>
        </w:tc>
        <w:tc>
          <w:tcPr>
            <w:tcW w:type="dxa" w:w="3480"/>
            <w:shd w:fill="F2F2F2" w:color="auto" w:val="clear"/>
            <w:tcMar>
              <w:top w:type="dxa" w:w="90"/>
              <w:left w:type="dxa" w:w="100"/>
              <w:bottom w:type="dxa" w:w="90"/>
              <w:right w:type="dxa" w:w="100"/>
            </w:tcMar>
          </w:tcPr>
          <w:p>
            <w:r>
              <w:rPr>
                <w:sz w:val="19"/>
                <w:szCs w:val="19"/>
              </w:rPr>
              <w:t xml:space="preserve">Yes — elastic</w:t>
            </w:r>
          </w:p>
        </w:tc>
      </w:tr>
      <w:tr>
        <w:tc>
          <w:tcPr>
            <w:tcW w:type="dxa" w:w="2400"/>
            <w:tcMar>
              <w:top w:type="dxa" w:w="90"/>
              <w:left w:type="dxa" w:w="100"/>
              <w:bottom w:type="dxa" w:w="90"/>
              <w:right w:type="dxa" w:w="100"/>
            </w:tcMar>
          </w:tcPr>
          <w:p>
            <w:r>
              <w:rPr>
                <w:sz w:val="19"/>
                <w:szCs w:val="19"/>
              </w:rPr>
              <w:t xml:space="preserve">At-Risk</w:t>
            </w:r>
          </w:p>
        </w:tc>
        <w:tc>
          <w:tcPr>
            <w:tcW w:type="dxa" w:w="1800"/>
            <w:tcMar>
              <w:top w:type="dxa" w:w="90"/>
              <w:left w:type="dxa" w:w="100"/>
              <w:bottom w:type="dxa" w:w="90"/>
              <w:right w:type="dxa" w:w="100"/>
            </w:tcMar>
          </w:tcPr>
          <w:p>
            <w:r>
              <w:rPr>
                <w:sz w:val="19"/>
                <w:szCs w:val="19"/>
              </w:rPr>
              <w:t xml:space="preserve">−0.44</w:t>
            </w:r>
          </w:p>
        </w:tc>
        <w:tc>
          <w:tcPr>
            <w:tcW w:type="dxa" w:w="1800"/>
            <w:tcMar>
              <w:top w:type="dxa" w:w="90"/>
              <w:left w:type="dxa" w:w="100"/>
              <w:bottom w:type="dxa" w:w="90"/>
              <w:right w:type="dxa" w:w="100"/>
            </w:tcMar>
          </w:tcPr>
          <w:p>
            <w:r>
              <w:rPr>
                <w:sz w:val="19"/>
                <w:szCs w:val="19"/>
              </w:rPr>
              <w:t xml:space="preserve">0.512</w:t>
            </w:r>
          </w:p>
        </w:tc>
        <w:tc>
          <w:tcPr>
            <w:tcW w:type="dxa" w:w="3480"/>
            <w:tcMar>
              <w:top w:type="dxa" w:w="90"/>
              <w:left w:type="dxa" w:w="100"/>
              <w:bottom w:type="dxa" w:w="90"/>
              <w:right w:type="dxa" w:w="100"/>
            </w:tcMar>
          </w:tcPr>
          <w:p>
            <w:r>
              <w:rPr>
                <w:sz w:val="19"/>
                <w:szCs w:val="19"/>
              </w:rPr>
              <w:t xml:space="preserve">No — inconclusive</w:t>
            </w:r>
          </w:p>
        </w:tc>
      </w:tr>
      <w:tr>
        <w:tc>
          <w:tcPr>
            <w:tcW w:type="dxa" w:w="2400"/>
            <w:shd w:fill="F2F2F2" w:color="auto" w:val="clear"/>
            <w:tcMar>
              <w:top w:type="dxa" w:w="90"/>
              <w:left w:type="dxa" w:w="100"/>
              <w:bottom w:type="dxa" w:w="90"/>
              <w:right w:type="dxa" w:w="100"/>
            </w:tcMar>
          </w:tcPr>
          <w:p>
            <w:r>
              <w:rPr>
                <w:sz w:val="19"/>
                <w:szCs w:val="19"/>
              </w:rPr>
              <w:t xml:space="preserve">Lost/Inactive</w:t>
            </w:r>
          </w:p>
        </w:tc>
        <w:tc>
          <w:tcPr>
            <w:tcW w:type="dxa" w:w="1800"/>
            <w:shd w:fill="F2F2F2" w:color="auto" w:val="clear"/>
            <w:tcMar>
              <w:top w:type="dxa" w:w="90"/>
              <w:left w:type="dxa" w:w="100"/>
              <w:bottom w:type="dxa" w:w="90"/>
              <w:right w:type="dxa" w:w="100"/>
            </w:tcMar>
          </w:tcPr>
          <w:p>
            <w:r>
              <w:rPr>
                <w:sz w:val="19"/>
                <w:szCs w:val="19"/>
              </w:rPr>
              <w:t xml:space="preserve">+1.95</w:t>
            </w:r>
          </w:p>
        </w:tc>
        <w:tc>
          <w:tcPr>
            <w:tcW w:type="dxa" w:w="1800"/>
            <w:shd w:fill="F2F2F2" w:color="auto" w:val="clear"/>
            <w:tcMar>
              <w:top w:type="dxa" w:w="90"/>
              <w:left w:type="dxa" w:w="100"/>
              <w:bottom w:type="dxa" w:w="90"/>
              <w:right w:type="dxa" w:w="100"/>
            </w:tcMar>
          </w:tcPr>
          <w:p>
            <w:r>
              <w:rPr>
                <w:sz w:val="19"/>
                <w:szCs w:val="19"/>
              </w:rPr>
              <w:t xml:space="preserve">&lt;0.001</w:t>
            </w:r>
          </w:p>
        </w:tc>
        <w:tc>
          <w:tcPr>
            <w:tcW w:type="dxa" w:w="3480"/>
            <w:shd w:fill="F2F2F2" w:color="auto" w:val="clear"/>
            <w:tcMar>
              <w:top w:type="dxa" w:w="90"/>
              <w:left w:type="dxa" w:w="100"/>
              <w:bottom w:type="dxa" w:w="90"/>
              <w:right w:type="dxa" w:w="100"/>
            </w:tcMar>
          </w:tcPr>
          <w:p>
            <w:r>
              <w:rPr>
                <w:sz w:val="19"/>
                <w:szCs w:val="19"/>
              </w:rPr>
              <w:t xml:space="preserve">Yes, but confounded (see below)</w:t>
            </w:r>
          </w:p>
        </w:tc>
      </w:tr>
    </w:tbl>
    <w:p>
      <w:pPr>
        <w:spacing w:after="200"/>
        <w:jc w:val="left"/>
      </w:pPr>
      <w:r>
        <w:rPr>
          <w:sz w:val="2"/>
          <w:szCs w:val="2"/>
        </w:rPr>
        <w:t xml:space="preserve"/>
      </w:r>
    </w:p>
    <w:p>
      <w:pPr>
        <w:pStyle w:val="Heading2"/>
        <w:spacing w:after="160" w:before="320"/>
      </w:pPr>
      <w:r>
        <w:t xml:space="preserve">A note on the Lost/Inactive result</w:t>
      </w:r>
    </w:p>
    <w:p>
      <w:pPr>
        <w:spacing w:after="200"/>
        <w:jc w:val="left"/>
      </w:pPr>
      <w:r>
        <w:t xml:space="preserve">The positive elasticity estimated for the Lost/Inactive segment (+1.95) implies demand rises as price rises — economically implausible for a standard retail good, and this was investigated rather than reported at face value. Inspection of the underlying weekly data showed that this segment’s purchases cluster narrowly in an early seasonal window (consistent with the Nov–Dec 2009 holiday period), where both price and quantity happened to rise together due to seasonal demand — not because higher prices caused more buying. This is a textbook confound between correlation and causation, and the result is reported here specifically as a cautionary example: it should not be used to inform pricing decisions for this segment. A more rigorous treatment (e.g., a difference-in-differences design isolating a genuine promotional period) would be needed to draw a causal conclusion for this group.</w:t>
      </w:r>
    </w:p>
    <w:p>
      <w:r>
        <w:br w:type="page"/>
      </w:r>
    </w:p>
    <w:p>
      <w:pPr>
        <w:pStyle w:val="Heading1"/>
        <w:spacing w:after="160" w:before="320"/>
      </w:pPr>
      <w:r>
        <w:t xml:space="preserve">7. Combined Segment Summary &amp; Recommendations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780"/>
        <w:gridCol w:w="3900"/>
      </w:tblGrid>
      <w:tr>
        <w:trPr>
          <w:tblHeader/>
        </w:trPr>
        <w:tc>
          <w:tcPr>
            <w:tcW w:type="dxa" w:w="1800"/>
            <w:shd w:fill="1F3864" w:color="auto" w:val="clear"/>
            <w:tcMar>
              <w:top w:type="dxa" w:w="100"/>
              <w:left w:type="dxa" w:w="100"/>
              <w:bottom w:type="dxa" w:w="100"/>
              <w:right w:type="dxa" w:w="100"/>
            </w:tcMar>
          </w:tcPr>
          <w:p>
            <w:r>
              <w:rPr>
                <w:b/>
                <w:bCs/>
                <w:color w:val="FFFFFF"/>
                <w:sz w:val="19"/>
                <w:szCs w:val="19"/>
              </w:rPr>
              <w:t xml:space="preserve">Segment</w:t>
            </w:r>
          </w:p>
        </w:tc>
        <w:tc>
          <w:tcPr>
            <w:tcW w:type="dxa" w:w="1300"/>
            <w:shd w:fill="1F3864" w:color="auto" w:val="clear"/>
            <w:tcMar>
              <w:top w:type="dxa" w:w="100"/>
              <w:left w:type="dxa" w:w="100"/>
              <w:bottom w:type="dxa" w:w="100"/>
              <w:right w:type="dxa" w:w="100"/>
            </w:tcMar>
          </w:tcPr>
          <w:p>
            <w:r>
              <w:rPr>
                <w:b/>
                <w:bCs/>
                <w:color w:val="FFFFFF"/>
                <w:sz w:val="19"/>
                <w:szCs w:val="19"/>
              </w:rPr>
              <w:t xml:space="preserve">Avg. CLV ($)</w:t>
            </w:r>
          </w:p>
        </w:tc>
        <w:tc>
          <w:tcPr>
            <w:tcW w:type="dxa" w:w="1300"/>
            <w:shd w:fill="1F3864" w:color="auto" w:val="clear"/>
            <w:tcMar>
              <w:top w:type="dxa" w:w="100"/>
              <w:left w:type="dxa" w:w="100"/>
              <w:bottom w:type="dxa" w:w="100"/>
              <w:right w:type="dxa" w:w="100"/>
            </w:tcMar>
          </w:tcPr>
          <w:p>
            <w:r>
              <w:rPr>
                <w:b/>
                <w:bCs/>
                <w:color w:val="FFFFFF"/>
                <w:sz w:val="19"/>
                <w:szCs w:val="19"/>
              </w:rPr>
              <w:t xml:space="preserve">Churn Rate</w:t>
            </w:r>
          </w:p>
        </w:tc>
        <w:tc>
          <w:tcPr>
            <w:tcW w:type="dxa" w:w="1780"/>
            <w:shd w:fill="1F3864" w:color="auto" w:val="clear"/>
            <w:tcMar>
              <w:top w:type="dxa" w:w="100"/>
              <w:left w:type="dxa" w:w="100"/>
              <w:bottom w:type="dxa" w:w="100"/>
              <w:right w:type="dxa" w:w="100"/>
            </w:tcMar>
          </w:tcPr>
          <w:p>
            <w:r>
              <w:rPr>
                <w:b/>
                <w:bCs/>
                <w:color w:val="FFFFFF"/>
                <w:sz w:val="19"/>
                <w:szCs w:val="19"/>
              </w:rPr>
              <w:t xml:space="preserve">Elasticity</w:t>
            </w:r>
          </w:p>
        </w:tc>
        <w:tc>
          <w:tcPr>
            <w:tcW w:type="dxa" w:w="3900"/>
            <w:shd w:fill="1F3864" w:color="auto" w:val="clear"/>
            <w:tcMar>
              <w:top w:type="dxa" w:w="100"/>
              <w:left w:type="dxa" w:w="100"/>
              <w:bottom w:type="dxa" w:w="100"/>
              <w:right w:type="dxa" w:w="100"/>
            </w:tcMar>
          </w:tcPr>
          <w:p>
            <w:r>
              <w:rPr>
                <w:b/>
                <w:bCs/>
                <w:color w:val="FFFFFF"/>
                <w:sz w:val="19"/>
                <w:szCs w:val="19"/>
              </w:rPr>
              <w:t xml:space="preserve">Recommended Action</w:t>
            </w:r>
          </w:p>
        </w:tc>
      </w:tr>
      <w:tr>
        <w:tc>
          <w:tcPr>
            <w:tcW w:type="dxa" w:w="1800"/>
            <w:tcMar>
              <w:top w:type="dxa" w:w="90"/>
              <w:left w:type="dxa" w:w="100"/>
              <w:bottom w:type="dxa" w:w="90"/>
              <w:right w:type="dxa" w:w="100"/>
            </w:tcMar>
          </w:tcPr>
          <w:p>
            <w:r>
              <w:rPr>
                <w:sz w:val="19"/>
                <w:szCs w:val="19"/>
              </w:rPr>
              <w:t xml:space="preserve">Champions</w:t>
            </w:r>
          </w:p>
        </w:tc>
        <w:tc>
          <w:tcPr>
            <w:tcW w:type="dxa" w:w="1300"/>
            <w:tcMar>
              <w:top w:type="dxa" w:w="90"/>
              <w:left w:type="dxa" w:w="100"/>
              <w:bottom w:type="dxa" w:w="90"/>
              <w:right w:type="dxa" w:w="100"/>
            </w:tcMar>
          </w:tcPr>
          <w:p>
            <w:r>
              <w:rPr>
                <w:sz w:val="19"/>
                <w:szCs w:val="19"/>
              </w:rPr>
              <w:t xml:space="preserve">5,393</w:t>
            </w:r>
          </w:p>
        </w:tc>
        <w:tc>
          <w:tcPr>
            <w:tcW w:type="dxa" w:w="1300"/>
            <w:tcMar>
              <w:top w:type="dxa" w:w="90"/>
              <w:left w:type="dxa" w:w="100"/>
              <w:bottom w:type="dxa" w:w="90"/>
              <w:right w:type="dxa" w:w="100"/>
            </w:tcMar>
          </w:tcPr>
          <w:p>
            <w:r>
              <w:rPr>
                <w:sz w:val="19"/>
                <w:szCs w:val="19"/>
              </w:rPr>
              <w:t xml:space="preserve">5.6%</w:t>
            </w:r>
          </w:p>
        </w:tc>
        <w:tc>
          <w:tcPr>
            <w:tcW w:type="dxa" w:w="1780"/>
            <w:tcMar>
              <w:top w:type="dxa" w:w="90"/>
              <w:left w:type="dxa" w:w="100"/>
              <w:bottom w:type="dxa" w:w="90"/>
              <w:right w:type="dxa" w:w="100"/>
            </w:tcMar>
          </w:tcPr>
          <w:p>
            <w:r>
              <w:rPr>
                <w:sz w:val="19"/>
                <w:szCs w:val="19"/>
              </w:rPr>
              <w:t xml:space="preserve">−1.87 (elastic)</w:t>
            </w:r>
          </w:p>
        </w:tc>
        <w:tc>
          <w:tcPr>
            <w:tcW w:type="dxa" w:w="3900"/>
            <w:tcMar>
              <w:top w:type="dxa" w:w="90"/>
              <w:left w:type="dxa" w:w="100"/>
              <w:bottom w:type="dxa" w:w="90"/>
              <w:right w:type="dxa" w:w="100"/>
            </w:tcMar>
          </w:tcPr>
          <w:p>
            <w:r>
              <w:rPr>
                <w:sz w:val="19"/>
                <w:szCs w:val="19"/>
              </w:rPr>
              <w:t xml:space="preserve">Protect &amp; reward loyalty; avoid discounting — even loyal buyers respond to price</w:t>
            </w:r>
          </w:p>
        </w:tc>
      </w:tr>
      <w:tr>
        <w:tc>
          <w:tcPr>
            <w:tcW w:type="dxa" w:w="1800"/>
            <w:shd w:fill="F2F2F2" w:color="auto" w:val="clear"/>
            <w:tcMar>
              <w:top w:type="dxa" w:w="90"/>
              <w:left w:type="dxa" w:w="100"/>
              <w:bottom w:type="dxa" w:w="90"/>
              <w:right w:type="dxa" w:w="100"/>
            </w:tcMar>
          </w:tcPr>
          <w:p>
            <w:r>
              <w:rPr>
                <w:sz w:val="19"/>
                <w:szCs w:val="19"/>
              </w:rPr>
              <w:t xml:space="preserve">At-Risk</w:t>
            </w:r>
          </w:p>
        </w:tc>
        <w:tc>
          <w:tcPr>
            <w:tcW w:type="dxa" w:w="1300"/>
            <w:shd w:fill="F2F2F2" w:color="auto" w:val="clear"/>
            <w:tcMar>
              <w:top w:type="dxa" w:w="90"/>
              <w:left w:type="dxa" w:w="100"/>
              <w:bottom w:type="dxa" w:w="90"/>
              <w:right w:type="dxa" w:w="100"/>
            </w:tcMar>
          </w:tcPr>
          <w:p>
            <w:r>
              <w:rPr>
                <w:sz w:val="19"/>
                <w:szCs w:val="19"/>
              </w:rPr>
              <w:t xml:space="preserve">827</w:t>
            </w:r>
          </w:p>
        </w:tc>
        <w:tc>
          <w:tcPr>
            <w:tcW w:type="dxa" w:w="1300"/>
            <w:shd w:fill="F2F2F2" w:color="auto" w:val="clear"/>
            <w:tcMar>
              <w:top w:type="dxa" w:w="90"/>
              <w:left w:type="dxa" w:w="100"/>
              <w:bottom w:type="dxa" w:w="90"/>
              <w:right w:type="dxa" w:w="100"/>
            </w:tcMar>
          </w:tcPr>
          <w:p>
            <w:r>
              <w:rPr>
                <w:sz w:val="19"/>
                <w:szCs w:val="19"/>
              </w:rPr>
              <w:t xml:space="preserve">81.9%</w:t>
            </w:r>
          </w:p>
        </w:tc>
        <w:tc>
          <w:tcPr>
            <w:tcW w:type="dxa" w:w="1780"/>
            <w:shd w:fill="F2F2F2" w:color="auto" w:val="clear"/>
            <w:tcMar>
              <w:top w:type="dxa" w:w="90"/>
              <w:left w:type="dxa" w:w="100"/>
              <w:bottom w:type="dxa" w:w="90"/>
              <w:right w:type="dxa" w:w="100"/>
            </w:tcMar>
          </w:tcPr>
          <w:p>
            <w:r>
              <w:rPr>
                <w:sz w:val="19"/>
                <w:szCs w:val="19"/>
              </w:rPr>
              <w:t xml:space="preserve">−0.44 (n.s.)</w:t>
            </w:r>
          </w:p>
        </w:tc>
        <w:tc>
          <w:tcPr>
            <w:tcW w:type="dxa" w:w="3900"/>
            <w:shd w:fill="F2F2F2" w:color="auto" w:val="clear"/>
            <w:tcMar>
              <w:top w:type="dxa" w:w="90"/>
              <w:left w:type="dxa" w:w="100"/>
              <w:bottom w:type="dxa" w:w="90"/>
              <w:right w:type="dxa" w:w="100"/>
            </w:tcMar>
          </w:tcPr>
          <w:p>
            <w:r>
              <w:rPr>
                <w:sz w:val="19"/>
                <w:szCs w:val="19"/>
              </w:rPr>
              <w:t xml:space="preserve">Priority retention target; personalized win-back rather than price cuts (elasticity unproven)</w:t>
            </w:r>
          </w:p>
        </w:tc>
      </w:tr>
      <w:tr>
        <w:tc>
          <w:tcPr>
            <w:tcW w:type="dxa" w:w="1800"/>
            <w:tcMar>
              <w:top w:type="dxa" w:w="90"/>
              <w:left w:type="dxa" w:w="100"/>
              <w:bottom w:type="dxa" w:w="90"/>
              <w:right w:type="dxa" w:w="100"/>
            </w:tcMar>
          </w:tcPr>
          <w:p>
            <w:r>
              <w:rPr>
                <w:sz w:val="19"/>
                <w:szCs w:val="19"/>
              </w:rPr>
              <w:t xml:space="preserve">New/Occasional</w:t>
            </w:r>
          </w:p>
        </w:tc>
        <w:tc>
          <w:tcPr>
            <w:tcW w:type="dxa" w:w="1300"/>
            <w:tcMar>
              <w:top w:type="dxa" w:w="90"/>
              <w:left w:type="dxa" w:w="100"/>
              <w:bottom w:type="dxa" w:w="90"/>
              <w:right w:type="dxa" w:w="100"/>
            </w:tcMar>
          </w:tcPr>
          <w:p>
            <w:r>
              <w:rPr>
                <w:sz w:val="19"/>
                <w:szCs w:val="19"/>
              </w:rPr>
              <w:t xml:space="preserve">1,031</w:t>
            </w:r>
          </w:p>
        </w:tc>
        <w:tc>
          <w:tcPr>
            <w:tcW w:type="dxa" w:w="1300"/>
            <w:tcMar>
              <w:top w:type="dxa" w:w="90"/>
              <w:left w:type="dxa" w:w="100"/>
              <w:bottom w:type="dxa" w:w="90"/>
              <w:right w:type="dxa" w:w="100"/>
            </w:tcMar>
          </w:tcPr>
          <w:p>
            <w:r>
              <w:rPr>
                <w:sz w:val="19"/>
                <w:szCs w:val="19"/>
              </w:rPr>
              <w:t xml:space="preserve">3.1%</w:t>
            </w:r>
          </w:p>
        </w:tc>
        <w:tc>
          <w:tcPr>
            <w:tcW w:type="dxa" w:w="1780"/>
            <w:tcMar>
              <w:top w:type="dxa" w:w="90"/>
              <w:left w:type="dxa" w:w="100"/>
              <w:bottom w:type="dxa" w:w="90"/>
              <w:right w:type="dxa" w:w="100"/>
            </w:tcMar>
          </w:tcPr>
          <w:p>
            <w:r>
              <w:rPr>
                <w:sz w:val="19"/>
                <w:szCs w:val="19"/>
              </w:rPr>
              <w:t xml:space="preserve">−2.37 (most elastic)</w:t>
            </w:r>
          </w:p>
        </w:tc>
        <w:tc>
          <w:tcPr>
            <w:tcW w:type="dxa" w:w="3900"/>
            <w:tcMar>
              <w:top w:type="dxa" w:w="90"/>
              <w:left w:type="dxa" w:w="100"/>
              <w:bottom w:type="dxa" w:w="90"/>
              <w:right w:type="dxa" w:w="100"/>
            </w:tcMar>
          </w:tcPr>
          <w:p>
            <w:r>
              <w:rPr>
                <w:sz w:val="19"/>
                <w:szCs w:val="19"/>
              </w:rPr>
              <w:t xml:space="preserve">Targeted promotions; most price-responsive segment with low churn risk</w:t>
            </w:r>
          </w:p>
        </w:tc>
      </w:tr>
      <w:tr>
        <w:tc>
          <w:tcPr>
            <w:tcW w:type="dxa" w:w="1800"/>
            <w:shd w:fill="F2F2F2" w:color="auto" w:val="clear"/>
            <w:tcMar>
              <w:top w:type="dxa" w:w="90"/>
              <w:left w:type="dxa" w:w="100"/>
              <w:bottom w:type="dxa" w:w="90"/>
              <w:right w:type="dxa" w:w="100"/>
            </w:tcMar>
          </w:tcPr>
          <w:p>
            <w:r>
              <w:rPr>
                <w:sz w:val="19"/>
                <w:szCs w:val="19"/>
              </w:rPr>
              <w:t xml:space="preserve">Lost/Inactive</w:t>
            </w:r>
          </w:p>
        </w:tc>
        <w:tc>
          <w:tcPr>
            <w:tcW w:type="dxa" w:w="1300"/>
            <w:shd w:fill="F2F2F2" w:color="auto" w:val="clear"/>
            <w:tcMar>
              <w:top w:type="dxa" w:w="90"/>
              <w:left w:type="dxa" w:w="100"/>
              <w:bottom w:type="dxa" w:w="90"/>
              <w:right w:type="dxa" w:w="100"/>
            </w:tcMar>
          </w:tcPr>
          <w:p>
            <w:r>
              <w:rPr>
                <w:sz w:val="19"/>
                <w:szCs w:val="19"/>
              </w:rPr>
              <w:t xml:space="preserve">93</w:t>
            </w:r>
          </w:p>
        </w:tc>
        <w:tc>
          <w:tcPr>
            <w:tcW w:type="dxa" w:w="1300"/>
            <w:shd w:fill="F2F2F2" w:color="auto" w:val="clear"/>
            <w:tcMar>
              <w:top w:type="dxa" w:w="90"/>
              <w:left w:type="dxa" w:w="100"/>
              <w:bottom w:type="dxa" w:w="90"/>
              <w:right w:type="dxa" w:w="100"/>
            </w:tcMar>
          </w:tcPr>
          <w:p>
            <w:r>
              <w:rPr>
                <w:sz w:val="19"/>
                <w:szCs w:val="19"/>
              </w:rPr>
              <w:t xml:space="preserve">95.0%</w:t>
            </w:r>
          </w:p>
        </w:tc>
        <w:tc>
          <w:tcPr>
            <w:tcW w:type="dxa" w:w="1780"/>
            <w:shd w:fill="F2F2F2" w:color="auto" w:val="clear"/>
            <w:tcMar>
              <w:top w:type="dxa" w:w="90"/>
              <w:left w:type="dxa" w:w="100"/>
              <w:bottom w:type="dxa" w:w="90"/>
              <w:right w:type="dxa" w:w="100"/>
            </w:tcMar>
          </w:tcPr>
          <w:p>
            <w:r>
              <w:rPr>
                <w:sz w:val="19"/>
                <w:szCs w:val="19"/>
              </w:rPr>
              <w:t xml:space="preserve">+1.95 (confounded)</w:t>
            </w:r>
          </w:p>
        </w:tc>
        <w:tc>
          <w:tcPr>
            <w:tcW w:type="dxa" w:w="3900"/>
            <w:shd w:fill="F2F2F2" w:color="auto" w:val="clear"/>
            <w:tcMar>
              <w:top w:type="dxa" w:w="90"/>
              <w:left w:type="dxa" w:w="100"/>
              <w:bottom w:type="dxa" w:w="90"/>
              <w:right w:type="dxa" w:w="100"/>
            </w:tcMar>
          </w:tcPr>
          <w:p>
            <w:r>
              <w:rPr>
                <w:sz w:val="19"/>
                <w:szCs w:val="19"/>
              </w:rPr>
              <w:t xml:space="preserve">Deprioritize; low-cost automated win-back only — poor ROI on active retention spend</w:t>
            </w:r>
          </w:p>
        </w:tc>
      </w:tr>
    </w:tbl>
    <w:p>
      <w:pPr>
        <w:spacing w:after="200"/>
        <w:jc w:val="left"/>
      </w:pPr>
      <w:r>
        <w:rPr>
          <w:sz w:val="2"/>
          <w:szCs w:val="2"/>
        </w:rPr>
        <w:t xml:space="preserve"/>
      </w:r>
    </w:p>
    <w:p>
      <w:pPr>
        <w:spacing w:after="200"/>
        <w:jc w:val="left"/>
      </w:pPr>
      <w:r>
        <w:t xml:space="preserve">The single clearest business implication of this analysis: retention budget is best concentrated on the At-Risk segment. This group carries real historical value but has already crossed into high churn risk, and — unlike New/Occasional customers — there is no statistically reliable evidence that price promotions would be effective here, pointing toward relationship-based re-engagement (personalized outreach, curated recommendations) rather than blanket discounting.</w:t>
      </w:r>
    </w:p>
    <w:p>
      <w:pPr>
        <w:pStyle w:val="Heading1"/>
        <w:spacing w:after="160" w:before="320"/>
      </w:pPr>
      <w:r>
        <w:t xml:space="preserve">8. Limitations &amp; Future Work</w:t>
      </w:r>
    </w:p>
    <w:p>
      <w:pPr>
        <w:pStyle w:val="ListParagraph"/>
        <w:numPr>
          <w:ilvl w:val="0"/>
          <w:numId w:val="1"/>
        </w:numPr>
        <w:spacing w:after="100"/>
      </w:pPr>
      <w:r>
        <w:t xml:space="preserve">Elasticity estimates are correlational, not causal; price and demand both move with seasonality, promotions, and stock availability, which this analysis does not fully disentangle (see Section 6 for a worked example of this risk).</w:t>
      </w:r>
    </w:p>
    <w:p>
      <w:pPr>
        <w:pStyle w:val="ListParagraph"/>
        <w:numPr>
          <w:ilvl w:val="0"/>
          <w:numId w:val="1"/>
        </w:numPr>
        <w:spacing w:after="100"/>
      </w:pPr>
      <w:r>
        <w:t xml:space="preserve">Churn is a static, threshold-based label rather than a formal survival/hazard model; a time-to-event approach (e.g., Cox proportional hazards) would allow churn risk to be expressed as a continuous probability over time rather than a binary cutoff.</w:t>
      </w:r>
    </w:p>
    <w:p>
      <w:pPr>
        <w:pStyle w:val="ListParagraph"/>
        <w:numPr>
          <w:ilvl w:val="0"/>
          <w:numId w:val="1"/>
        </w:numPr>
        <w:spacing w:after="100"/>
      </w:pPr>
      <w:r>
        <w:t xml:space="preserve">Segmentation was based solely on RFM behavior; incorporating product-category preferences or geographic data (Country) could reveal further useful sub-structure.</w:t>
      </w:r>
    </w:p>
    <w:p>
      <w:pPr>
        <w:pStyle w:val="ListParagraph"/>
        <w:numPr>
          <w:ilvl w:val="0"/>
          <w:numId w:val="1"/>
        </w:numPr>
        <w:spacing w:after="100"/>
      </w:pPr>
      <w:r>
        <w:t xml:space="preserve">A natural extension would be a difference-in-differences or promotional-period analysis to establish causal, rather than correlational, price effects per segment.</w:t>
      </w:r>
    </w:p>
    <w:p>
      <w:pPr>
        <w:pStyle w:val="Heading1"/>
        <w:spacing w:after="160" w:before="320"/>
      </w:pPr>
      <w:r>
        <w:t xml:space="preserve">Methodology &amp; Tools</w:t>
      </w:r>
    </w:p>
    <w:p>
      <w:pPr>
        <w:spacing w:after="200"/>
        <w:jc w:val="left"/>
      </w:pPr>
      <w:r>
        <w:t xml:space="preserve">Analysis was conducted in Python (pandas, numpy, scikit-learn, statsmodels, lifetimes) across a series of modular Jupyter notebooks, each handling one phase of the analysis (data cleaning, segmentation, CLV, churn, price sensitivity, and final synthesis), with intermediate outputs persisted to disk between stages.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2026-09-02T10:04:53.930Z</dcterms:created>
  <dcterms:modified xsi:type="dcterms:W3CDTF">2026-09-02T10:04:53.944Z</dcterms:modified>
</cp:coreProperties>
</file>

<file path=docProps/custom.xml><?xml version="1.0" encoding="utf-8"?>
<Properties xmlns="http://schemas.openxmlformats.org/officeDocument/2006/custom-properties" xmlns:vt="http://schemas.openxmlformats.org/officeDocument/2006/docPropsVTypes"/>
</file>