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/>
        <w:jc w:val="center"/>
      </w:pPr>
      <w:r>
        <w:rPr>
          <w:b/>
          <w:bCs/>
          <w:color w:val="1F3864"/>
          <w:sz w:val="40"/>
          <w:szCs w:val="40"/>
        </w:rPr>
        <w:t xml:space="preserve">Customer Intelligence Project — Documentation</w:t>
      </w:r>
    </w:p>
    <w:p>
      <w:pPr>
        <w:pStyle w:val="Heading1"/>
        <w:spacing w:after="160" w:before="360"/>
      </w:pPr>
      <w:r>
        <w:t xml:space="preserve">Aim</w:t>
      </w:r>
    </w:p>
    <w:p>
      <w:pPr>
        <w:spacing w:after="160"/>
      </w:pPr>
      <w:r>
        <w:rPr>
          <w:sz w:val="21"/>
          <w:szCs w:val="21"/>
        </w:rPr>
        <w:t xml:space="preserve">To build a multi-dimensional customer analytics project that goes beyond a single predictive model. The project answers one combined business question:</w:t>
      </w:r>
    </w:p>
    <w:p>
      <w:pPr>
        <w:spacing w:after="200"/>
      </w:pPr>
      <w:r>
        <w:rPr>
          <w:b/>
          <w:bCs/>
          <w:i/>
          <w:iCs/>
          <w:sz w:val="22"/>
          <w:szCs w:val="22"/>
        </w:rPr>
        <w:t xml:space="preserve">“Which customers matter most, which are at risk of leaving, and how should pricing strategy differ across customer groups?”</w:t>
      </w:r>
    </w:p>
    <w:p>
      <w:pPr>
        <w:spacing w:after="160"/>
      </w:pPr>
      <w:r>
        <w:rPr>
          <w:sz w:val="21"/>
          <w:szCs w:val="21"/>
        </w:rPr>
        <w:t xml:space="preserve">This is achieved by layering four techniques — behavioral segmentation, customer lifetime value (CLV) estimation, churn risk modeling, and price elasticity analysis — into one cohesive, decision-ready view of the customer base, rather than treating each as an isolated exercise.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60"/>
      </w:pPr>
      <w:r>
        <w:t xml:space="preserve">Input Data</w:t>
      </w:r>
    </w:p>
    <w:p>
      <w:pPr>
        <w:spacing w:after="160"/>
      </w:pPr>
      <w:r>
        <w:rPr>
          <w:sz w:val="21"/>
          <w:szCs w:val="21"/>
        </w:rPr>
        <w:t xml:space="preserve">Source: Online Retail II (UCI), obtained via Kaggle.</w:t>
      </w:r>
    </w:p>
    <w:p>
      <w:pPr>
        <w:spacing w:after="160"/>
      </w:pPr>
      <w:r>
        <w:rPr>
          <w:sz w:val="21"/>
          <w:szCs w:val="21"/>
        </w:rPr>
        <w:t xml:space="preserve">Description: Transaction-level records from a UK-based online gift retailer, covering December 1, 2009 – December 30, 2011.</w:t>
      </w:r>
    </w:p>
    <w:p>
      <w:pPr>
        <w:spacing w:after="160"/>
      </w:pPr>
      <w:r>
        <w:rPr>
          <w:sz w:val="21"/>
          <w:szCs w:val="21"/>
        </w:rPr>
        <w:t xml:space="preserve">File: online_retail_II.csv (located in Data/Raw/)</w:t>
      </w:r>
    </w:p>
    <w:p>
      <w:pPr>
        <w:spacing w:after="160"/>
      </w:pPr>
      <w:r>
        <w:rPr>
          <w:sz w:val="21"/>
          <w:szCs w:val="21"/>
        </w:rPr>
        <w:t xml:space="preserve">Grain: One row = one product (line item) within one order. A single order (Invoice) can span multiple rows if multiple products were purchased together.</w:t>
      </w:r>
    </w:p>
    <w:p>
      <w:pPr>
        <w:pStyle w:val="Heading3"/>
        <w:spacing w:after="100" w:before="200"/>
      </w:pPr>
      <w:r>
        <w:t xml:space="preserve">Raw Columns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6480"/>
      </w:tblGrid>
      <w:tr>
        <w:trPr>
          <w:tblHeader/>
        </w:trPr>
        <w:tc>
          <w:tcPr>
            <w:tcW w:type="dxa" w:w="18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18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Type</w:t>
            </w:r>
          </w:p>
        </w:tc>
        <w:tc>
          <w:tcPr>
            <w:tcW w:type="dxa" w:w="64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Invoice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Order/transaction number. Values starting with “C” indicate a cancelled order.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StockCode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64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code. Some codes are non-product administrative entries (e.g., M = Manual, POST = postage).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Description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Product name/description.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Quantity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int</w:t>
            </w:r>
          </w:p>
        </w:tc>
        <w:tc>
          <w:tcPr>
            <w:tcW w:type="dxa" w:w="64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 of units purchased in that line item.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InvoiceDate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 → datetime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Date and time of the transaction (converted during cleaning).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Price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float</w:t>
            </w:r>
          </w:p>
        </w:tc>
        <w:tc>
          <w:tcPr>
            <w:tcW w:type="dxa" w:w="64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Unit price of the product.</w:t>
            </w:r>
          </w:p>
        </w:tc>
      </w:tr>
      <w:tr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 ID</w:t>
            </w:r>
          </w:p>
        </w:tc>
        <w:tc>
          <w:tcPr>
            <w:tcW w:type="dxa" w:w="1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float → int</w:t>
            </w:r>
          </w:p>
        </w:tc>
        <w:tc>
          <w:tcPr>
            <w:tcW w:type="dxa" w:w="64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Unique customer identifier. ~23% of rows have no Customer ID.</w:t>
            </w:r>
          </w:p>
        </w:tc>
      </w:tr>
      <w:tr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Country</w:t>
            </w:r>
          </w:p>
        </w:tc>
        <w:tc>
          <w:tcPr>
            <w:tcW w:type="dxa" w:w="1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string</w:t>
            </w:r>
          </w:p>
        </w:tc>
        <w:tc>
          <w:tcPr>
            <w:tcW w:type="dxa" w:w="64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Customer's country.</w:t>
            </w:r>
          </w:p>
        </w:tc>
      </w:tr>
    </w:tbl>
    <w:p>
      <w:pPr>
        <w:spacing w:after="120"/>
      </w:pPr>
    </w:p>
    <w:p>
      <w:pPr>
        <w:spacing w:after="160"/>
      </w:pPr>
      <w:r>
        <w:rPr>
          <w:sz w:val="21"/>
          <w:szCs w:val="21"/>
        </w:rPr>
        <w:t xml:space="preserve">Total raw rows: 1,067,371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60"/>
      </w:pPr>
      <w:r>
        <w:t xml:space="preserve">Project Structure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Customer Analytics/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├── Data/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│   ├── Raw/          → online_retail_II.csv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│   └── Processed/    → all cleaned/intermediate outputs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└── Notebooks/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├── 01_data_cleaning.ipynb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├── 02_segmentation.ipynb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├── 03_clv.ipynb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├── 04_churn.ipynb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├── 05_price_sensitivity.ipynb</w:t>
      </w:r>
    </w:p>
    <w:p>
      <w:pPr>
        <w:shd w:fill="F2F2F2" w:color="auto" w:val="clear"/>
        <w:spacing w:after="160"/>
      </w:pPr>
      <w:r>
        <w:rPr>
          <w:rFonts w:ascii="Consolas" w:cs="Consolas" w:eastAsia="Consolas" w:hAnsi="Consolas"/>
          <w:color w:val="1F3864"/>
          <w:sz w:val="19"/>
          <w:szCs w:val="19"/>
        </w:rPr>
        <w:t xml:space="preserve">    └── 06_final_summary.ipynb</w:t>
      </w:r>
    </w:p>
    <w:p>
      <w:pPr>
        <w:spacing w:after="120"/>
      </w:pPr>
    </w:p>
    <w:p>
      <w:pPr>
        <w:spacing w:after="160"/>
      </w:pPr>
      <w:r>
        <w:rPr>
          <w:sz w:val="21"/>
          <w:szCs w:val="21"/>
        </w:rPr>
        <w:t xml:space="preserve">Each notebook loads its inputs from Data/Processed/, performs its analysis, and saves its output back to Data/Processed/ for the next notebook to consume. Notebooks are never imported into each other directly — they are chained purely through saved CSV files.</w:t>
      </w:r>
    </w:p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60"/>
      </w:pPr>
      <w:r>
        <w:t xml:space="preserve">Notebook 1: 01_data_cleaning.ipynb</w:t>
      </w:r>
    </w:p>
    <w:p>
      <w:pPr>
        <w:spacing w:after="160"/>
      </w:pPr>
      <w:r>
        <w:rPr>
          <w:sz w:val="21"/>
          <w:szCs w:val="21"/>
        </w:rPr>
        <w:t xml:space="preserve">Purpose: Load the raw dataset, clean it, and produce a single reliable transaction-level table for all downstream analysis.</w:t>
      </w:r>
    </w:p>
    <w:p>
      <w:pPr>
        <w:pStyle w:val="Heading2"/>
        <w:spacing w:after="120" w:before="260"/>
      </w:pPr>
      <w:r>
        <w:t xml:space="preserve">Logic Flow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Load raw CSV into df — the original, unmodified dataset (1,067,371 rows, 8 columns).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Drop rows with missing Customer ID → stored as df_clean. These rows can't be used for any customer-level analysis. Result: 824,364 rows.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Tag cancellations — new boolean column Is_Cancelled added to df_clean, True where Invoice starts with “C” (18,744 rows after the null-ID drop).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Build cancellation_counts — a customer-level Series giving each customer's total cancelled line items, via groupby('Customer ID')['Is_Cancelled'].sum(). Kept as a feature, not discarded.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Build transactions — working dataframe with cancelled rows removed, since a cancelled order isn't real revenue.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Convert InvoiceDate from string to proper datetime64 type using pd.to_datetime().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Remove invalid prices — drop the 71 rows where Price &lt;= 0 (manual entries / likely data errors).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Create TotalPrice column = Quantity × Price. The core revenue value used throughout the rest of the project.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Cast Customer ID to int — safe now that all NaNs have been dropped.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Merge in Cancel_Count — merged onto transactions via Customer ID. Note: duplicated across every row for the same customer — must never be summed again later, only pulled with .first() or similar.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Save output → Data/Processed/transactions_clean.csv</w:t>
      </w:r>
    </w:p>
    <w:p>
      <w:pPr>
        <w:pStyle w:val="Heading2"/>
        <w:spacing w:after="120" w:before="260"/>
      </w:pPr>
      <w:r>
        <w:t xml:space="preserve">Key Variables Produced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5680"/>
      </w:tblGrid>
      <w:tr>
        <w:trPr>
          <w:tblHeader/>
        </w:trPr>
        <w:tc>
          <w:tcPr>
            <w:tcW w:type="dxa" w:w="22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22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56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transactions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transaction line item</w:t>
            </w:r>
          </w:p>
        </w:tc>
        <w:tc>
          <w:tcPr>
            <w:tcW w:type="dxa" w:w="5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Final cleaned table: Invoice, StockCode, Description, Quantity, InvoiceDate, Price, Customer ID, Country, Is_Cancelled, TotalPrice, Cancel_Count</w:t>
            </w:r>
          </w:p>
        </w:tc>
      </w:tr>
    </w:tbl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60"/>
      </w:pPr>
      <w:r>
        <w:t xml:space="preserve">Notebook 2: 02_segmentation.ipynb</w:t>
      </w:r>
    </w:p>
    <w:p>
      <w:pPr>
        <w:spacing w:after="160"/>
      </w:pPr>
      <w:r>
        <w:rPr>
          <w:sz w:val="21"/>
          <w:szCs w:val="21"/>
        </w:rPr>
        <w:t xml:space="preserve">Purpose: Group customers into behaviorally distinct segments using RFM (Recency, Frequency, Monetary) features and K-Means clustering.</w:t>
      </w:r>
    </w:p>
    <w:p>
      <w:pPr>
        <w:pStyle w:val="Heading2"/>
        <w:spacing w:after="120" w:before="260"/>
      </w:pPr>
      <w:r>
        <w:t xml:space="preserve">Logic Flow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Load transactions_clean.csv, re-convert InvoiceDate to datetime (CSV save/load strips datetime typing).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Calculate monetary — total spend per customer: transactions.groupby('Customer ID')['TotalPrice'].sum().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Calculate frequency — number of distinct orders per customer (not line items): transactions.groupby('Customer ID')['Invoice'].nunique().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Calculate recency — reference_date (max InvoiceDate + 1 day) minus each customer's last purchase date, in days.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Combine into customer_features — one row per customer with Recency, Frequency, Monetary, merged with a single Cancel_Count value per customer.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Log-transform and scale — np.log1p() reduces right-skew; StandardScaler centers features to mean 0, std 1 so K-Means distance calculations aren't dominated by Monetary's larger scale.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Determine k — elbow method (inertia plotted for k=1–10) and silhouette score (k=4,5,6) used together. Chosen k = 4, balancing statistical fit with business interpretability.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Fit final K-Means (k=4) on rfm_scaled, assign each customer a Cluster label (0–3) in customer_features.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Profile clusters — cluster_profile = mean Recency/Frequency/Monetary/Cancel_Count per cluster, used to interpret and name each segment.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Assign segment names via a manual mapping dictionary (cluster_names), added as a new Segment column.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11. </w:t>
      </w:r>
      <w:r>
        <w:rPr>
          <w:sz w:val="21"/>
          <w:szCs w:val="21"/>
        </w:rPr>
        <w:t xml:space="preserve">Save output → Data/Processed/customer_segments.csv</w:t>
      </w:r>
    </w:p>
    <w:p>
      <w:pPr>
        <w:pStyle w:val="Heading2"/>
        <w:spacing w:after="120" w:before="260"/>
      </w:pPr>
      <w:r>
        <w:t xml:space="preserve">Segment 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400"/>
        <w:gridCol w:w="6280"/>
      </w:tblGrid>
      <w:tr>
        <w:trPr>
          <w:tblHeader/>
        </w:trPr>
        <w:tc>
          <w:tcPr>
            <w:tcW w:type="dxa" w:w="14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Cluster</w:t>
            </w:r>
          </w:p>
        </w:tc>
        <w:tc>
          <w:tcPr>
            <w:tcW w:type="dxa" w:w="24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Segment Name</w:t>
            </w:r>
          </w:p>
        </w:tc>
        <w:tc>
          <w:tcPr>
            <w:tcW w:type="dxa" w:w="62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Profile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Champions</w:t>
            </w:r>
          </w:p>
        </w:tc>
        <w:tc>
          <w:tcPr>
            <w:tcW w:type="dxa" w:w="6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 recency, high frequency, highest monetary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1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Lost/Inactive</w:t>
            </w:r>
          </w:p>
        </w:tc>
        <w:tc>
          <w:tcPr>
            <w:tcW w:type="dxa" w:w="6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Very high recency, near-zero frequency, lowest monetary</w:t>
            </w:r>
          </w:p>
        </w:tc>
      </w:tr>
      <w:tr>
        <w:tc>
          <w:tcPr>
            <w:tcW w:type="dxa" w:w="1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2</w:t>
            </w:r>
          </w:p>
        </w:tc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At-Risk</w:t>
            </w:r>
          </w:p>
        </w:tc>
        <w:tc>
          <w:tcPr>
            <w:tcW w:type="dxa" w:w="6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High recency, moderate frequency/monetary</w:t>
            </w:r>
          </w:p>
        </w:tc>
      </w:tr>
      <w:tr>
        <w:tc>
          <w:tcPr>
            <w:tcW w:type="dxa" w:w="1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3</w:t>
            </w:r>
          </w:p>
        </w:tc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New/Occasional</w:t>
            </w:r>
          </w:p>
        </w:tc>
        <w:tc>
          <w:tcPr>
            <w:tcW w:type="dxa" w:w="6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Low recency, low frequency, moderate monetary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Key Variables Produced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78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57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customer_features / customer_segments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5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 ID, Recency, Frequency, Monetary, Cancel_Count, Cluster, Segment</w:t>
            </w:r>
          </w:p>
        </w:tc>
      </w:tr>
    </w:tbl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60"/>
      </w:pPr>
      <w:r>
        <w:t xml:space="preserve">Notebook 3: 03_clv.ipynb</w:t>
      </w:r>
    </w:p>
    <w:p>
      <w:pPr>
        <w:spacing w:after="160"/>
      </w:pPr>
      <w:r>
        <w:rPr>
          <w:sz w:val="21"/>
          <w:szCs w:val="21"/>
        </w:rPr>
        <w:t xml:space="preserve">Purpose: Estimate each customer's predicted future value (next 12 months) using probabilistic CLV models, going beyond a naive average-spend calculation.</w:t>
      </w:r>
    </w:p>
    <w:p>
      <w:pPr>
        <w:pStyle w:val="Heading2"/>
        <w:spacing w:after="120" w:before="260"/>
      </w:pPr>
      <w:r>
        <w:t xml:space="preserve">Logic Flow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Load transactions_clean.csv and customer_segments.csv.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Build order_level — collapses transactions from line-item grain to order grain: one row per Customer ID + Invoice, with InvoiceDate (first) and OrderValue (sum of TotalPrice).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Build lifetimes_summary using summary_data_from_transaction_data(), producing the format the BG/NBD and Gamma-Gamma models require (see table below).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Fit bgf (BG/NBD model) — BetaGeoFitter, fit on frequency, recency, T. Predicts how many future transactions a customer is likely to make.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Fit ggf (Gamma-Gamma model) — GammaGammaFitter, fit only on customers with frequency &gt; 0 (repeat buyers). Predicts expected monetary value per future transaction.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Predict predicted_clv — ggf.customer_lifetime_value() combines both models over a 12-month horizon with a small discount rate applied.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Handle missing CLV values — ~1,287 customers (mostly Lost/Inactive) receive NaN; imputed to 0 in Notebook 4 (a realistic assumption for customers with no repeat behavior).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Merge predicted_clv back onto customer_segments via Customer ID.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Save output → overwrites Data/Processed/customer_segments.csv with the new predicted_clv column.</w:t>
      </w:r>
    </w:p>
    <w:p>
      <w:pPr>
        <w:pStyle w:val="Heading2"/>
        <w:spacing w:after="120" w:before="260"/>
      </w:pPr>
      <w:r>
        <w:t xml:space="preserve">Lifetimes Summary Column Definitions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Column</w:t>
            </w:r>
          </w:p>
        </w:tc>
        <w:tc>
          <w:tcPr>
            <w:tcW w:type="dxa" w:w="76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Definition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frequency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Number of repeat purchases (a one-time buyer has frequency = 0)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recency</w:t>
            </w:r>
          </w:p>
        </w:tc>
        <w:tc>
          <w:tcPr>
            <w:tcW w:type="dxa" w:w="76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Days between a customer's first and last purchase (different from Notebook 2's Recency)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 days since the customer's first purchase, up to reference_date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monetary_value</w:t>
            </w:r>
          </w:p>
        </w:tc>
        <w:tc>
          <w:tcPr>
            <w:tcW w:type="dxa" w:w="76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Average value of the customer's repeat orders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Key Variables Produced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78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57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lifetimes_summary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5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frequency, recency, T, monetary_value (lifetimes-specific definitions)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customer_segments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57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prior columns + predicted_clv (expected revenue over next 12 months)</w:t>
            </w:r>
          </w:p>
        </w:tc>
      </w:tr>
    </w:tbl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60"/>
      </w:pPr>
      <w:r>
        <w:t xml:space="preserve">Notebook 4: 04_churn.ipynb</w:t>
      </w:r>
    </w:p>
    <w:p>
      <w:pPr>
        <w:spacing w:after="160"/>
      </w:pPr>
      <w:r>
        <w:rPr>
          <w:sz w:val="21"/>
          <w:szCs w:val="21"/>
        </w:rPr>
        <w:t xml:space="preserve">Purpose: Define churn empirically from the data, then build a classification model to understand which factors predict churn — both overall and by segment.</w:t>
      </w:r>
    </w:p>
    <w:p>
      <w:pPr>
        <w:pStyle w:val="Heading2"/>
        <w:spacing w:after="120" w:before="260"/>
      </w:pPr>
      <w:r>
        <w:t xml:space="preserve">Logic Flow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Load transactions_clean.csv and customer_segments.csv.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Determine churn threshold empirically — calculated actual distribution of days-between-consecutive-orders (median = 24 days, 75th percentile = 61 days). Chosen threshold: 75 days.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Build churn_labels — Churned = 1 if days_since_last_purchase &gt; 75, else 0. Result: 3,181 churned vs. 2,697 active.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Merge Churned onto customer_segments → model_data.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Prepare features (X) — Recency deliberately excluded (used to define churn — would cause circularity). Segment one-hot encoded. Missing predicted_clv imputed to 0.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Train/test split — 80/20, stratified on y to preserve class balance.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Fit logreg (Logistic Regression) on training set. Test set results: 92% accuracy, 95% recall on churned customers.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Inspect coefficients — Segment membership carries most of the predictive power; other features contribute little standalone signal once segment is known.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9. </w:t>
      </w:r>
      <w:r>
        <w:rPr>
          <w:sz w:val="21"/>
          <w:szCs w:val="21"/>
        </w:rPr>
        <w:t xml:space="preserve">Calculate churn rate by segment — Lost/Inactive 95%, At-Risk 82%, Champions 5.6%, New/Occasional 3.1%. At-Risk stands out: high historical value + high churn.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10. </w:t>
      </w:r>
      <w:r>
        <w:rPr>
          <w:sz w:val="21"/>
          <w:szCs w:val="21"/>
        </w:rPr>
        <w:t xml:space="preserve">Save output → overwrites Data/Processed/customer_segments.csv with Churned added.</w:t>
      </w:r>
    </w:p>
    <w:p>
      <w:pPr>
        <w:pStyle w:val="Heading2"/>
        <w:spacing w:after="120" w:before="260"/>
      </w:pPr>
      <w:r>
        <w:t xml:space="preserve">Key Variables Produced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78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57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model_data / customer_segments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</w:t>
            </w:r>
          </w:p>
        </w:tc>
        <w:tc>
          <w:tcPr>
            <w:tcW w:type="dxa" w:w="5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All prior columns + Churned (0/1 label)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logreg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model object</w:t>
            </w:r>
          </w:p>
        </w:tc>
        <w:tc>
          <w:tcPr>
            <w:tcW w:type="dxa" w:w="57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Fitted logistic regression churn classifier</w:t>
            </w:r>
          </w:p>
        </w:tc>
      </w:tr>
    </w:tbl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60"/>
      </w:pPr>
      <w:r>
        <w:t xml:space="preserve">Notebook 5: 05_price_sensitivity.ipynb</w:t>
      </w:r>
    </w:p>
    <w:p>
      <w:pPr>
        <w:spacing w:after="160"/>
      </w:pPr>
      <w:r>
        <w:rPr>
          <w:sz w:val="21"/>
          <w:szCs w:val="21"/>
        </w:rPr>
        <w:t xml:space="preserve">Purpose: Estimate how sensitive each customer segment's demand is to price changes, using elasticity regression — and explicitly test for confounding rather than accepting results at face value.</w:t>
      </w:r>
    </w:p>
    <w:p>
      <w:pPr>
        <w:pStyle w:val="Heading2"/>
        <w:spacing w:after="120" w:before="260"/>
      </w:pPr>
      <w:r>
        <w:t xml:space="preserve">Logic Flow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Load transactions_clean.csv and customer_segments.csv.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Filter out non-product StockCode values (M, POST, ADJUST, DOT, D, C2, BANK CHARGES, AMAZONFEE, CRUK) → transactions_products.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(Exploratory step) Initial per-product elasticity regression showed low explanatory power (R² ≈ 0.14) — led to the decision to aggregate to segment level instead.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Merge Segment onto transactions_products via Customer ID.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Aggregate to weekly_segment — one row per Segment × Week, with Total_Quantity (sum) and Avg_Price (mean).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6. </w:t>
      </w:r>
      <w:r>
        <w:rPr>
          <w:sz w:val="21"/>
          <w:szCs w:val="21"/>
        </w:rPr>
        <w:t xml:space="preserve">Fit log-log regression per segment — log(Total_Quantity) ~ log(Avg_Price) via statsmodels OLS. Coefficient on log_price = price elasticity of demand.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7. </w:t>
      </w:r>
      <w:r>
        <w:rPr>
          <w:sz w:val="21"/>
          <w:szCs w:val="21"/>
        </w:rPr>
        <w:t xml:space="preserve">Investigate the Lost/Inactive anomaly — a positive elasticity (+1.95) traced to purchases clustering in an early seasonal window, where price and quantity rose together due to seasonality, not causation. Flagged explicitly as a confound.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8. </w:t>
      </w:r>
      <w:r>
        <w:rPr>
          <w:sz w:val="21"/>
          <w:szCs w:val="21"/>
        </w:rPr>
        <w:t xml:space="preserve">Save output → Data/Processed/elasticity_by_segment.csv</w:t>
      </w:r>
    </w:p>
    <w:p>
      <w:pPr>
        <w:pStyle w:val="Heading2"/>
        <w:spacing w:after="120" w:before="260"/>
      </w:pPr>
      <w:r>
        <w:t xml:space="preserve">Elasticity Results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1900"/>
        <w:gridCol w:w="1900"/>
        <w:gridCol w:w="3380"/>
      </w:tblGrid>
      <w:tr>
        <w:trPr>
          <w:tblHeader/>
        </w:trPr>
        <w:tc>
          <w:tcPr>
            <w:tcW w:type="dxa" w:w="29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Elasticity</w:t>
            </w:r>
          </w:p>
        </w:tc>
        <w:tc>
          <w:tcPr>
            <w:tcW w:type="dxa" w:w="19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p-value</w:t>
            </w:r>
          </w:p>
        </w:tc>
        <w:tc>
          <w:tcPr>
            <w:tcW w:type="dxa" w:w="33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Significant?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New/Occasional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−2.37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0.003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— most elastic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Champions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−1.87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0.003</w:t>
            </w:r>
          </w:p>
        </w:tc>
        <w:tc>
          <w:tcPr>
            <w:tcW w:type="dxa" w:w="33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 — elastic</w:t>
            </w:r>
          </w:p>
        </w:tc>
      </w:tr>
      <w:tr>
        <w:tc>
          <w:tcPr>
            <w:tcW w:type="dxa" w:w="2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At-Risk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−0.44</w:t>
            </w:r>
          </w:p>
        </w:tc>
        <w:tc>
          <w:tcPr>
            <w:tcW w:type="dxa" w:w="19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0.512</w:t>
            </w:r>
          </w:p>
        </w:tc>
        <w:tc>
          <w:tcPr>
            <w:tcW w:type="dxa" w:w="3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— inconclusive</w:t>
            </w:r>
          </w:p>
        </w:tc>
      </w:tr>
      <w:tr>
        <w:tc>
          <w:tcPr>
            <w:tcW w:type="dxa" w:w="2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Lost/Inactive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+1.95</w:t>
            </w:r>
          </w:p>
        </w:tc>
        <w:tc>
          <w:tcPr>
            <w:tcW w:type="dxa" w:w="19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&lt;0.001</w:t>
            </w:r>
          </w:p>
        </w:tc>
        <w:tc>
          <w:tcPr>
            <w:tcW w:type="dxa" w:w="33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Yes, but confounded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Key Variables Produced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700"/>
        <w:gridCol w:w="5780"/>
      </w:tblGrid>
      <w:tr>
        <w:trPr>
          <w:tblHeader/>
        </w:trPr>
        <w:tc>
          <w:tcPr>
            <w:tcW w:type="dxa" w:w="26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7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57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26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weekly_segment</w:t>
            </w:r>
          </w:p>
        </w:tc>
        <w:tc>
          <w:tcPr>
            <w:tcW w:type="dxa" w:w="17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segment × week</w:t>
            </w:r>
          </w:p>
        </w:tc>
        <w:tc>
          <w:tcPr>
            <w:tcW w:type="dxa" w:w="57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Total_Quantity, Avg_Price</w:t>
            </w:r>
          </w:p>
        </w:tc>
      </w:tr>
      <w:tr>
        <w:tc>
          <w:tcPr>
            <w:tcW w:type="dxa" w:w="26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elasticity_df</w:t>
            </w:r>
          </w:p>
        </w:tc>
        <w:tc>
          <w:tcPr>
            <w:tcW w:type="dxa" w:w="17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segment</w:t>
            </w:r>
          </w:p>
        </w:tc>
        <w:tc>
          <w:tcPr>
            <w:tcW w:type="dxa" w:w="57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elasticity, p_value, r_squared, n_obs per segment</w:t>
            </w:r>
          </w:p>
        </w:tc>
      </w:tr>
    </w:tbl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60"/>
      </w:pPr>
      <w:r>
        <w:t xml:space="preserve">Notebook 6: 06_final_summary.ipynb</w:t>
      </w:r>
    </w:p>
    <w:p>
      <w:pPr>
        <w:spacing w:after="160"/>
      </w:pPr>
      <w:r>
        <w:rPr>
          <w:sz w:val="21"/>
          <w:szCs w:val="21"/>
        </w:rPr>
        <w:t xml:space="preserve">Purpose: Combine all prior outputs into a single segment-level summary table with business recommendations, and produce a consolidated visual dashboard.</w:t>
      </w:r>
    </w:p>
    <w:p>
      <w:pPr>
        <w:pStyle w:val="Heading2"/>
        <w:spacing w:after="120" w:before="260"/>
      </w:pPr>
      <w:r>
        <w:t xml:space="preserve">Logic Flow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1. </w:t>
      </w:r>
      <w:r>
        <w:rPr>
          <w:sz w:val="21"/>
          <w:szCs w:val="21"/>
        </w:rPr>
        <w:t xml:space="preserve">Load customer_segments.csv, elasticity_by_segment.csv, and transactions_clean.csv (needed for the revenue-trend visual).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2. </w:t>
      </w:r>
      <w:r>
        <w:rPr>
          <w:sz w:val="21"/>
          <w:szCs w:val="21"/>
        </w:rPr>
        <w:t xml:space="preserve">Build segment_summary — one row per segment aggregating Num_Customers, Avg_Recency, Avg_Frequency, Avg_Monetary, Avg_Predicted_CLV, Churn_Rate, merged with elasticity and p_value.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3. </w:t>
      </w:r>
      <w:r>
        <w:rPr>
          <w:sz w:val="21"/>
          <w:szCs w:val="21"/>
        </w:rPr>
        <w:t xml:space="preserve">Manually author Recommended_Action per segment — business judgment layered on top of the quantitative findings.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4. </w:t>
      </w:r>
      <w:r>
        <w:rPr>
          <w:sz w:val="21"/>
          <w:szCs w:val="21"/>
        </w:rPr>
        <w:t xml:space="preserve">Save output → Data/Processed/final_segment_summary.csv</w:t>
      </w:r>
    </w:p>
    <w:p>
      <w:pPr>
        <w:spacing w:after="100"/>
      </w:pPr>
      <w:r>
        <w:rPr>
          <w:b/>
          <w:bCs/>
          <w:sz w:val="21"/>
          <w:szCs w:val="21"/>
        </w:rPr>
        <w:t xml:space="preserve">5. </w:t>
      </w:r>
      <w:r>
        <w:rPr>
          <w:sz w:val="21"/>
          <w:szCs w:val="21"/>
        </w:rPr>
        <w:t xml:space="preserve">Build consolidated dashboard — a single matplotlib figure (3×3 GridSpec) combining seven visuals: segment size, avg. CLV, churn rate, elasticity (with confounded/insignificant segments grayed out), CLV-vs-churn priority matrix, churn model feature importance, and monthly revenue trend. Saved as dashboard.png.</w:t>
      </w:r>
    </w:p>
    <w:p>
      <w:pPr>
        <w:pStyle w:val="Heading2"/>
        <w:spacing w:after="120" w:before="260"/>
      </w:pPr>
      <w:r>
        <w:t xml:space="preserve">Recommended Actions by Segment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680"/>
      </w:tblGrid>
      <w:tr>
        <w:trPr>
          <w:tblHeader/>
        </w:trPr>
        <w:tc>
          <w:tcPr>
            <w:tcW w:type="dxa" w:w="24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Segment</w:t>
            </w:r>
          </w:p>
        </w:tc>
        <w:tc>
          <w:tcPr>
            <w:tcW w:type="dxa" w:w="76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Recommended Action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Champions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Protect &amp; reward loyalty; avoid discounting despite proven elasticity — already low-risk, high-value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At-Risk</w:t>
            </w:r>
          </w:p>
        </w:tc>
        <w:tc>
          <w:tcPr>
            <w:tcW w:type="dxa" w:w="76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Priority retention target; personalized win-back rather than price cuts (elasticity unproven)</w:t>
            </w:r>
          </w:p>
        </w:tc>
      </w:tr>
      <w:tr>
        <w:tc>
          <w:tcPr>
            <w:tcW w:type="dxa" w:w="24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New/Occasional</w:t>
            </w:r>
          </w:p>
        </w:tc>
        <w:tc>
          <w:tcPr>
            <w:tcW w:type="dxa" w:w="76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Targeted promotions; most price-responsive segment with low churn risk</w:t>
            </w:r>
          </w:p>
        </w:tc>
      </w:tr>
      <w:tr>
        <w:tc>
          <w:tcPr>
            <w:tcW w:type="dxa" w:w="24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Lost/Inactive</w:t>
            </w:r>
          </w:p>
        </w:tc>
        <w:tc>
          <w:tcPr>
            <w:tcW w:type="dxa" w:w="76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Deprioritize; low-cost automated win-back only, given confounded elasticity result</w:t>
            </w:r>
          </w:p>
        </w:tc>
      </w:tr>
    </w:tbl>
    <w:p>
      <w:pPr>
        <w:spacing w:after="120"/>
      </w:pPr>
    </w:p>
    <w:p>
      <w:pPr>
        <w:pStyle w:val="Heading2"/>
        <w:spacing w:after="120" w:before="260"/>
      </w:pPr>
      <w:r>
        <w:t xml:space="preserve">Key Variables Produced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500"/>
        <w:gridCol w:w="5380"/>
      </w:tblGrid>
      <w:tr>
        <w:trPr>
          <w:tblHeader/>
        </w:trPr>
        <w:tc>
          <w:tcPr>
            <w:tcW w:type="dxa" w:w="32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Variable</w:t>
            </w:r>
          </w:p>
        </w:tc>
        <w:tc>
          <w:tcPr>
            <w:tcW w:type="dxa" w:w="15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Grain</w:t>
            </w:r>
          </w:p>
        </w:tc>
        <w:tc>
          <w:tcPr>
            <w:tcW w:type="dxa" w:w="53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</w:tr>
      <w:tr>
        <w:tc>
          <w:tcPr>
            <w:tcW w:type="dxa" w:w="32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segment_summary / final_segment_summary.csv</w:t>
            </w:r>
          </w:p>
        </w:tc>
        <w:tc>
          <w:tcPr>
            <w:tcW w:type="dxa" w:w="15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segment</w:t>
            </w:r>
          </w:p>
        </w:tc>
        <w:tc>
          <w:tcPr>
            <w:tcW w:type="dxa" w:w="53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Full combined table: size, RFM averages, CLV, churn rate, elasticity, recommended action</w:t>
            </w:r>
          </w:p>
        </w:tc>
      </w:tr>
      <w:tr>
        <w:tc>
          <w:tcPr>
            <w:tcW w:type="dxa" w:w="32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dashboard.png</w:t>
            </w:r>
          </w:p>
        </w:tc>
        <w:tc>
          <w:tcPr>
            <w:tcW w:type="dxa" w:w="15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—</w:t>
            </w:r>
          </w:p>
        </w:tc>
        <w:tc>
          <w:tcPr>
            <w:tcW w:type="dxa" w:w="53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Combined 7-panel visual summary image</w:t>
            </w:r>
          </w:p>
        </w:tc>
      </w:tr>
    </w:tbl>
    <w:p>
      <w:pPr>
        <w:pBdr>
          <w:bottom w:val="single" w:color="BFBFBF" w:sz="6" w:space="1"/>
        </w:pBdr>
        <w:spacing w:after="240"/>
      </w:pPr>
    </w:p>
    <w:p>
      <w:pPr>
        <w:pStyle w:val="Heading1"/>
        <w:spacing w:after="160" w:before="360"/>
      </w:pPr>
      <w:r>
        <w:t xml:space="preserve">Glossary of Recurring Terms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7280"/>
      </w:tblGrid>
      <w:tr>
        <w:trPr>
          <w:tblHeader/>
        </w:trPr>
        <w:tc>
          <w:tcPr>
            <w:tcW w:type="dxa" w:w="280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Term</w:t>
            </w:r>
          </w:p>
        </w:tc>
        <w:tc>
          <w:tcPr>
            <w:tcW w:type="dxa" w:w="7280"/>
            <w:shd w:fill="1F3864" w:color="auto" w:val="clear"/>
            <w:tcMar>
              <w:top w:type="dxa" w:w="90"/>
              <w:left w:type="dxa" w:w="100"/>
              <w:bottom w:type="dxa" w:w="9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Meaning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RFM</w:t>
            </w:r>
          </w:p>
        </w:tc>
        <w:tc>
          <w:tcPr>
            <w:tcW w:type="dxa" w:w="7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Recency, Frequency, Monetary — the three core behavioral features used for segmentation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Recency (Notebook 2 sense)</w:t>
            </w:r>
          </w:p>
        </w:tc>
        <w:tc>
          <w:tcPr>
            <w:tcW w:type="dxa" w:w="7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Days since a customer's most recent purchase, relative to reference_date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Recency (lifetimes/CLV sense)</w:t>
            </w:r>
          </w:p>
        </w:tc>
        <w:tc>
          <w:tcPr>
            <w:tcW w:type="dxa" w:w="7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Days between a customer's first and last purchase — a different definition (Notebook 3)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CLV</w:t>
            </w:r>
          </w:p>
        </w:tc>
        <w:tc>
          <w:tcPr>
            <w:tcW w:type="dxa" w:w="7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Customer Lifetime Value — predicted future revenue over a defined horizon (12 months, here)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BG/NBD model</w:t>
            </w:r>
          </w:p>
        </w:tc>
        <w:tc>
          <w:tcPr>
            <w:tcW w:type="dxa" w:w="7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Beta-Geometric/Negative Binomial Distribution — predicts future purchase frequency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Gamma-Gamma model</w:t>
            </w:r>
          </w:p>
        </w:tc>
        <w:tc>
          <w:tcPr>
            <w:tcW w:type="dxa" w:w="7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Predicts expected monetary value per future transaction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Churn</w:t>
            </w:r>
          </w:p>
        </w:tc>
        <w:tc>
          <w:tcPr>
            <w:tcW w:type="dxa" w:w="7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No purchase within 75 days of reference_date (empirically chosen threshold)</w:t>
            </w:r>
          </w:p>
        </w:tc>
      </w:tr>
      <w:tr>
        <w:tc>
          <w:tcPr>
            <w:tcW w:type="dxa" w:w="280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Elasticity</w:t>
            </w:r>
          </w:p>
        </w:tc>
        <w:tc>
          <w:tcPr>
            <w:tcW w:type="dxa" w:w="7280"/>
            <w:shd w:fill="F2F2F2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% change in quantity demanded per 1% change in price; negative = normal behavior, |value| &gt; 1 = elastic</w:t>
            </w:r>
          </w:p>
        </w:tc>
      </w:tr>
      <w:tr>
        <w:tc>
          <w:tcPr>
            <w:tcW w:type="dxa" w:w="280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reference_date</w:t>
            </w:r>
          </w:p>
        </w:tc>
        <w:tc>
          <w:tcPr>
            <w:tcW w:type="dxa" w:w="7280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sz w:val="18"/>
                <w:szCs w:val="18"/>
              </w:rPr>
              <w:t xml:space="preserve">The “as of” date for all recency/time-window calculations = max InvoiceDate + 1 day</w:t>
            </w:r>
          </w:p>
        </w:tc>
      </w:tr>
    </w:tbl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2026-09-02T10:16:29.180Z</dcterms:created>
  <dcterms:modified xsi:type="dcterms:W3CDTF">2026-09-02T10:16:29.191Z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