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64"/>
          <w:szCs w:val="64"/>
        </w:rPr>
        <w:t xml:space="preserve">LuluCare 360</w:t>
      </w:r>
    </w:p>
    <w:p>
      <w:pPr>
        <w:spacing w:after="80"/>
        <w:jc w:val="center"/>
      </w:pPr>
      <w:r>
        <w:rPr>
          <w:color w:val="2E75B6"/>
          <w:sz w:val="32"/>
          <w:szCs w:val="32"/>
        </w:rPr>
        <w:t xml:space="preserve">AI Complaint-Resolution Co-Pilot</w:t>
      </w:r>
    </w:p>
    <w:p>
      <w:pPr>
        <w:spacing w:after="40"/>
        <w:jc w:val="center"/>
      </w:pPr>
      <w:r>
        <w:rPr>
          <w:i/>
          <w:iCs/>
          <w:color w:val="595959"/>
          <w:sz w:val="26"/>
          <w:szCs w:val="26"/>
        </w:rPr>
        <w:t xml:space="preserve">Complete Implementation Plan</w:t>
      </w:r>
    </w:p>
    <w:p>
      <w:pPr>
        <w:pBdr>
          <w:bottom w:val="single" w:color="2E75B6" w:sz="6" w:space="4"/>
        </w:pBdr>
        <w:spacing w:after="0" w:before="200"/>
        <w:jc w:val="center"/>
      </w:pPr>
      <w:r>
        <w:t xml:space="preserve"/>
      </w:r>
    </w:p>
    <w:p>
      <w:pPr>
        <w:spacing w:after="80" w:before="360"/>
        <w:jc w:val="center"/>
      </w:pPr>
      <w:r>
        <w:rPr>
          <w:color w:val="595959"/>
          <w:sz w:val="22"/>
          <w:szCs w:val="22"/>
        </w:rPr>
        <w:t xml:space="preserve">MAIB · Natural Language Processing · NLG &amp; Dialogue Systems</w:t>
      </w:r>
    </w:p>
    <w:p>
      <w:pPr>
        <w:spacing w:after="40"/>
        <w:jc w:val="center"/>
      </w:pPr>
      <w:r>
        <w:rPr>
          <w:color w:val="595959"/>
          <w:sz w:val="20"/>
          <w:szCs w:val="20"/>
        </w:rPr>
        <w:t xml:space="preserve">Four-module architecture · React (Netlify) frontend · separately-hosted Python/ML backend</w:t>
      </w:r>
    </w:p>
    <w:p>
      <w:pPr>
        <w:spacing w:after="40" w:before="1400"/>
        <w:jc w:val="center"/>
      </w:pPr>
      <w:r>
        <w:rPr>
          <w:i/>
          <w:iCs/>
          <w:color w:val="595959"/>
          <w:sz w:val="20"/>
          <w:szCs w:val="20"/>
        </w:rPr>
        <w:t xml:space="preserve">Planning deliverable — no code is written here.</w:t>
      </w:r>
    </w:p>
    <w:p>
      <w:pPr>
        <w:spacing w:after="0"/>
        <w:jc w:val="center"/>
      </w:pPr>
      <w:r>
        <w:rPr>
          <w:color w:val="595959"/>
          <w:sz w:val="18"/>
          <w:szCs w:val="18"/>
        </w:rPr>
        <w:t xml:space="preserve">Grounded in a full read of the handbook and a profile of messages.csv (630×5) and customers.csv (220×21).</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Orientation: What the Data Actually Contains</w:t>
      </w:r>
    </w:p>
    <w:p>
      <w:pPr>
        <w:spacing w:after="120" w:line="276"/>
      </w:pPr>
      <w:r>
        <w:t xml:space="preserve">This plan is written after reading the handbook end to end and profiling both datasets. Every threshold, schema, and test case below is checked against the real files rather than assumed. The salient facts that shape the design:</w:t>
      </w:r>
    </w:p>
    <w:p>
      <w:pPr>
        <w:pStyle w:val="ListParagraph"/>
        <w:numPr>
          <w:ilvl w:val="0"/>
          <w:numId w:val="2"/>
        </w:numPr>
        <w:spacing w:after="60" w:line="264"/>
      </w:pPr>
      <w:r>
        <w:rPr>
          <w:b/>
          <w:bCs/>
        </w:rPr>
        <w:t xml:space="preserve">messages.csv</w:t>
      </w:r>
      <w:r>
        <w:t xml:space="preserve"> — 630 rows × 5 columns, perfectly balanced: 90 per issue type, 210 per frustration level, exactly 30 in every issue×frustration cell. Message length is short: mean 14 words, max 23. A MAXLEN of 40 therefore truncates nothing. All 630 messages reference customer IDs that exist in customers.csv (no orphan joins); 205 distinct customers are referenced.</w:t>
      </w:r>
    </w:p>
    <w:p>
      <w:pPr>
        <w:pStyle w:val="ListParagraph"/>
        <w:numPr>
          <w:ilvl w:val="0"/>
          <w:numId w:val="2"/>
        </w:numPr>
        <w:spacing w:after="60" w:line="264"/>
      </w:pPr>
      <w:r>
        <w:rPr>
          <w:b/>
          <w:bCs/>
        </w:rPr>
        <w:t xml:space="preserve">customers.csv</w:t>
      </w:r>
      <w:r>
        <w:t xml:space="preserve"> — 220 rows × </w:t>
      </w:r>
      <w:r>
        <w:rPr>
          <w:b/>
          <w:bCs/>
        </w:rPr>
        <w:t xml:space="preserve">21</w:t>
      </w:r>
      <w:r>
        <w:t xml:space="preserve"> columns. The handbook documents 20 production fields, but the shipped file carries a 21st column, </w:t>
      </w:r>
      <w:r>
        <w:rPr>
          <w:rFonts w:ascii="Consolas" w:cs="Consolas" w:eastAsia="Consolas" w:hAnsi="Consolas"/>
          <w:color w:val="C00000"/>
        </w:rPr>
        <w:t xml:space="preserve">_archetype</w:t>
      </w:r>
      <w:r>
        <w:t xml:space="preserve">, which is the ground-truth label (GENUINE/SUSPICIOUS/LIKELY_ABUSER). This is a leakage trap (Section 6, Trap 1): it must be dropped on load and used only to score the Investigator in tests.</w:t>
      </w:r>
    </w:p>
    <w:p>
      <w:pPr>
        <w:pStyle w:val="ListParagraph"/>
        <w:numPr>
          <w:ilvl w:val="0"/>
          <w:numId w:val="2"/>
        </w:numPr>
        <w:spacing w:after="60" w:line="264"/>
      </w:pPr>
      <w:r>
        <w:rPr>
          <w:b/>
          <w:bCs/>
        </w:rPr>
        <w:t xml:space="preserve">Genuineness mix: </w:t>
      </w:r>
      <w:r>
        <w:t xml:space="preserve">120 GENUINE, 55 SUSPICIOUS, 45 LIKELY_ABUSER. Re-running the handbook's </w:t>
      </w:r>
      <w:r>
        <w:rPr>
          <w:rFonts w:ascii="Consolas" w:cs="Consolas" w:eastAsia="Consolas" w:hAnsi="Consolas"/>
        </w:rPr>
        <w:t xml:space="preserve">assess_genuineness</w:t>
      </w:r>
      <w:r>
        <w:t xml:space="preserve"> rules over the data reproduces the archetype for 218 of 220 customers (two SUSPICIOUS accounts cross a LIKELY_ABUSER threshold). The thresholds are sound as written.</w:t>
      </w:r>
    </w:p>
    <w:p>
      <w:pPr>
        <w:pStyle w:val="ListParagraph"/>
        <w:numPr>
          <w:ilvl w:val="0"/>
          <w:numId w:val="2"/>
        </w:numPr>
        <w:spacing w:after="60" w:line="264"/>
      </w:pPr>
      <w:r>
        <w:rPr>
          <w:b/>
          <w:bCs/>
        </w:rPr>
        <w:t xml:space="preserve">Claim verification: </w:t>
      </w:r>
      <w:r>
        <w:t xml:space="preserve">33 customers are CONFIRMED (every one has </w:t>
      </w:r>
      <w:r>
        <w:rPr>
          <w:rFonts w:ascii="Consolas" w:cs="Consolas" w:eastAsia="Consolas" w:hAnsi="Consolas"/>
        </w:rPr>
        <w:t xml:space="preserve">prior_promise_logged = True</w:t>
      </w:r>
      <w:r>
        <w:t xml:space="preserve">), 36 CONTRADICTED, 151 UNVERIFIED. One CONFIRMED customer (C0006) is also a LIKELY_ABUSER — a genuine rule conflict resolved in Section 4.</w:t>
      </w:r>
    </w:p>
    <w:p>
      <w:pPr>
        <w:pStyle w:val="ListParagraph"/>
        <w:numPr>
          <w:ilvl w:val="0"/>
          <w:numId w:val="2"/>
        </w:numPr>
        <w:spacing w:after="60" w:line="264"/>
      </w:pPr>
      <w:r>
        <w:rPr>
          <w:b/>
          <w:bCs/>
        </w:rPr>
        <w:t xml:space="preserve">Resolution economics: </w:t>
      </w:r>
      <w:r>
        <w:t xml:space="preserve">value bands split 84 HIGH / 111 MEDIUM / 25 LOW; refund logistics split 114 KEEP_ITEM (110 perishable + only 4 by cost-vs-resale economics) / 106 PICKUP. The four economics-driven KEEP_ITEM cases are the rare branch test case 6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8"/>
              <w:bottom w:val="single" w:color="1F3864" w:sz="1"/>
              <w:right w:val="single" w:color="1F3864" w:sz="1"/>
            </w:tcBorders>
            <w:shd w:fill="EAF1F8" w:val="clear"/>
            <w:tcMar>
              <w:top w:type="dxa" w:w="100"/>
              <w:left w:type="dxa" w:w="180"/>
              <w:bottom w:type="dxa" w:w="100"/>
              <w:right w:type="dxa" w:w="140"/>
            </w:tcMar>
          </w:tcPr>
          <w:p>
            <w:pPr>
              <w:spacing w:after="60"/>
            </w:pPr>
            <w:r>
              <w:rPr>
                <w:b/>
                <w:bCs/>
                <w:color w:val="1F3864"/>
                <w:sz w:val="21"/>
                <w:szCs w:val="21"/>
              </w:rPr>
              <w:t xml:space="preserve">The one principle the whole system enforces</w:t>
            </w:r>
          </w:p>
          <w:p>
            <w:pPr>
              <w:spacing w:after="0" w:line="264"/>
            </w:pPr>
            <w:r>
              <w:rPr>
                <w:b/>
                <w:bCs/>
              </w:rPr>
              <w:t xml:space="preserve">Genuineness comes from history, not tone; resolution comes from economics, not anger. </w:t>
            </w:r>
            <w:r>
              <w:t xml:space="preserve">The Reader may report High frustration, but frustration never raises trust and never, on its own, releases money. Where a customer's message and our own records disagree, the records win.</w:t>
            </w:r>
          </w:p>
        </w:tc>
      </w:tr>
    </w:tbl>
    <w:p>
      <w:r>
        <w:br w:type="page"/>
      </w:r>
    </w:p>
    <w:p>
      <w:pPr>
        <w:pStyle w:val="Heading1"/>
      </w:pPr>
      <w:r>
        <w:t xml:space="preserve">1. Final System Architecture</w:t>
      </w:r>
    </w:p>
    <w:p>
      <w:pPr>
        <w:spacing w:after="120" w:line="276"/>
      </w:pPr>
      <w:r>
        <w:rPr>
          <w:b/>
          <w:bCs/>
        </w:rPr>
        <w:t xml:space="preserve">Data flow (one direction). </w:t>
      </w:r>
      <w:r>
        <w:t xml:space="preserve">A complaint and a customer_id enter; six observable stages produce a decision and, conditionally, an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2"/>
              <w:left w:val="single" w:color="D5D8DC" w:sz="2"/>
              <w:bottom w:val="single" w:color="D5D8DC" w:sz="2"/>
              <w:right w:val="single" w:color="D5D8DC" w:sz="2"/>
            </w:tcBorders>
            <w:shd w:fill="F4F5F7"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(message, customer_id)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[1] READER (LSTM, offline-trained, served by Python API)</w:t>
            </w:r>
          </w:p>
          <w:p>
            <w:pPr>
              <w:spacing w:after="0" w:line="240"/>
            </w:pPr>
            <w:r>
              <w:rPr>
                <w:rFonts w:ascii="Consolas" w:cs="Consolas" w:eastAsia="Consolas" w:hAnsi="Consolas"/>
                <w:sz w:val="17"/>
                <w:szCs w:val="17"/>
              </w:rPr>
              <w:t xml:space="preserve">        |  -&gt; {issue_type, frustration, confidence}</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[2] INVESTIGATOR (rule engine over customers.csv)</w:t>
            </w:r>
          </w:p>
          <w:p>
            <w:pPr>
              <w:spacing w:after="0" w:line="240"/>
            </w:pPr>
            <w:r>
              <w:rPr>
                <w:rFonts w:ascii="Consolas" w:cs="Consolas" w:eastAsia="Consolas" w:hAnsi="Consolas"/>
                <w:sz w:val="17"/>
                <w:szCs w:val="17"/>
              </w:rPr>
              <w:t xml:space="preserve">        |  -&gt; {genuineness, claim_status, reason}</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[3] ECONOMIST (rule engine: value, tier, refund logistics, escalation, email flag)</w:t>
            </w:r>
          </w:p>
          <w:p>
            <w:pPr>
              <w:spacing w:after="0" w:line="240"/>
            </w:pPr>
            <w:r>
              <w:rPr>
                <w:rFonts w:ascii="Consolas" w:cs="Consolas" w:eastAsia="Consolas" w:hAnsi="Consolas"/>
                <w:sz w:val="17"/>
                <w:szCs w:val="17"/>
              </w:rPr>
              <w:t xml:space="preserve">        |  -&gt; {action, refund_type, coupon_percent, wallet_credit, escalate, email_trigger, reason}</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[4] VOICE (FLAN-T5 or template fallback)  -&gt; reply_text  (+ email if email_trigger)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AUDIT LOG  (append-only record of every money action)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w:t>
            </w:r>
          </w:p>
          <w:p>
            <w:pPr>
              <w:spacing w:after="0" w:line="240"/>
            </w:pPr>
            <w:r>
              <w:rPr>
                <w:rFonts w:ascii="Consolas" w:cs="Consolas" w:eastAsia="Consolas" w:hAnsi="Consolas"/>
                <w:sz w:val="17"/>
                <w:szCs w:val="17"/>
              </w:rPr>
              <w:t xml:space="preserve">  REACT DASHBOARD  (renders all six stages: understanding -&gt; verdict -&gt;</w:t>
            </w:r>
          </w:p>
          <w:p>
            <w:pPr>
              <w:spacing w:after="0" w:line="240"/>
            </w:pPr>
            <w:r>
              <w:rPr>
                <w:rFonts w:ascii="Consolas" w:cs="Consolas" w:eastAsia="Consolas" w:hAnsi="Consolas"/>
                <w:sz w:val="17"/>
                <w:szCs w:val="17"/>
              </w:rPr>
              <w:t xml:space="preserve">                    decision -&gt; reply -&gt; email fired/not -&gt; audit trail)</w:t>
            </w:r>
          </w:p>
        </w:tc>
      </w:tr>
    </w:tbl>
    <w:p>
      <w:pPr>
        <w:spacing w:after="60"/>
      </w:pPr>
      <w:r>
        <w:t xml:space="preserve"/>
      </w:r>
    </w:p>
    <w:p>
      <w:pPr>
        <w:pStyle w:val="Heading2"/>
      </w:pPr>
      <w:r>
        <w:t xml:space="preserve">1.1 The five layers, kept physically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60"/>
        <w:gridCol w:w="45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Layer</w:t>
            </w:r>
          </w:p>
        </w:tc>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Lives in</w:t>
            </w:r>
          </w:p>
        </w:tc>
        <w:tc>
          <w:tcPr>
            <w:tcW w:type="dxa" w:w="4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Responsibility</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Frontend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/frontend (React, Netlify static)</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Renders the six stages; never contains business logic or thresholds.</w:t>
            </w:r>
          </w:p>
        </w:tc>
      </w:tr>
      <w:tr>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Backend / API</w:t>
            </w:r>
          </w:p>
        </w:tc>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/backend/api (FastAPI, hosted off-Netlify)</w:t>
            </w:r>
          </w:p>
        </w:tc>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Single POST /resolve endpoint; orchestrates the pipeline; returns one consolidated JSON.</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ML artifacts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/backend/models (saved .keras + tokenizer + label maps)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Reader weights trained offline; loaded once at API start. No training at request time.</w:t>
            </w:r>
          </w:p>
        </w:tc>
      </w:tr>
      <w:tr>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Rule engines</w:t>
            </w:r>
          </w:p>
        </w:tc>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/backend/modules/{investigator,economist}</w:t>
            </w:r>
          </w:p>
        </w:tc>
        <w:tc>
          <w:tcPr>
            <w:tcW w:type="dxa" w:w="1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Pure, transparent Python functions; deterministic; unit-testable in isolation.</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Data &amp; logs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/backend/data (CSVs), /backend/logs (audit)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customers.csv read-only lookup keyed by customer_id; audit log append-only.</w:t>
            </w:r>
          </w:p>
        </w:tc>
      </w:tr>
    </w:tbl>
    <w:p>
      <w:pPr>
        <w:spacing w:after="60"/>
      </w:pPr>
      <w:r>
        <w:t xml:space="preserve"/>
      </w:r>
    </w:p>
    <w:p>
      <w:pPr>
        <w:pStyle w:val="Heading2"/>
      </w:pPr>
      <w:r>
        <w:t xml:space="preserve">1.2 Why Netlify forces this split</w:t>
      </w:r>
    </w:p>
    <w:p>
      <w:pPr>
        <w:spacing w:after="120" w:line="276"/>
      </w:pPr>
      <w:r>
        <w:rPr>
          <w:b/>
          <w:bCs/>
        </w:rPr>
        <w:t xml:space="preserve">Netlify hosts static assets and short-lived serverless functions only. </w:t>
      </w:r>
      <w:r>
        <w:t xml:space="preserve">It cannot run a persistent Python process, cannot hold a TensorFlow model in memory between requests, and cannot train one. A 25-second function timeout and the absence of a long-lived GPU/CPU worker make in-Netlify inference impractical for an LSTM plus FLAN-T5.</w:t>
      </w:r>
    </w:p>
    <w:p>
      <w:pPr>
        <w:spacing w:after="120" w:line="276"/>
      </w:pPr>
      <w:r>
        <w:rPr>
          <w:b/>
          <w:bCs/>
        </w:rPr>
        <w:t xml:space="preserve">Implication: </w:t>
      </w:r>
      <w:r>
        <w:t xml:space="preserve">the Reader model and both rule engines must live in a separately-hosted Python service (Render, Railway, Fly.io, or Hugging Face Spaces — all have free tiers). Netlify serves only the compiled React bundle, which calls that service over HTTPS using a build-time environment variable for the base URL. Section 7 details the deployment, CORS, and a precomputed-JSON demo-mode fallback for when the live backend is not up in time.</w:t>
      </w:r>
    </w:p>
    <w:p>
      <w:pPr>
        <w:spacing w:after="120" w:line="276"/>
      </w:pPr>
      <w:r>
        <w:rPr>
          <w:b/>
          <w:bCs/>
        </w:rPr>
        <w:t xml:space="preserve">The Reader is trained once, offline, </w:t>
      </w:r>
      <w:r>
        <w:t xml:space="preserve">in a notebook/Colab; its artifacts (</w:t>
      </w:r>
      <w:r>
        <w:rPr>
          <w:rFonts w:ascii="Consolas" w:cs="Consolas" w:eastAsia="Consolas" w:hAnsi="Consolas"/>
        </w:rPr>
        <w:t xml:space="preserve">reader_issue.keras</w:t>
      </w:r>
      <w:r>
        <w:t xml:space="preserve">, </w:t>
      </w:r>
      <w:r>
        <w:rPr>
          <w:rFonts w:ascii="Consolas" w:cs="Consolas" w:eastAsia="Consolas" w:hAnsi="Consolas"/>
        </w:rPr>
        <w:t xml:space="preserve">reader_frustration.keras</w:t>
      </w:r>
      <w:r>
        <w:t xml:space="preserve">, </w:t>
      </w:r>
      <w:r>
        <w:rPr>
          <w:rFonts w:ascii="Consolas" w:cs="Consolas" w:eastAsia="Consolas" w:hAnsi="Consolas"/>
        </w:rPr>
        <w:t xml:space="preserve">tokenizer.json</w:t>
      </w:r>
      <w:r>
        <w:t xml:space="preserve">, </w:t>
      </w:r>
      <w:r>
        <w:rPr>
          <w:rFonts w:ascii="Consolas" w:cs="Consolas" w:eastAsia="Consolas" w:hAnsi="Consolas"/>
        </w:rPr>
        <w:t xml:space="preserve">label_maps.json</w:t>
      </w:r>
      <w:r>
        <w:t xml:space="preserve">) are committed to </w:t>
      </w:r>
      <w:r>
        <w:rPr>
          <w:rFonts w:ascii="Consolas" w:cs="Consolas" w:eastAsia="Consolas" w:hAnsi="Consolas"/>
        </w:rPr>
        <w:t xml:space="preserve">/backend/models</w:t>
      </w:r>
      <w:r>
        <w:t xml:space="preserve"> and merely loaded by the API. Training never happens inside any deployed service.</w:t>
      </w:r>
    </w:p>
    <w:p>
      <w:r>
        <w:br w:type="page"/>
      </w:r>
    </w:p>
    <w:p>
      <w:pPr>
        <w:pStyle w:val="Heading1"/>
      </w:pPr>
      <w:r>
        <w:t xml:space="preserve">2. Group Member Work Division</w:t>
      </w:r>
    </w:p>
    <w:p>
      <w:pPr>
        <w:spacing w:after="120" w:line="276"/>
      </w:pPr>
      <w:r>
        <w:t xml:space="preserve">Work is divided module-wise for a six- or seven-person group, exactly as the handbook suggests. Each sub-team builds against the frozen interface contracts in Section 4 and tests against mock inputs, so no one is blocked waiting for a teammate. The “never modify” column is the integration safety rail.</w:t>
      </w:r>
    </w:p>
    <w:p>
      <w:pPr>
        <w:pStyle w:val="Heading2"/>
      </w:pPr>
      <w:r>
        <w:t xml:space="preserve">2.1 Reader sub-team (Module 1) — 2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Aspect</w:t>
            </w:r>
          </w:p>
        </w:tc>
        <w:tc>
          <w:tcPr>
            <w:tcW w:type="dxa" w:w="7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Detail</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Owns files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modules/reader/reader.py, train_reader.py, models/reader_issue.keras, models/reader_frustration.keras, models/tokenizer.json, models/label_maps.json</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Exposes</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read_message(text) -&gt; dict</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Input schema</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text: str (a single complaint message)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Output schema</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{issue_type: str(one of 7), frustration: str(Low|Medium|High), confidence: float 0..1}</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Person A</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Builds + trains the LSTM issue classifier; produces the confusion matrix; saves artifacts.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Person B</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Builds the 3-class frustration model; runs the SimpleRNN-vs-LSTM comparison on long messages.</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Depends on</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messages.csv only. MUST NOT read customers.csv.</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Required tests</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Output keys+types exact; confidence in [0,1]; issue_type in the 7-enum; drops on ambiguous text; never raises on empty string.</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Never modify</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Investigator/Economist/Voice files; shared/enums; the consolidated response contract.</w:t>
            </w:r>
          </w:p>
        </w:tc>
      </w:tr>
    </w:tbl>
    <w:p>
      <w:pPr>
        <w:spacing w:after="60"/>
      </w:pPr>
      <w:r>
        <w:t xml:space="preserve"/>
      </w:r>
    </w:p>
    <w:p>
      <w:pPr>
        <w:pStyle w:val="Heading2"/>
      </w:pPr>
      <w:r>
        <w:t xml:space="preserve">2.2 Investigator sub-team (Module 2) — 1–2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Aspect</w:t>
            </w:r>
          </w:p>
        </w:tc>
        <w:tc>
          <w:tcPr>
            <w:tcW w:type="dxa" w:w="7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Detail</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Owns files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modules/investigator/investigator.py (assess_genuineness, verify_claim, investigate)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Exposes</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investigate(reader_output, profile) -&gt; dict</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Input schema</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reader_output (Reader dict), profile (one customers.csv row as dict, _archetype already stripped)</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Output schema</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{genuineness: GENUINE|SUSPICIOUS|LIKELY_ABUSER, claim_status: CONFIRMED|CONTRADICTED|UNVERIFIED, reason: str}</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Depends on</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customers.csv fields + the Reader output keys (read-only; never the message tone).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Required tests</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All 3 fraud paths; all 3 claim states; the CONTRADICTED note bank; C0006 (abuser + logged promise); _archetype never referenced.</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Never modify</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Reader/Economist/Voice files; shared/enums; coupon or refund values.</w:t>
            </w:r>
          </w:p>
        </w:tc>
      </w:tr>
    </w:tbl>
    <w:p>
      <w:pPr>
        <w:spacing w:after="60"/>
      </w:pPr>
      <w:r>
        <w:t xml:space="preserve"/>
      </w:r>
    </w:p>
    <w:p>
      <w:pPr>
        <w:pStyle w:val="Heading2"/>
      </w:pPr>
      <w:r>
        <w:t xml:space="preserve">2.3 Economist sub-team (Module 3) — 2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Aspect</w:t>
            </w:r>
          </w:p>
        </w:tc>
        <w:tc>
          <w:tcPr>
            <w:tcW w:type="dxa" w:w="7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Detail</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Owns files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modules/economist/economist.py (value_band, choose_action, refund_logistics, should_escalate, decide)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Exposes</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decide(verdict, reader_output, profile) -&gt; dict</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Output schema</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{action: ACKNOWLEDGE|COUPON|WALLET_CREDIT|REFUND|ESCALATE, refund_type: PICKUP|KEEP_ITEM|NONE, coupon_percent: 0|20|50, wallet_credit: number, escalate: bool, email_trigger: bool, reason: str}</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Person A</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Owns value_band + the remediation-tier table (choose_action).</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Person B</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Owns refund_logistics + should_escalate + the email_trigger rule.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Depends on</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Investigator verdict + Reader output + profile economics fields.</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Required tests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Tier table per Section 4; logistics tree (perishable, high-resale, cost&gt;resale); escalation valve; email fires ONLY on COUPON/REFUND/WALLET_CREDIT; abuse never pays.</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Never modify</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Reader/Investigator/Voice files; shared/enums; must never generate customer-facing text.</w:t>
            </w:r>
          </w:p>
        </w:tc>
      </w:tr>
    </w:tbl>
    <w:p>
      <w:pPr>
        <w:spacing w:after="60"/>
      </w:pPr>
      <w:r>
        <w:t xml:space="preserve"/>
      </w:r>
    </w:p>
    <w:p>
      <w:pPr>
        <w:pStyle w:val="Heading2"/>
      </w:pPr>
      <w:r>
        <w:t xml:space="preserve">2.4 Voice sub-team (Module 4) — 1–2 people, drives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Aspect</w:t>
            </w:r>
          </w:p>
        </w:tc>
        <w:tc>
          <w:tcPr>
            <w:tcW w:type="dxa" w:w="7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Detail</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Owns files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modules/voice/voice.py (describe_action, generate_reply, fire_email), api/main.py (FastAPI), pipeline.py, audit log writer</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Exposes</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generate_reply(decision, message) -&gt; str; fire_email(profile, decision, reply) -&gt; dict|None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Output schema</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reply_text: str; email dict {to, subject, body} only when email_trigger is True</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Person A</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FLAN-T5 loading + the template fallback generator; reply tone (esp. the polite ACKNOWLEDGE refusal).</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Person B</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Email trigger + audit log + FastAPI endpoint + driving end-to-end integration and the React contract.</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Depends on</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the Economist decision + the original message. Reads email_trigger; never recomputes it.</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Required tests</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Reply generated for every action; email fires iff email_trigger; ACKNOWLEDGE/ESCALATE never email; audit row written for every money action.</w:t>
            </w:r>
          </w:p>
        </w:tc>
      </w:tr>
      <w:tr>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Never modify</w:t>
            </w:r>
          </w:p>
        </w:tc>
        <w:tc>
          <w:tcPr>
            <w:tcW w:type="dxa" w:w="17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any business decision field; the Reader/Investigator/Economist logic; shared/enums.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8"/>
              <w:bottom w:val="single" w:color="B8860B" w:sz="1"/>
              <w:right w:val="single" w:color="B8860B" w:sz="1"/>
            </w:tcBorders>
            <w:shd w:fill="FFF4E5" w:val="clear"/>
            <w:tcMar>
              <w:top w:type="dxa" w:w="100"/>
              <w:left w:type="dxa" w:w="180"/>
              <w:bottom w:type="dxa" w:w="100"/>
              <w:right w:type="dxa" w:w="140"/>
            </w:tcMar>
          </w:tcPr>
          <w:p>
            <w:pPr>
              <w:spacing w:after="60"/>
            </w:pPr>
            <w:r>
              <w:rPr>
                <w:b/>
                <w:bCs/>
                <w:color w:val="B8860B"/>
                <w:sz w:val="21"/>
                <w:szCs w:val="21"/>
              </w:rPr>
              <w:t xml:space="preserve">Integration-safety contract for all four sub-teams</w:t>
            </w:r>
          </w:p>
          <w:p>
            <w:pPr>
              <w:spacing w:after="0" w:line="264"/>
            </w:pPr>
            <w:r>
              <w:rPr>
                <w:b/>
                <w:bCs/>
              </w:rPr>
              <w:t xml:space="preserve">No module renames another module's output keys. </w:t>
            </w:r>
            <w:r>
              <w:t xml:space="preserve">Enums are imported from one shared source, never re-typed. All lookups are by customer_id. The Reader never touches history; the Investigator never reads tone; the Economist never writes text; the Voice never changes a decision. These five rules are what make four independently-generated codebases stitch without breakage.</w:t>
            </w:r>
          </w:p>
        </w:tc>
      </w:tr>
    </w:tbl>
    <w:p>
      <w:r>
        <w:br w:type="page"/>
      </w:r>
    </w:p>
    <w:p>
      <w:pPr>
        <w:pStyle w:val="Heading1"/>
      </w:pPr>
      <w:r>
        <w:t xml:space="preserve">3. Strict File and Folder Structure</w:t>
      </w:r>
    </w:p>
    <w:p>
      <w:pPr>
        <w:spacing w:after="120" w:line="276"/>
      </w:pPr>
      <w:r>
        <w:t xml:space="preserve">Every file is named explicitly. Generated artifacts (model weights, audit log) and the precomputed demo JSON have fixed paths so teammates' independent work lands in the same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2"/>
              <w:left w:val="single" w:color="D5D8DC" w:sz="2"/>
              <w:bottom w:val="single" w:color="D5D8DC" w:sz="2"/>
              <w:right w:val="single" w:color="D5D8DC" w:sz="2"/>
            </w:tcBorders>
            <w:shd w:fill="F4F5F7"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lulucare360/</w:t>
            </w:r>
          </w:p>
          <w:p>
            <w:pPr>
              <w:spacing w:after="0" w:line="240"/>
            </w:pPr>
            <w:r>
              <w:rPr>
                <w:rFonts w:ascii="Consolas" w:cs="Consolas" w:eastAsia="Consolas" w:hAnsi="Consolas"/>
                <w:sz w:val="17"/>
                <w:szCs w:val="17"/>
              </w:rPr>
              <w:t xml:space="preserve">|-- README.md                         # setup + run, both servers</w:t>
            </w:r>
          </w:p>
          <w:p>
            <w:pPr>
              <w:spacing w:after="0" w:line="240"/>
            </w:pPr>
            <w:r>
              <w:rPr>
                <w:rFonts w:ascii="Consolas" w:cs="Consolas" w:eastAsia="Consolas" w:hAnsi="Consolas"/>
                <w:sz w:val="17"/>
                <w:szCs w:val="17"/>
              </w:rPr>
              <w:t xml:space="preserve">|-- frontend/                         # React, deployed to Netlify</w:t>
            </w:r>
          </w:p>
          <w:p>
            <w:pPr>
              <w:spacing w:after="0" w:line="240"/>
            </w:pPr>
            <w:r>
              <w:rPr>
                <w:rFonts w:ascii="Consolas" w:cs="Consolas" w:eastAsia="Consolas" w:hAnsi="Consolas"/>
                <w:sz w:val="17"/>
                <w:szCs w:val="17"/>
              </w:rPr>
              <w:t xml:space="preserve">|   |-- package.json</w:t>
            </w:r>
          </w:p>
          <w:p>
            <w:pPr>
              <w:spacing w:after="0" w:line="240"/>
            </w:pPr>
            <w:r>
              <w:rPr>
                <w:rFonts w:ascii="Consolas" w:cs="Consolas" w:eastAsia="Consolas" w:hAnsi="Consolas"/>
                <w:sz w:val="17"/>
                <w:szCs w:val="17"/>
              </w:rPr>
              <w:t xml:space="preserve">|   |-- netlify.toml                  # build cmd, publish dir, redirects</w:t>
            </w:r>
          </w:p>
          <w:p>
            <w:pPr>
              <w:spacing w:after="0" w:line="240"/>
            </w:pPr>
            <w:r>
              <w:rPr>
                <w:rFonts w:ascii="Consolas" w:cs="Consolas" w:eastAsia="Consolas" w:hAnsi="Consolas"/>
                <w:sz w:val="17"/>
                <w:szCs w:val="17"/>
              </w:rPr>
              <w:t xml:space="preserve">|   |-- .env.example                  # VITE_API_BASE_URL=...</w:t>
            </w:r>
          </w:p>
          <w:p>
            <w:pPr>
              <w:spacing w:after="0" w:line="240"/>
            </w:pPr>
            <w:r>
              <w:rPr>
                <w:rFonts w:ascii="Consolas" w:cs="Consolas" w:eastAsia="Consolas" w:hAnsi="Consolas"/>
                <w:sz w:val="17"/>
                <w:szCs w:val="17"/>
              </w:rPr>
              <w:t xml:space="preserve">|   |-- public/</w:t>
            </w:r>
          </w:p>
          <w:p>
            <w:pPr>
              <w:spacing w:after="0" w:line="240"/>
            </w:pPr>
            <w:r>
              <w:rPr>
                <w:rFonts w:ascii="Consolas" w:cs="Consolas" w:eastAsia="Consolas" w:hAnsi="Consolas"/>
                <w:sz w:val="17"/>
                <w:szCs w:val="17"/>
              </w:rPr>
              <w:t xml:space="preserve">|   |-- src/</w:t>
            </w:r>
          </w:p>
          <w:p>
            <w:pPr>
              <w:spacing w:after="0" w:line="240"/>
            </w:pPr>
            <w:r>
              <w:rPr>
                <w:rFonts w:ascii="Consolas" w:cs="Consolas" w:eastAsia="Consolas" w:hAnsi="Consolas"/>
                <w:sz w:val="17"/>
                <w:szCs w:val="17"/>
              </w:rPr>
              <w:t xml:space="preserve">|   |   |-- main.jsx</w:t>
            </w:r>
          </w:p>
          <w:p>
            <w:pPr>
              <w:spacing w:after="0" w:line="240"/>
            </w:pPr>
            <w:r>
              <w:rPr>
                <w:rFonts w:ascii="Consolas" w:cs="Consolas" w:eastAsia="Consolas" w:hAnsi="Consolas"/>
                <w:sz w:val="17"/>
                <w:szCs w:val="17"/>
              </w:rPr>
              <w:t xml:space="preserve">|   |   |-- App.jsx</w:t>
            </w:r>
          </w:p>
          <w:p>
            <w:pPr>
              <w:spacing w:after="0" w:line="240"/>
            </w:pPr>
            <w:r>
              <w:rPr>
                <w:rFonts w:ascii="Consolas" w:cs="Consolas" w:eastAsia="Consolas" w:hAnsi="Consolas"/>
                <w:sz w:val="17"/>
                <w:szCs w:val="17"/>
              </w:rPr>
              <w:t xml:space="preserve">|   |   |-- api_client.js             # fetch wrapper -&gt; POST /resolve</w:t>
            </w:r>
          </w:p>
          <w:p>
            <w:pPr>
              <w:spacing w:after="0" w:line="240"/>
            </w:pPr>
            <w:r>
              <w:rPr>
                <w:rFonts w:ascii="Consolas" w:cs="Consolas" w:eastAsia="Consolas" w:hAnsi="Consolas"/>
                <w:sz w:val="17"/>
                <w:szCs w:val="17"/>
              </w:rPr>
              <w:t xml:space="preserve">|   |   |-- demoData.js               # precomputed JSON fallback (demo mode)</w:t>
            </w:r>
          </w:p>
          <w:p>
            <w:pPr>
              <w:spacing w:after="0" w:line="240"/>
            </w:pPr>
            <w:r>
              <w:rPr>
                <w:rFonts w:ascii="Consolas" w:cs="Consolas" w:eastAsia="Consolas" w:hAnsi="Consolas"/>
                <w:sz w:val="17"/>
                <w:szCs w:val="17"/>
              </w:rPr>
              <w:t xml:space="preserve">|   |   |-- components/</w:t>
            </w:r>
          </w:p>
          <w:p>
            <w:pPr>
              <w:spacing w:after="0" w:line="240"/>
            </w:pPr>
            <w:r>
              <w:rPr>
                <w:rFonts w:ascii="Consolas" w:cs="Consolas" w:eastAsia="Consolas" w:hAnsi="Consolas"/>
                <w:sz w:val="17"/>
                <w:szCs w:val="17"/>
              </w:rPr>
              <w:t xml:space="preserve">|   |   |   |-- Dashboard.jsx         # the six-stage container</w:t>
            </w:r>
          </w:p>
          <w:p>
            <w:pPr>
              <w:spacing w:after="0" w:line="240"/>
            </w:pPr>
            <w:r>
              <w:rPr>
                <w:rFonts w:ascii="Consolas" w:cs="Consolas" w:eastAsia="Consolas" w:hAnsi="Consolas"/>
                <w:sz w:val="17"/>
                <w:szCs w:val="17"/>
              </w:rPr>
              <w:t xml:space="preserve">|   |   |   |-- ReaderPanel.jsx       # stage 1: understanding</w:t>
            </w:r>
          </w:p>
          <w:p>
            <w:pPr>
              <w:spacing w:after="0" w:line="240"/>
            </w:pPr>
            <w:r>
              <w:rPr>
                <w:rFonts w:ascii="Consolas" w:cs="Consolas" w:eastAsia="Consolas" w:hAnsi="Consolas"/>
                <w:sz w:val="17"/>
                <w:szCs w:val="17"/>
              </w:rPr>
              <w:t xml:space="preserve">|   |   |   |-- InvestigatorPanel.jsx # stage 2: trust verdict</w:t>
            </w:r>
          </w:p>
          <w:p>
            <w:pPr>
              <w:spacing w:after="0" w:line="240"/>
            </w:pPr>
            <w:r>
              <w:rPr>
                <w:rFonts w:ascii="Consolas" w:cs="Consolas" w:eastAsia="Consolas" w:hAnsi="Consolas"/>
                <w:sz w:val="17"/>
                <w:szCs w:val="17"/>
              </w:rPr>
              <w:t xml:space="preserve">|   |   |   |-- DecisionPanel.jsx     # stage 3: economist decision</w:t>
            </w:r>
          </w:p>
          <w:p>
            <w:pPr>
              <w:spacing w:after="0" w:line="240"/>
            </w:pPr>
            <w:r>
              <w:rPr>
                <w:rFonts w:ascii="Consolas" w:cs="Consolas" w:eastAsia="Consolas" w:hAnsi="Consolas"/>
                <w:sz w:val="17"/>
                <w:szCs w:val="17"/>
              </w:rPr>
              <w:t xml:space="preserve">|   |   |   |-- ReplyPanel.jsx        # stage 4: generated reply</w:t>
            </w:r>
          </w:p>
          <w:p>
            <w:pPr>
              <w:spacing w:after="0" w:line="240"/>
            </w:pPr>
            <w:r>
              <w:rPr>
                <w:rFonts w:ascii="Consolas" w:cs="Consolas" w:eastAsia="Consolas" w:hAnsi="Consolas"/>
                <w:sz w:val="17"/>
                <w:szCs w:val="17"/>
              </w:rPr>
              <w:t xml:space="preserve">|   |   |   |-- EmailPanel.jsx        # stage 5: email fired / not</w:t>
            </w:r>
          </w:p>
          <w:p>
            <w:pPr>
              <w:spacing w:after="0" w:line="240"/>
            </w:pPr>
            <w:r>
              <w:rPr>
                <w:rFonts w:ascii="Consolas" w:cs="Consolas" w:eastAsia="Consolas" w:hAnsi="Consolas"/>
                <w:sz w:val="17"/>
                <w:szCs w:val="17"/>
              </w:rPr>
              <w:t xml:space="preserve">|   |   |   |-- AuditLog.jsx          # stage 6: audit trail</w:t>
            </w:r>
          </w:p>
          <w:p>
            <w:pPr>
              <w:spacing w:after="0" w:line="240"/>
            </w:pPr>
            <w:r>
              <w:rPr>
                <w:rFonts w:ascii="Consolas" w:cs="Consolas" w:eastAsia="Consolas" w:hAnsi="Consolas"/>
                <w:sz w:val="17"/>
                <w:szCs w:val="17"/>
              </w:rPr>
              <w:t xml:space="preserve">|   |   |   `-- StageBadge.jsx        # shared status pill</w:t>
            </w:r>
          </w:p>
          <w:p>
            <w:pPr>
              <w:spacing w:after="0" w:line="240"/>
            </w:pPr>
            <w:r>
              <w:rPr>
                <w:rFonts w:ascii="Consolas" w:cs="Consolas" w:eastAsia="Consolas" w:hAnsi="Consolas"/>
                <w:sz w:val="17"/>
                <w:szCs w:val="17"/>
              </w:rPr>
              <w:t xml:space="preserve">|-- backend/                          # Python, hosted off-Netlify</w:t>
            </w:r>
          </w:p>
          <w:p>
            <w:pPr>
              <w:spacing w:after="0" w:line="240"/>
            </w:pPr>
            <w:r>
              <w:rPr>
                <w:rFonts w:ascii="Consolas" w:cs="Consolas" w:eastAsia="Consolas" w:hAnsi="Consolas"/>
                <w:sz w:val="17"/>
                <w:szCs w:val="17"/>
              </w:rPr>
              <w:t xml:space="preserve">|   |-- requirements.txt</w:t>
            </w:r>
          </w:p>
          <w:p>
            <w:pPr>
              <w:spacing w:after="0" w:line="240"/>
            </w:pPr>
            <w:r>
              <w:rPr>
                <w:rFonts w:ascii="Consolas" w:cs="Consolas" w:eastAsia="Consolas" w:hAnsi="Consolas"/>
                <w:sz w:val="17"/>
                <w:szCs w:val="17"/>
              </w:rPr>
              <w:t xml:space="preserve">|   |-- api/</w:t>
            </w:r>
          </w:p>
          <w:p>
            <w:pPr>
              <w:spacing w:after="0" w:line="240"/>
            </w:pPr>
            <w:r>
              <w:rPr>
                <w:rFonts w:ascii="Consolas" w:cs="Consolas" w:eastAsia="Consolas" w:hAnsi="Consolas"/>
                <w:sz w:val="17"/>
                <w:szCs w:val="17"/>
              </w:rPr>
              <w:t xml:space="preserve">|   |   |-- main.py                   # FastAPI app, CORS, POST /resolve, GET /health</w:t>
            </w:r>
          </w:p>
          <w:p>
            <w:pPr>
              <w:spacing w:after="0" w:line="240"/>
            </w:pPr>
            <w:r>
              <w:rPr>
                <w:rFonts w:ascii="Consolas" w:cs="Consolas" w:eastAsia="Consolas" w:hAnsi="Consolas"/>
                <w:sz w:val="17"/>
                <w:szCs w:val="17"/>
              </w:rPr>
              <w:t xml:space="preserve">|   |-- pipeline.py                   # orchestrates Reader-&gt;Investigator-&gt;Economist-&gt;Voice</w:t>
            </w:r>
          </w:p>
          <w:p>
            <w:pPr>
              <w:spacing w:after="0" w:line="240"/>
            </w:pPr>
            <w:r>
              <w:rPr>
                <w:rFonts w:ascii="Consolas" w:cs="Consolas" w:eastAsia="Consolas" w:hAnsi="Consolas"/>
                <w:sz w:val="17"/>
                <w:szCs w:val="17"/>
              </w:rPr>
              <w:t xml:space="preserve">|   |-- modules/</w:t>
            </w:r>
          </w:p>
          <w:p>
            <w:pPr>
              <w:spacing w:after="0" w:line="240"/>
            </w:pPr>
            <w:r>
              <w:rPr>
                <w:rFonts w:ascii="Consolas" w:cs="Consolas" w:eastAsia="Consolas" w:hAnsi="Consolas"/>
                <w:sz w:val="17"/>
                <w:szCs w:val="17"/>
              </w:rPr>
              <w:t xml:space="preserve">|   |   |-- reader/</w:t>
            </w:r>
          </w:p>
          <w:p>
            <w:pPr>
              <w:spacing w:after="0" w:line="240"/>
            </w:pPr>
            <w:r>
              <w:rPr>
                <w:rFonts w:ascii="Consolas" w:cs="Consolas" w:eastAsia="Consolas" w:hAnsi="Consolas"/>
                <w:sz w:val="17"/>
                <w:szCs w:val="17"/>
              </w:rPr>
              <w:t xml:space="preserve">|   |   |   |-- reader.py             # read_message(text)</w:t>
            </w:r>
          </w:p>
          <w:p>
            <w:pPr>
              <w:spacing w:after="0" w:line="240"/>
            </w:pPr>
            <w:r>
              <w:rPr>
                <w:rFonts w:ascii="Consolas" w:cs="Consolas" w:eastAsia="Consolas" w:hAnsi="Consolas"/>
                <w:sz w:val="17"/>
                <w:szCs w:val="17"/>
              </w:rPr>
              <w:t xml:space="preserve">|   |   |   `-- train_reader.py       # offline training script (not run in prod)</w:t>
            </w:r>
          </w:p>
          <w:p>
            <w:pPr>
              <w:spacing w:after="0" w:line="240"/>
            </w:pPr>
            <w:r>
              <w:rPr>
                <w:rFonts w:ascii="Consolas" w:cs="Consolas" w:eastAsia="Consolas" w:hAnsi="Consolas"/>
                <w:sz w:val="17"/>
                <w:szCs w:val="17"/>
              </w:rPr>
              <w:t xml:space="preserve">|   |   |-- investigator/</w:t>
            </w:r>
          </w:p>
          <w:p>
            <w:pPr>
              <w:spacing w:after="0" w:line="240"/>
            </w:pPr>
            <w:r>
              <w:rPr>
                <w:rFonts w:ascii="Consolas" w:cs="Consolas" w:eastAsia="Consolas" w:hAnsi="Consolas"/>
                <w:sz w:val="17"/>
                <w:szCs w:val="17"/>
              </w:rPr>
              <w:t xml:space="preserve">|   |   |   `-- investigator.py       # assess_genuineness, verify_claim, investigate</w:t>
            </w:r>
          </w:p>
          <w:p>
            <w:pPr>
              <w:spacing w:after="0" w:line="240"/>
            </w:pPr>
            <w:r>
              <w:rPr>
                <w:rFonts w:ascii="Consolas" w:cs="Consolas" w:eastAsia="Consolas" w:hAnsi="Consolas"/>
                <w:sz w:val="17"/>
                <w:szCs w:val="17"/>
              </w:rPr>
              <w:t xml:space="preserve">|   |   |-- economist/</w:t>
            </w:r>
          </w:p>
          <w:p>
            <w:pPr>
              <w:spacing w:after="0" w:line="240"/>
            </w:pPr>
            <w:r>
              <w:rPr>
                <w:rFonts w:ascii="Consolas" w:cs="Consolas" w:eastAsia="Consolas" w:hAnsi="Consolas"/>
                <w:sz w:val="17"/>
                <w:szCs w:val="17"/>
              </w:rPr>
              <w:t xml:space="preserve">|   |   |   `-- economist.py          # value_band, choose_action, refund_logistics,</w:t>
            </w:r>
          </w:p>
          <w:p>
            <w:pPr>
              <w:spacing w:after="0" w:line="240"/>
            </w:pPr>
            <w:r>
              <w:rPr>
                <w:rFonts w:ascii="Consolas" w:cs="Consolas" w:eastAsia="Consolas" w:hAnsi="Consolas"/>
                <w:sz w:val="17"/>
                <w:szCs w:val="17"/>
              </w:rPr>
              <w:t xml:space="preserve">|   |   |                             #   should_escalate, decide</w:t>
            </w:r>
          </w:p>
          <w:p>
            <w:pPr>
              <w:spacing w:after="0" w:line="240"/>
            </w:pPr>
            <w:r>
              <w:rPr>
                <w:rFonts w:ascii="Consolas" w:cs="Consolas" w:eastAsia="Consolas" w:hAnsi="Consolas"/>
                <w:sz w:val="17"/>
                <w:szCs w:val="17"/>
              </w:rPr>
              <w:t xml:space="preserve">|   |   `-- voice/</w:t>
            </w:r>
          </w:p>
          <w:p>
            <w:pPr>
              <w:spacing w:after="0" w:line="240"/>
            </w:pPr>
            <w:r>
              <w:rPr>
                <w:rFonts w:ascii="Consolas" w:cs="Consolas" w:eastAsia="Consolas" w:hAnsi="Consolas"/>
                <w:sz w:val="17"/>
                <w:szCs w:val="17"/>
              </w:rPr>
              <w:t xml:space="preserve">|   |       `-- voice.py              # describe_action, generate_reply, fire_email</w:t>
            </w:r>
          </w:p>
          <w:p>
            <w:pPr>
              <w:spacing w:after="0" w:line="240"/>
            </w:pPr>
            <w:r>
              <w:rPr>
                <w:rFonts w:ascii="Consolas" w:cs="Consolas" w:eastAsia="Consolas" w:hAnsi="Consolas"/>
                <w:sz w:val="17"/>
                <w:szCs w:val="17"/>
              </w:rPr>
              <w:t xml:space="preserve">|   |-- models/</w:t>
            </w:r>
          </w:p>
          <w:p>
            <w:pPr>
              <w:spacing w:after="0" w:line="240"/>
            </w:pPr>
            <w:r>
              <w:rPr>
                <w:rFonts w:ascii="Consolas" w:cs="Consolas" w:eastAsia="Consolas" w:hAnsi="Consolas"/>
                <w:sz w:val="17"/>
                <w:szCs w:val="17"/>
              </w:rPr>
              <w:t xml:space="preserve">|   |   |-- reader_issue.keras</w:t>
            </w:r>
          </w:p>
          <w:p>
            <w:pPr>
              <w:spacing w:after="0" w:line="240"/>
            </w:pPr>
            <w:r>
              <w:rPr>
                <w:rFonts w:ascii="Consolas" w:cs="Consolas" w:eastAsia="Consolas" w:hAnsi="Consolas"/>
                <w:sz w:val="17"/>
                <w:szCs w:val="17"/>
              </w:rPr>
              <w:t xml:space="preserve">|   |   |-- reader_frustration.keras</w:t>
            </w:r>
          </w:p>
          <w:p>
            <w:pPr>
              <w:spacing w:after="0" w:line="240"/>
            </w:pPr>
            <w:r>
              <w:rPr>
                <w:rFonts w:ascii="Consolas" w:cs="Consolas" w:eastAsia="Consolas" w:hAnsi="Consolas"/>
                <w:sz w:val="17"/>
                <w:szCs w:val="17"/>
              </w:rPr>
              <w:t xml:space="preserve">|   |   |-- tokenizer.json</w:t>
            </w:r>
          </w:p>
          <w:p>
            <w:pPr>
              <w:spacing w:after="0" w:line="240"/>
            </w:pPr>
            <w:r>
              <w:rPr>
                <w:rFonts w:ascii="Consolas" w:cs="Consolas" w:eastAsia="Consolas" w:hAnsi="Consolas"/>
                <w:sz w:val="17"/>
                <w:szCs w:val="17"/>
              </w:rPr>
              <w:t xml:space="preserve">|   |   `-- label_maps.json</w:t>
            </w:r>
          </w:p>
          <w:p>
            <w:pPr>
              <w:spacing w:after="0" w:line="240"/>
            </w:pPr>
            <w:r>
              <w:rPr>
                <w:rFonts w:ascii="Consolas" w:cs="Consolas" w:eastAsia="Consolas" w:hAnsi="Consolas"/>
                <w:sz w:val="17"/>
                <w:szCs w:val="17"/>
              </w:rPr>
              <w:t xml:space="preserve">|   |-- data/</w:t>
            </w:r>
          </w:p>
          <w:p>
            <w:pPr>
              <w:spacing w:after="0" w:line="240"/>
            </w:pPr>
            <w:r>
              <w:rPr>
                <w:rFonts w:ascii="Consolas" w:cs="Consolas" w:eastAsia="Consolas" w:hAnsi="Consolas"/>
                <w:sz w:val="17"/>
                <w:szCs w:val="17"/>
              </w:rPr>
              <w:t xml:space="preserve">|   |   |-- messages.csv</w:t>
            </w:r>
          </w:p>
          <w:p>
            <w:pPr>
              <w:spacing w:after="0" w:line="240"/>
            </w:pPr>
            <w:r>
              <w:rPr>
                <w:rFonts w:ascii="Consolas" w:cs="Consolas" w:eastAsia="Consolas" w:hAnsi="Consolas"/>
                <w:sz w:val="17"/>
                <w:szCs w:val="17"/>
              </w:rPr>
              <w:t xml:space="preserve">|   |   `-- customers.csv             # _archetype dropped on load</w:t>
            </w:r>
          </w:p>
          <w:p>
            <w:pPr>
              <w:spacing w:after="0" w:line="240"/>
            </w:pPr>
            <w:r>
              <w:rPr>
                <w:rFonts w:ascii="Consolas" w:cs="Consolas" w:eastAsia="Consolas" w:hAnsi="Consolas"/>
                <w:sz w:val="17"/>
                <w:szCs w:val="17"/>
              </w:rPr>
              <w:t xml:space="preserve">|   |-- logs/</w:t>
            </w:r>
          </w:p>
          <w:p>
            <w:pPr>
              <w:spacing w:after="0" w:line="240"/>
            </w:pPr>
            <w:r>
              <w:rPr>
                <w:rFonts w:ascii="Consolas" w:cs="Consolas" w:eastAsia="Consolas" w:hAnsi="Consolas"/>
                <w:sz w:val="17"/>
                <w:szCs w:val="17"/>
              </w:rPr>
              <w:t xml:space="preserve">|   |   `-- audit_log.jsonl           # append-only money-action record</w:t>
            </w:r>
          </w:p>
          <w:p>
            <w:pPr>
              <w:spacing w:after="0" w:line="240"/>
            </w:pPr>
            <w:r>
              <w:rPr>
                <w:rFonts w:ascii="Consolas" w:cs="Consolas" w:eastAsia="Consolas" w:hAnsi="Consolas"/>
                <w:sz w:val="17"/>
                <w:szCs w:val="17"/>
              </w:rPr>
              <w:t xml:space="preserve">|   `-- tests/</w:t>
            </w:r>
          </w:p>
          <w:p>
            <w:pPr>
              <w:spacing w:after="0" w:line="240"/>
            </w:pPr>
            <w:r>
              <w:rPr>
                <w:rFonts w:ascii="Consolas" w:cs="Consolas" w:eastAsia="Consolas" w:hAnsi="Consolas"/>
                <w:sz w:val="17"/>
                <w:szCs w:val="17"/>
              </w:rPr>
              <w:t xml:space="preserve">|       |-- test_reader.py</w:t>
            </w:r>
          </w:p>
          <w:p>
            <w:pPr>
              <w:spacing w:after="0" w:line="240"/>
            </w:pPr>
            <w:r>
              <w:rPr>
                <w:rFonts w:ascii="Consolas" w:cs="Consolas" w:eastAsia="Consolas" w:hAnsi="Consolas"/>
                <w:sz w:val="17"/>
                <w:szCs w:val="17"/>
              </w:rPr>
              <w:t xml:space="preserve">|       |-- test_investigator.py</w:t>
            </w:r>
          </w:p>
          <w:p>
            <w:pPr>
              <w:spacing w:after="0" w:line="240"/>
            </w:pPr>
            <w:r>
              <w:rPr>
                <w:rFonts w:ascii="Consolas" w:cs="Consolas" w:eastAsia="Consolas" w:hAnsi="Consolas"/>
                <w:sz w:val="17"/>
                <w:szCs w:val="17"/>
              </w:rPr>
              <w:t xml:space="preserve">|       |-- test_economist.py</w:t>
            </w:r>
          </w:p>
          <w:p>
            <w:pPr>
              <w:spacing w:after="0" w:line="240"/>
            </w:pPr>
            <w:r>
              <w:rPr>
                <w:rFonts w:ascii="Consolas" w:cs="Consolas" w:eastAsia="Consolas" w:hAnsi="Consolas"/>
                <w:sz w:val="17"/>
                <w:szCs w:val="17"/>
              </w:rPr>
              <w:t xml:space="preserve">|       |-- test_voice.py</w:t>
            </w:r>
          </w:p>
          <w:p>
            <w:pPr>
              <w:spacing w:after="0" w:line="240"/>
            </w:pPr>
            <w:r>
              <w:rPr>
                <w:rFonts w:ascii="Consolas" w:cs="Consolas" w:eastAsia="Consolas" w:hAnsi="Consolas"/>
                <w:sz w:val="17"/>
                <w:szCs w:val="17"/>
              </w:rPr>
              <w:t xml:space="preserve">|       |-- test_pipeline.py</w:t>
            </w:r>
          </w:p>
          <w:p>
            <w:pPr>
              <w:spacing w:after="0" w:line="240"/>
            </w:pPr>
            <w:r>
              <w:rPr>
                <w:rFonts w:ascii="Consolas" w:cs="Consolas" w:eastAsia="Consolas" w:hAnsi="Consolas"/>
                <w:sz w:val="17"/>
                <w:szCs w:val="17"/>
              </w:rPr>
              <w:t xml:space="preserve">|       `-- test_cases_handbook.py    # the 10 provided cases + automation rate</w:t>
            </w:r>
          </w:p>
          <w:p>
            <w:pPr>
              <w:spacing w:after="0" w:line="240"/>
            </w:pPr>
            <w:r>
              <w:rPr>
                <w:rFonts w:ascii="Consolas" w:cs="Consolas" w:eastAsia="Consolas" w:hAnsi="Consolas"/>
                <w:sz w:val="17"/>
                <w:szCs w:val="17"/>
              </w:rPr>
              <w:t xml:space="preserve">|-- shared/</w:t>
            </w:r>
          </w:p>
          <w:p>
            <w:pPr>
              <w:spacing w:after="0" w:line="240"/>
            </w:pPr>
            <w:r>
              <w:rPr>
                <w:rFonts w:ascii="Consolas" w:cs="Consolas" w:eastAsia="Consolas" w:hAnsi="Consolas"/>
                <w:sz w:val="17"/>
                <w:szCs w:val="17"/>
              </w:rPr>
              <w:t xml:space="preserve">|   |-- enums.py                      # single source of truth (Python)</w:t>
            </w:r>
          </w:p>
          <w:p>
            <w:pPr>
              <w:spacing w:after="0" w:line="240"/>
            </w:pPr>
            <w:r>
              <w:rPr>
                <w:rFonts w:ascii="Consolas" w:cs="Consolas" w:eastAsia="Consolas" w:hAnsi="Consolas"/>
                <w:sz w:val="17"/>
                <w:szCs w:val="17"/>
              </w:rPr>
              <w:t xml:space="preserve">|   |-- enums.js                      # mirror for React (kept identical)</w:t>
            </w:r>
          </w:p>
          <w:p>
            <w:pPr>
              <w:spacing w:after="0" w:line="240"/>
            </w:pPr>
            <w:r>
              <w:rPr>
                <w:rFonts w:ascii="Consolas" w:cs="Consolas" w:eastAsia="Consolas" w:hAnsi="Consolas"/>
                <w:sz w:val="17"/>
                <w:szCs w:val="17"/>
              </w:rPr>
              <w:t xml:space="preserve">|   |-- schemas.py                    # pydantic models for every contract</w:t>
            </w:r>
          </w:p>
          <w:p>
            <w:pPr>
              <w:spacing w:after="0" w:line="240"/>
            </w:pPr>
            <w:r>
              <w:rPr>
                <w:rFonts w:ascii="Consolas" w:cs="Consolas" w:eastAsia="Consolas" w:hAnsi="Consolas"/>
                <w:sz w:val="17"/>
                <w:szCs w:val="17"/>
              </w:rPr>
              <w:t xml:space="preserve">|   `-- contracts.md                  # human-readable copy of Section 4</w:t>
            </w:r>
          </w:p>
          <w:p>
            <w:pPr>
              <w:spacing w:after="0" w:line="240"/>
            </w:pPr>
            <w:r>
              <w:rPr>
                <w:rFonts w:ascii="Consolas" w:cs="Consolas" w:eastAsia="Consolas" w:hAnsi="Consolas"/>
                <w:sz w:val="17"/>
                <w:szCs w:val="17"/>
              </w:rPr>
              <w:t xml:space="preserve">`-- docs/</w:t>
            </w:r>
          </w:p>
          <w:p>
            <w:pPr>
              <w:spacing w:after="0" w:line="240"/>
            </w:pPr>
            <w:r>
              <w:rPr>
                <w:rFonts w:ascii="Consolas" w:cs="Consolas" w:eastAsia="Consolas" w:hAnsi="Consolas"/>
                <w:sz w:val="17"/>
                <w:szCs w:val="17"/>
              </w:rPr>
              <w:t xml:space="preserve">    |-- architecture_diagram.png</w:t>
            </w:r>
          </w:p>
          <w:p>
            <w:pPr>
              <w:spacing w:after="0" w:line="240"/>
            </w:pPr>
            <w:r>
              <w:rPr>
                <w:rFonts w:ascii="Consolas" w:cs="Consolas" w:eastAsia="Consolas" w:hAnsi="Consolas"/>
                <w:sz w:val="17"/>
                <w:szCs w:val="17"/>
              </w:rPr>
              <w:t xml:space="preserve">    |-- test_report.md</w:t>
            </w:r>
          </w:p>
          <w:p>
            <w:pPr>
              <w:spacing w:after="0" w:line="240"/>
            </w:pPr>
            <w:r>
              <w:rPr>
                <w:rFonts w:ascii="Consolas" w:cs="Consolas" w:eastAsia="Consolas" w:hAnsi="Consolas"/>
                <w:sz w:val="17"/>
                <w:szCs w:val="17"/>
              </w:rPr>
              <w:t xml:space="preserve">    |-- trust_memo.md</w:t>
            </w:r>
          </w:p>
          <w:p>
            <w:pPr>
              <w:spacing w:after="0" w:line="240"/>
            </w:pPr>
            <w:r>
              <w:rPr>
                <w:rFonts w:ascii="Consolas" w:cs="Consolas" w:eastAsia="Consolas" w:hAnsi="Consolas"/>
                <w:sz w:val="17"/>
                <w:szCs w:val="17"/>
              </w:rPr>
              <w:t xml:space="preserve">    `-- demo_script.md</w:t>
            </w:r>
          </w:p>
        </w:tc>
      </w:tr>
    </w:tbl>
    <w:p>
      <w:r>
        <w:br w:type="page"/>
      </w:r>
    </w:p>
    <w:p>
      <w:pPr>
        <w:pStyle w:val="Heading1"/>
      </w:pPr>
      <w:r>
        <w:t xml:space="preserve">4. Interface Contracts</w:t>
      </w:r>
    </w:p>
    <w:p>
      <w:pPr>
        <w:spacing w:after="120" w:line="276"/>
      </w:pPr>
      <w:r>
        <w:t xml:space="preserve">These contracts are binding and frozen before parallel work begins. They match the handbook exactly; nothing is renamed. All string values use the casing fixed in shared/enums (Section 5).</w:t>
      </w:r>
    </w:p>
    <w:p>
      <w:pPr>
        <w:pStyle w:val="Heading2"/>
      </w:pPr>
      <w:r>
        <w:t xml:space="preserve">4.1 Reader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2"/>
              <w:left w:val="single" w:color="D5D8DC" w:sz="2"/>
              <w:bottom w:val="single" w:color="D5D8DC" w:sz="2"/>
              <w:right w:val="single" w:color="D5D8DC" w:sz="2"/>
            </w:tcBorders>
            <w:shd w:fill="F4F5F7"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"issue_type":  "Delivery",     # one of 7, TitleCase exactly as in messages.csv</w:t>
            </w:r>
          </w:p>
          <w:p>
            <w:pPr>
              <w:spacing w:after="0" w:line="240"/>
            </w:pPr>
            <w:r>
              <w:rPr>
                <w:rFonts w:ascii="Consolas" w:cs="Consolas" w:eastAsia="Consolas" w:hAnsi="Consolas"/>
                <w:sz w:val="17"/>
                <w:szCs w:val="17"/>
              </w:rPr>
              <w:t xml:space="preserve">  "frustration": "High",         # Low | Medium | High</w:t>
            </w:r>
          </w:p>
          <w:p>
            <w:pPr>
              <w:spacing w:after="0" w:line="240"/>
            </w:pPr>
            <w:r>
              <w:rPr>
                <w:rFonts w:ascii="Consolas" w:cs="Consolas" w:eastAsia="Consolas" w:hAnsi="Consolas"/>
                <w:sz w:val="17"/>
                <w:szCs w:val="17"/>
              </w:rPr>
              <w:t xml:space="preserve">  "confidence":  0.87            # float in [0,1], issue softmax max</w:t>
            </w:r>
          </w:p>
          <w:p>
            <w:pPr>
              <w:spacing w:after="0" w:line="240"/>
            </w:pPr>
            <w:r>
              <w:rPr>
                <w:rFonts w:ascii="Consolas" w:cs="Consolas" w:eastAsia="Consolas" w:hAnsi="Consolas"/>
                <w:sz w:val="17"/>
                <w:szCs w:val="17"/>
              </w:rPr>
              <w:t xml:space="preserve">}</w:t>
            </w:r>
          </w:p>
        </w:tc>
      </w:tr>
    </w:tbl>
    <w:p>
      <w:pPr>
        <w:pStyle w:val="Heading2"/>
      </w:pPr>
      <w:r>
        <w:t xml:space="preserve">4.2 Investigator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2"/>
              <w:left w:val="single" w:color="D5D8DC" w:sz="2"/>
              <w:bottom w:val="single" w:color="D5D8DC" w:sz="2"/>
              <w:right w:val="single" w:color="D5D8DC" w:sz="2"/>
            </w:tcBorders>
            <w:shd w:fill="F4F5F7"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"genuineness":  "GENUINE",      # GENUINE | SUSPICIOUS | LIKELY_ABUSER</w:t>
            </w:r>
          </w:p>
          <w:p>
            <w:pPr>
              <w:spacing w:after="0" w:line="240"/>
            </w:pPr>
            <w:r>
              <w:rPr>
                <w:rFonts w:ascii="Consolas" w:cs="Consolas" w:eastAsia="Consolas" w:hAnsi="Consolas"/>
                <w:sz w:val="17"/>
                <w:szCs w:val="17"/>
              </w:rPr>
              <w:t xml:space="preserve">  "claim_status": "UNVERIFIED",   # CONFIRMED | CONTRADICTED | UNVERIFIED</w:t>
            </w:r>
          </w:p>
          <w:p>
            <w:pPr>
              <w:spacing w:after="0" w:line="240"/>
            </w:pPr>
            <w:r>
              <w:rPr>
                <w:rFonts w:ascii="Consolas" w:cs="Consolas" w:eastAsia="Consolas" w:hAnsi="Consolas"/>
                <w:sz w:val="17"/>
                <w:szCs w:val="17"/>
              </w:rPr>
              <w:t xml:space="preserve">  "reason": "ratio=0.05, kept=0, claim=UNVERIFIED"</w:t>
            </w:r>
          </w:p>
          <w:p>
            <w:pPr>
              <w:spacing w:after="0" w:line="240"/>
            </w:pPr>
            <w:r>
              <w:rPr>
                <w:rFonts w:ascii="Consolas" w:cs="Consolas" w:eastAsia="Consolas" w:hAnsi="Consolas"/>
                <w:sz w:val="17"/>
                <w:szCs w:val="17"/>
              </w:rPr>
              <w:t xml:space="preserve">}</w:t>
            </w:r>
          </w:p>
        </w:tc>
      </w:tr>
    </w:tbl>
    <w:p>
      <w:pPr>
        <w:pStyle w:val="Heading2"/>
      </w:pPr>
      <w:r>
        <w:t xml:space="preserve">4.3 Economist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2"/>
              <w:left w:val="single" w:color="D5D8DC" w:sz="2"/>
              <w:bottom w:val="single" w:color="D5D8DC" w:sz="2"/>
              <w:right w:val="single" w:color="D5D8DC" w:sz="2"/>
            </w:tcBorders>
            <w:shd w:fill="F4F5F7"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"action":         "REFUND",     # ACKNOWLEDGE | COUPON | WALLET_CREDIT | REFUND | ESCALATE</w:t>
            </w:r>
          </w:p>
          <w:p>
            <w:pPr>
              <w:spacing w:after="0" w:line="240"/>
            </w:pPr>
            <w:r>
              <w:rPr>
                <w:rFonts w:ascii="Consolas" w:cs="Consolas" w:eastAsia="Consolas" w:hAnsi="Consolas"/>
                <w:sz w:val="17"/>
                <w:szCs w:val="17"/>
              </w:rPr>
              <w:t xml:space="preserve">  "refund_type":    "KEEP_ITEM",  # PICKUP | KEEP_ITEM | NONE</w:t>
            </w:r>
          </w:p>
          <w:p>
            <w:pPr>
              <w:spacing w:after="0" w:line="240"/>
            </w:pPr>
            <w:r>
              <w:rPr>
                <w:rFonts w:ascii="Consolas" w:cs="Consolas" w:eastAsia="Consolas" w:hAnsi="Consolas"/>
                <w:sz w:val="17"/>
                <w:szCs w:val="17"/>
              </w:rPr>
              <w:t xml:space="preserve">  "coupon_percent": 0,            # 0 | 20 | 50</w:t>
            </w:r>
          </w:p>
          <w:p>
            <w:pPr>
              <w:spacing w:after="0" w:line="240"/>
            </w:pPr>
            <w:r>
              <w:rPr>
                <w:rFonts w:ascii="Consolas" w:cs="Consolas" w:eastAsia="Consolas" w:hAnsi="Consolas"/>
                <w:sz w:val="17"/>
                <w:szCs w:val="17"/>
              </w:rPr>
              <w:t xml:space="preserve">  "wallet_credit":  0,            # number (AED), or 0</w:t>
            </w:r>
          </w:p>
          <w:p>
            <w:pPr>
              <w:spacing w:after="0" w:line="240"/>
            </w:pPr>
            <w:r>
              <w:rPr>
                <w:rFonts w:ascii="Consolas" w:cs="Consolas" w:eastAsia="Consolas" w:hAnsi="Consolas"/>
                <w:sz w:val="17"/>
                <w:szCs w:val="17"/>
              </w:rPr>
              <w:t xml:space="preserve">  "escalate":       false,</w:t>
            </w:r>
          </w:p>
          <w:p>
            <w:pPr>
              <w:spacing w:after="0" w:line="240"/>
            </w:pPr>
            <w:r>
              <w:rPr>
                <w:rFonts w:ascii="Consolas" w:cs="Consolas" w:eastAsia="Consolas" w:hAnsi="Consolas"/>
                <w:sz w:val="17"/>
                <w:szCs w:val="17"/>
              </w:rPr>
              <w:t xml:space="preserve">  "email_trigger":  true,         # true ONLY for COUPON/REFUND/WALLET_CREDIT</w:t>
            </w:r>
          </w:p>
          <w:p>
            <w:pPr>
              <w:spacing w:after="0" w:line="240"/>
            </w:pPr>
            <w:r>
              <w:rPr>
                <w:rFonts w:ascii="Consolas" w:cs="Consolas" w:eastAsia="Consolas" w:hAnsi="Consolas"/>
                <w:sz w:val="17"/>
                <w:szCs w:val="17"/>
              </w:rPr>
              <w:t xml:space="preserve">  "reason": "Genuine, high-value, perishable -&gt; refund and keep item"</w:t>
            </w:r>
          </w:p>
          <w:p>
            <w:pPr>
              <w:spacing w:after="0" w:line="240"/>
            </w:pPr>
            <w:r>
              <w:rPr>
                <w:rFonts w:ascii="Consolas" w:cs="Consolas" w:eastAsia="Consolas" w:hAnsi="Consolas"/>
                <w:sz w:val="17"/>
                <w:szCs w:val="17"/>
              </w:rPr>
              <w:t xml:space="preserve">}</w:t>
            </w:r>
          </w:p>
        </w:tc>
      </w:tr>
    </w:tbl>
    <w:p>
      <w:pPr>
        <w:pStyle w:val="Heading2"/>
      </w:pPr>
      <w:r>
        <w:t xml:space="preserve">4.4 Voice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2"/>
              <w:left w:val="single" w:color="D5D8DC" w:sz="2"/>
              <w:bottom w:val="single" w:color="D5D8DC" w:sz="2"/>
              <w:right w:val="single" w:color="D5D8DC" w:sz="2"/>
            </w:tcBorders>
            <w:shd w:fill="F4F5F7"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"reply_text": "Hi, we are sorry ...",</w:t>
            </w:r>
          </w:p>
          <w:p>
            <w:pPr>
              <w:spacing w:after="0" w:line="240"/>
            </w:pPr>
            <w:r>
              <w:rPr>
                <w:rFonts w:ascii="Consolas" w:cs="Consolas" w:eastAsia="Consolas" w:hAnsi="Consolas"/>
                <w:sz w:val="17"/>
                <w:szCs w:val="17"/>
              </w:rPr>
              <w:t xml:space="preserve">  "email": {                      # present only when email_trigger is true; else null</w:t>
            </w:r>
          </w:p>
          <w:p>
            <w:pPr>
              <w:spacing w:after="0" w:line="240"/>
            </w:pPr>
            <w:r>
              <w:rPr>
                <w:rFonts w:ascii="Consolas" w:cs="Consolas" w:eastAsia="Consolas" w:hAnsi="Consolas"/>
                <w:sz w:val="17"/>
                <w:szCs w:val="17"/>
              </w:rPr>
              <w:t xml:space="preserve">    "to": "C0005@example.com",</w:t>
            </w:r>
          </w:p>
          <w:p>
            <w:pPr>
              <w:spacing w:after="0" w:line="240"/>
            </w:pPr>
            <w:r>
              <w:rPr>
                <w:rFonts w:ascii="Consolas" w:cs="Consolas" w:eastAsia="Consolas" w:hAnsi="Consolas"/>
                <w:sz w:val="17"/>
                <w:szCs w:val="17"/>
              </w:rPr>
              <w:t xml:space="preserve">    "subject": "Your Lulu refund is confirmed",</w:t>
            </w:r>
          </w:p>
          <w:p>
            <w:pPr>
              <w:spacing w:after="0" w:line="240"/>
            </w:pPr>
            <w:r>
              <w:rPr>
                <w:rFonts w:ascii="Consolas" w:cs="Consolas" w:eastAsia="Consolas" w:hAnsi="Consolas"/>
                <w:sz w:val="17"/>
                <w:szCs w:val="17"/>
              </w:rPr>
              <w:t xml:space="preserve">    "body": "Hi, we are sorry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pStyle w:val="Heading2"/>
      </w:pPr>
      <w:r>
        <w:t xml:space="preserve">4.5 Consolidated pipeline response (what React consumes)</w:t>
      </w:r>
    </w:p>
    <w:p>
      <w:pPr>
        <w:spacing w:after="120" w:line="276"/>
      </w:pPr>
      <w:r>
        <w:rPr>
          <w:b/>
          <w:bCs/>
        </w:rPr>
        <w:t xml:space="preserve">One object per request. </w:t>
      </w:r>
      <w:r>
        <w:t xml:space="preserve">The dashboard reads exactly these keys — nothing more, nothing fewer (Trap 11,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2"/>
              <w:left w:val="single" w:color="D5D8DC" w:sz="2"/>
              <w:bottom w:val="single" w:color="D5D8DC" w:sz="2"/>
              <w:right w:val="single" w:color="D5D8DC" w:sz="2"/>
            </w:tcBorders>
            <w:shd w:fill="F4F5F7"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"customer_id": "C0005",</w:t>
            </w:r>
          </w:p>
          <w:p>
            <w:pPr>
              <w:spacing w:after="0" w:line="240"/>
            </w:pPr>
            <w:r>
              <w:rPr>
                <w:rFonts w:ascii="Consolas" w:cs="Consolas" w:eastAsia="Consolas" w:hAnsi="Consolas"/>
                <w:sz w:val="17"/>
                <w:szCs w:val="17"/>
              </w:rPr>
              <w:t xml:space="preserve">  "message": "Hi, my milk arrived spoiled. Please help.",</w:t>
            </w:r>
          </w:p>
          <w:p>
            <w:pPr>
              <w:spacing w:after="0" w:line="240"/>
            </w:pPr>
            <w:r>
              <w:rPr>
                <w:rFonts w:ascii="Consolas" w:cs="Consolas" w:eastAsia="Consolas" w:hAnsi="Consolas"/>
                <w:sz w:val="17"/>
                <w:szCs w:val="17"/>
              </w:rPr>
              <w:t xml:space="preserve">  "reader":      { issue_type, frustration, confidence },</w:t>
            </w:r>
          </w:p>
          <w:p>
            <w:pPr>
              <w:spacing w:after="0" w:line="240"/>
            </w:pPr>
            <w:r>
              <w:rPr>
                <w:rFonts w:ascii="Consolas" w:cs="Consolas" w:eastAsia="Consolas" w:hAnsi="Consolas"/>
                <w:sz w:val="17"/>
                <w:szCs w:val="17"/>
              </w:rPr>
              <w:t xml:space="preserve">  "investigator":{ genuineness, claim_status, reason },</w:t>
            </w:r>
          </w:p>
          <w:p>
            <w:pPr>
              <w:spacing w:after="0" w:line="240"/>
            </w:pPr>
            <w:r>
              <w:rPr>
                <w:rFonts w:ascii="Consolas" w:cs="Consolas" w:eastAsia="Consolas" w:hAnsi="Consolas"/>
                <w:sz w:val="17"/>
                <w:szCs w:val="17"/>
              </w:rPr>
              <w:t xml:space="preserve">  "economist":   { action, refund_type, coupon_percent, wallet_credit,</w:t>
            </w:r>
          </w:p>
          <w:p>
            <w:pPr>
              <w:spacing w:after="0" w:line="240"/>
            </w:pPr>
            <w:r>
              <w:rPr>
                <w:rFonts w:ascii="Consolas" w:cs="Consolas" w:eastAsia="Consolas" w:hAnsi="Consolas"/>
                <w:sz w:val="17"/>
                <w:szCs w:val="17"/>
              </w:rPr>
              <w:t xml:space="preserve">                   escalate, email_trigger, reason },</w:t>
            </w:r>
          </w:p>
          <w:p>
            <w:pPr>
              <w:spacing w:after="0" w:line="240"/>
            </w:pPr>
            <w:r>
              <w:rPr>
                <w:rFonts w:ascii="Consolas" w:cs="Consolas" w:eastAsia="Consolas" w:hAnsi="Consolas"/>
                <w:sz w:val="17"/>
                <w:szCs w:val="17"/>
              </w:rPr>
              <w:t xml:space="preserve">  "voice":       { reply_text, email },        # email is null when none fired</w:t>
            </w:r>
          </w:p>
          <w:p>
            <w:pPr>
              <w:spacing w:after="0" w:line="240"/>
            </w:pPr>
            <w:r>
              <w:rPr>
                <w:rFonts w:ascii="Consolas" w:cs="Consolas" w:eastAsia="Consolas" w:hAnsi="Consolas"/>
                <w:sz w:val="17"/>
                <w:szCs w:val="17"/>
              </w:rPr>
              <w:t xml:space="preserve">  "email_fired": true,                          # convenience mirror of email_trigger</w:t>
            </w:r>
          </w:p>
          <w:p>
            <w:pPr>
              <w:spacing w:after="0" w:line="240"/>
            </w:pPr>
            <w:r>
              <w:rPr>
                <w:rFonts w:ascii="Consolas" w:cs="Consolas" w:eastAsia="Consolas" w:hAnsi="Consolas"/>
                <w:sz w:val="17"/>
                <w:szCs w:val="17"/>
              </w:rPr>
              <w:t xml:space="preserve">  "audit_id":    "A0007",                       # null when no money action</w:t>
            </w:r>
          </w:p>
          <w:p>
            <w:pPr>
              <w:spacing w:after="0" w:line="240"/>
            </w:pPr>
            <w:r>
              <w:rPr>
                <w:rFonts w:ascii="Consolas" w:cs="Consolas" w:eastAsia="Consolas" w:hAnsi="Consolas"/>
                <w:sz w:val="17"/>
                <w:szCs w:val="17"/>
              </w:rPr>
              <w:t xml:space="preserve">  "automation":  { escalated: false }           # feeds the automation-rate metric</w:t>
            </w:r>
          </w:p>
          <w:p>
            <w:pPr>
              <w:spacing w:after="0" w:line="240"/>
            </w:pPr>
            <w:r>
              <w:rPr>
                <w:rFonts w:ascii="Consolas" w:cs="Consolas" w:eastAsia="Consolas" w:hAnsi="Consolas"/>
                <w:sz w:val="17"/>
                <w:szCs w:val="17"/>
              </w:rPr>
              <w:t xml:space="preserve">}</w:t>
            </w:r>
          </w:p>
        </w:tc>
      </w:tr>
    </w:tbl>
    <w:p>
      <w:pPr>
        <w:spacing w:after="60"/>
      </w:pPr>
      <w:r>
        <w:t xml:space="preserve"/>
      </w:r>
    </w:p>
    <w:p>
      <w:pPr>
        <w:pStyle w:val="Heading2"/>
      </w:pPr>
      <w:r>
        <w:t xml:space="preserve">4.6 The remediation-tier table (the Economist's choose_action)</w:t>
      </w:r>
    </w:p>
    <w:p>
      <w:pPr>
        <w:spacing w:after="120" w:line="276"/>
      </w:pPr>
      <w:r>
        <w:t xml:space="preserve">These thresholds are the team's to tune, but the decision order below is fixed because it encodes the anti-abuse precedence. Evaluate top to bottom; first match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rPr>
          <w:tblHeader/>
        </w:trPr>
        <w:tc>
          <w:tcPr>
            <w:tcW w:type="dxa" w:w="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w:t>
            </w:r>
          </w:p>
        </w:tc>
        <w:tc>
          <w:tcPr>
            <w:tcW w:type="dxa" w:w="4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Condition</w:t>
            </w:r>
          </w:p>
        </w:tc>
        <w:tc>
          <w:tcPr>
            <w:tcW w:type="dxa" w:w="4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Action</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1</w:t>
            </w:r>
          </w:p>
        </w:tc>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C00000"/>
                <w:sz w:val="19"/>
                <w:szCs w:val="19"/>
              </w:rPr>
              <w:t xml:space="preserve">claim_status == CONTRADICTED</w:t>
            </w:r>
          </w:p>
        </w:tc>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Respond from the record; deny the claimed remedy (ACKNOWLEDGE or policy reply). No email unless a separate genuine remedy applies.</w:t>
            </w:r>
          </w:p>
        </w:tc>
      </w:tr>
      <w:tr>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2</w:t>
            </w:r>
          </w:p>
        </w:tc>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2E7D32"/>
                <w:sz w:val="19"/>
                <w:szCs w:val="19"/>
              </w:rPr>
              <w:t xml:space="preserve">claim_status == CONFIRMED (logged promise)</w:t>
            </w:r>
          </w:p>
        </w:tc>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Honour exactly what was promised (REFUND/COUPON as logged). Email fires. See 4.7 for the abuser conflict.</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3</w:t>
            </w:r>
          </w:p>
        </w:tc>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C00000"/>
                <w:sz w:val="19"/>
                <w:szCs w:val="19"/>
              </w:rPr>
              <w:t xml:space="preserve">genuineness == LIKELY_ABUSER</w:t>
            </w:r>
          </w:p>
        </w:tc>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ACKNOWLEDGE — log it, no payout, no email, regardless of frustration or value.</w:t>
            </w:r>
          </w:p>
        </w:tc>
      </w:tr>
      <w:tr>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4</w:t>
            </w:r>
          </w:p>
        </w:tc>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is_first_purchase / account_age &lt;= 2 (SUSPICIOUS newbie)</w:t>
            </w:r>
          </w:p>
        </w:tc>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Generous but capped (e.g. COUPON 20% or capped WALLET_CREDIT); verify; escalate if order_value is large.</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5</w:t>
            </w:r>
          </w:p>
        </w:tc>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GENUINE + Damaged_Defective (clear failure)</w:t>
            </w:r>
          </w:p>
        </w:tc>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REFUND, then apply the logistics tree (4.8).</w:t>
            </w:r>
          </w:p>
        </w:tc>
      </w:tr>
      <w:tr>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6</w:t>
            </w:r>
          </w:p>
        </w:tc>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GENUINE + High frustration + value HIGH</w:t>
            </w:r>
          </w:p>
        </w:tc>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COUPON 50% or REFUND, scaled by value.</w:t>
            </w:r>
          </w:p>
        </w:tc>
      </w:tr>
      <w:tr>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7</w:t>
            </w:r>
          </w:p>
        </w:tc>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GENUINE + Medium frustration</w:t>
            </w:r>
          </w:p>
        </w:tc>
        <w:tc>
          <w:tcPr>
            <w:tcW w:type="dxa" w:w="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COUPON 20% or WALLET_CREDIT, scaled by value.</w:t>
            </w:r>
          </w:p>
        </w:tc>
      </w:tr>
      <w:tr>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8</w:t>
            </w:r>
          </w:p>
        </w:tc>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GENUINE + Low frustration, routine</w:t>
            </w:r>
          </w:p>
        </w:tc>
        <w:tc>
          <w:tcPr>
            <w:tcW w:type="dxa" w:w="56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ACKNOWLEDGE or a small gesture.</w:t>
            </w:r>
          </w:p>
        </w:tc>
      </w:tr>
    </w:tbl>
    <w:p>
      <w:pPr>
        <w:spacing w:after="60"/>
      </w:pPr>
      <w:r>
        <w:t xml:space="preserve"/>
      </w:r>
    </w:p>
    <w:p>
      <w:pPr>
        <w:pStyle w:val="Heading2"/>
      </w:pPr>
      <w:r>
        <w:t xml:space="preserve">4.7 Resolved ambiguity: CONFIRMED promise vs LIKELY_ABUSER (customer C0006)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8"/>
              <w:bottom w:val="single" w:color="B8860B" w:sz="1"/>
              <w:right w:val="single" w:color="B8860B" w:sz="1"/>
            </w:tcBorders>
            <w:shd w:fill="FFF4E5" w:val="clear"/>
            <w:tcMar>
              <w:top w:type="dxa" w:w="100"/>
              <w:left w:type="dxa" w:w="180"/>
              <w:bottom w:type="dxa" w:w="100"/>
              <w:right w:type="dxa" w:w="140"/>
            </w:tcMar>
          </w:tcPr>
          <w:p>
            <w:pPr>
              <w:spacing w:after="60"/>
            </w:pPr>
            <w:r>
              <w:rPr>
                <w:b/>
                <w:bCs/>
                <w:color w:val="B8860B"/>
                <w:sz w:val="21"/>
                <w:szCs w:val="21"/>
              </w:rPr>
              <w:t xml:space="preserve">Assumption (defensible, stated explicitly)</w:t>
            </w:r>
          </w:p>
          <w:p>
            <w:pPr>
              <w:spacing w:after="0" w:line="264"/>
            </w:pPr>
            <w:r>
              <w:rPr>
                <w:b/>
                <w:bCs/>
              </w:rPr>
              <w:t xml:space="preserve">A logged promise is our own record and cannot be fabricated by the customer, so it is honoured even for a LIKELY_ABUSER — but strictly capped to the promised remedy. </w:t>
            </w:r>
            <w:r>
              <w:t xml:space="preserve">Rule 2 outranks Rule 3 for the promised item only: fire the promised REFUND/COUPON and its email, record the abuse flag in reason, write the audit row, and grant no logistics generosity (no KEEP_ITEM on a resalable good) and no additional remediation. C0006 (ratio 0.579, prior_promise_logged True) therefore receives exactly what was logged and nothing more, and the account is flagged for human review of why a promise was made to an abuser. Reneging on a logged company promise carries legal and reputational risk; capping it removes the abuse incentive.</w:t>
            </w:r>
          </w:p>
        </w:tc>
      </w:tr>
    </w:tbl>
    <w:p>
      <w:pPr>
        <w:pStyle w:val="Heading2"/>
      </w:pPr>
      <w:r>
        <w:t xml:space="preserve">4.8 The refund-logistics tree (fixed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2"/>
              <w:left w:val="single" w:color="D5D8DC" w:sz="2"/>
              <w:bottom w:val="single" w:color="D5D8DC" w:sz="2"/>
              <w:right w:val="single" w:color="D5D8DC" w:sz="2"/>
            </w:tcBorders>
            <w:shd w:fill="F4F5F7"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if is_perishable_or_hygiene:        return 'KEEP_ITEM'   # cannot resell -&gt; never collect</w:t>
            </w:r>
          </w:p>
          <w:p>
            <w:pPr>
              <w:spacing w:after="0" w:line="240"/>
            </w:pPr>
            <w:r>
              <w:rPr>
                <w:rFonts w:ascii="Consolas" w:cs="Consolas" w:eastAsia="Consolas" w:hAnsi="Consolas"/>
                <w:sz w:val="17"/>
                <w:szCs w:val="17"/>
              </w:rPr>
              <w:t xml:space="preserve">if resale_value &gt;= 2000:            return 'PICKUP'      # costly resalable -&gt; always recover</w:t>
            </w:r>
          </w:p>
          <w:p>
            <w:pPr>
              <w:spacing w:after="0" w:line="240"/>
            </w:pPr>
            <w:r>
              <w:rPr>
                <w:rFonts w:ascii="Consolas" w:cs="Consolas" w:eastAsia="Consolas" w:hAnsi="Consolas"/>
                <w:sz w:val="17"/>
                <w:szCs w:val="17"/>
              </w:rPr>
              <w:t xml:space="preserve">if reverse_logistics_cost &gt; resale_value: return 'KEEP_ITEM'  # shipping back costs more than it's worth</w:t>
            </w:r>
          </w:p>
          <w:p>
            <w:pPr>
              <w:spacing w:after="0" w:line="240"/>
            </w:pPr>
            <w:r>
              <w:rPr>
                <w:rFonts w:ascii="Consolas" w:cs="Consolas" w:eastAsia="Consolas" w:hAnsi="Consolas"/>
                <w:sz w:val="17"/>
                <w:szCs w:val="17"/>
              </w:rPr>
              <w:t xml:space="preserve">return 'PICKUP'</w:t>
            </w:r>
          </w:p>
        </w:tc>
      </w:tr>
    </w:tbl>
    <w:p>
      <w:pPr>
        <w:spacing w:after="120" w:line="276"/>
      </w:pPr>
      <w:r>
        <w:rPr>
          <w:i/>
          <w:iCs/>
        </w:rPr>
        <w:t xml:space="preserve">Verified against data: </w:t>
      </w:r>
      <w:r>
        <w:t xml:space="preserve">114 customers resolve to KEEP_ITEM (110 perishable + 4 by the cost&gt;resale branch) and 106 to PICKUP. The four economics-KEEP customers (e.g. C0032: resale 164 &lt; reverse 180) are precisely what test case 6 probes.</w:t>
      </w:r>
    </w:p>
    <w:p>
      <w:r>
        <w:br w:type="page"/>
      </w:r>
    </w:p>
    <w:p>
      <w:pPr>
        <w:pStyle w:val="Heading1"/>
      </w:pPr>
      <w:r>
        <w:t xml:space="preserve">5. Integration Rules (enforceable)</w:t>
      </w:r>
    </w:p>
    <w:p>
      <w:pPr>
        <w:pStyle w:val="ListParagraph"/>
        <w:numPr>
          <w:ilvl w:val="0"/>
          <w:numId w:val="3"/>
        </w:numPr>
        <w:spacing w:after="60" w:line="264"/>
      </w:pPr>
      <w:r>
        <w:rPr>
          <w:b/>
          <w:bCs/>
        </w:rPr>
        <w:t xml:space="preserve">No key renaming. </w:t>
      </w:r>
      <w:r>
        <w:t xml:space="preserve">A module's output keys are immutable; downstream modules read them verbatim. Renaming is a contract breach, caught by schema tests.</w:t>
      </w:r>
    </w:p>
    <w:p>
      <w:pPr>
        <w:pStyle w:val="ListParagraph"/>
        <w:numPr>
          <w:ilvl w:val="0"/>
          <w:numId w:val="3"/>
        </w:numPr>
        <w:spacing w:after="60" w:line="264"/>
      </w:pPr>
      <w:r>
        <w:rPr>
          <w:b/>
          <w:bCs/>
        </w:rPr>
        <w:t xml:space="preserve">Everything JSON-safe. </w:t>
      </w:r>
      <w:r>
        <w:t xml:space="preserve">No NumPy types leak across boundaries: cast with int(), float(), bool(), str() before returning. (pandas gives NumPy scalars by default — a silent serialization trap for the React layer.)</w:t>
      </w:r>
    </w:p>
    <w:p>
      <w:pPr>
        <w:pStyle w:val="ListParagraph"/>
        <w:numPr>
          <w:ilvl w:val="0"/>
          <w:numId w:val="3"/>
        </w:numPr>
        <w:spacing w:after="60" w:line="264"/>
      </w:pPr>
      <w:r>
        <w:rPr>
          <w:b/>
          <w:bCs/>
        </w:rPr>
        <w:t xml:space="preserve">One enum source. </w:t>
      </w:r>
      <w:r>
        <w:t xml:space="preserve">All allowed values live in shared/enums.py and a byte-identical shared/enums.js. No teammate re-types a literal like “Likely_Abuser” or “Acknowledge”. Casing is fixed: </w:t>
      </w:r>
      <w:r>
        <w:rPr>
          <w:rFonts w:ascii="Consolas" w:cs="Consolas" w:eastAsia="Consolas" w:hAnsi="Consolas"/>
        </w:rPr>
        <w:t xml:space="preserve">UPPER_SNAKE</w:t>
      </w:r>
      <w:r>
        <w:t xml:space="preserve"> for genuineness/claim_status/action/refund_type; </w:t>
      </w:r>
      <w:r>
        <w:rPr>
          <w:rFonts w:ascii="Consolas" w:cs="Consolas" w:eastAsia="Consolas" w:hAnsi="Consolas"/>
        </w:rPr>
        <w:t xml:space="preserve">TitleCase</w:t>
      </w:r>
      <w:r>
        <w:t xml:space="preserve"> for issue_type and loyalty_tier; </w:t>
      </w:r>
      <w:r>
        <w:rPr>
          <w:rFonts w:ascii="Consolas" w:cs="Consolas" w:eastAsia="Consolas" w:hAnsi="Consolas"/>
        </w:rPr>
        <w:t xml:space="preserve">Low|Medium|High</w:t>
      </w:r>
      <w:r>
        <w:t xml:space="preserve"> for frustration.</w:t>
      </w:r>
    </w:p>
    <w:p>
      <w:pPr>
        <w:pStyle w:val="ListParagraph"/>
        <w:numPr>
          <w:ilvl w:val="0"/>
          <w:numId w:val="3"/>
        </w:numPr>
        <w:spacing w:after="60" w:line="264"/>
      </w:pPr>
      <w:r>
        <w:rPr>
          <w:b/>
          <w:bCs/>
        </w:rPr>
        <w:t xml:space="preserve">All lookups by customer_id. </w:t>
      </w:r>
      <w:r>
        <w:t xml:space="preserve">Profiles are fetched through a single lookup_profile(customer_id); no module re-reads CSVs independently.</w:t>
      </w:r>
    </w:p>
    <w:p>
      <w:pPr>
        <w:pStyle w:val="ListParagraph"/>
        <w:numPr>
          <w:ilvl w:val="0"/>
          <w:numId w:val="3"/>
        </w:numPr>
        <w:spacing w:after="60" w:line="264"/>
      </w:pPr>
      <w:r>
        <w:rPr>
          <w:b/>
          <w:bCs/>
        </w:rPr>
        <w:t xml:space="preserve">Reader isolation. </w:t>
      </w:r>
      <w:r>
        <w:t xml:space="preserve">The Reader imports nothing from customers.csv and receives no history field. Enforced by a test that greps reader.py for forbidden references.</w:t>
      </w:r>
    </w:p>
    <w:p>
      <w:pPr>
        <w:pStyle w:val="ListParagraph"/>
        <w:numPr>
          <w:ilvl w:val="0"/>
          <w:numId w:val="3"/>
        </w:numPr>
        <w:spacing w:after="60" w:line="264"/>
      </w:pPr>
      <w:r>
        <w:rPr>
          <w:b/>
          <w:bCs/>
        </w:rPr>
        <w:t xml:space="preserve">Investigator tone-blindness. </w:t>
      </w:r>
      <w:r>
        <w:t xml:space="preserve">assess_genuineness takes only history fields; it must not read reader_output['frustration'] or the raw message. Trust is computed from records alone.</w:t>
      </w:r>
    </w:p>
    <w:p>
      <w:pPr>
        <w:pStyle w:val="ListParagraph"/>
        <w:numPr>
          <w:ilvl w:val="0"/>
          <w:numId w:val="3"/>
        </w:numPr>
        <w:spacing w:after="60" w:line="264"/>
      </w:pPr>
      <w:r>
        <w:rPr>
          <w:b/>
          <w:bCs/>
        </w:rPr>
        <w:t xml:space="preserve">Economist is text-free. </w:t>
      </w:r>
      <w:r>
        <w:t xml:space="preserve">It returns structured fields only — never a customer-facing sentence. reason is an internal explanation, not the reply.</w:t>
      </w:r>
    </w:p>
    <w:p>
      <w:pPr>
        <w:pStyle w:val="ListParagraph"/>
        <w:numPr>
          <w:ilvl w:val="0"/>
          <w:numId w:val="3"/>
        </w:numPr>
        <w:spacing w:after="60" w:line="264"/>
      </w:pPr>
      <w:r>
        <w:rPr>
          <w:b/>
          <w:bCs/>
        </w:rPr>
        <w:t xml:space="preserve">Voice is decision-preserving. </w:t>
      </w:r>
      <w:r>
        <w:t xml:space="preserve">It reads the decision and writes prose; it never changes action, amounts, or email_trigger.</w:t>
      </w:r>
    </w:p>
    <w:p>
      <w:pPr>
        <w:pStyle w:val="ListParagraph"/>
        <w:numPr>
          <w:ilvl w:val="0"/>
          <w:numId w:val="3"/>
        </w:numPr>
        <w:spacing w:after="60" w:line="264"/>
      </w:pPr>
      <w:r>
        <w:rPr>
          <w:b/>
          <w:bCs/>
        </w:rPr>
        <w:t xml:space="preserve">Email rule, centralized. </w:t>
      </w:r>
      <w:r>
        <w:t xml:space="preserve">email_trigger = action in {COUPON, REFUND, WALLET_CREDIT}. It is set once, in the Economist; the Voice obeys it and never recomputes. ACKNOWLEDGE and ESCALATE never email.</w:t>
      </w:r>
    </w:p>
    <w:p>
      <w:pPr>
        <w:pStyle w:val="ListParagraph"/>
        <w:numPr>
          <w:ilvl w:val="0"/>
          <w:numId w:val="3"/>
        </w:numPr>
        <w:spacing w:after="60" w:line="264"/>
      </w:pPr>
      <w:r>
        <w:rPr>
          <w:b/>
          <w:bCs/>
        </w:rPr>
        <w:t xml:space="preserve">_archetype is quarantined. </w:t>
      </w:r>
      <w:r>
        <w:t xml:space="preserve">Dropped at load; usable only by tests to score the Investigator. Never a feature, never in a response.</w:t>
      </w:r>
    </w:p>
    <w:p>
      <w:r>
        <w:br w:type="page"/>
      </w:r>
    </w:p>
    <w:p>
      <w:pPr>
        <w:pStyle w:val="Heading1"/>
      </w:pPr>
      <w:r>
        <w:t xml:space="preserve">6. Hidden Loopholes and Traps Audit</w:t>
      </w:r>
    </w:p>
    <w:p>
      <w:pPr>
        <w:spacing w:after="120" w:line="276"/>
      </w:pPr>
      <w:r>
        <w:t xml:space="preserve">Each trap below is named with where it surfaces and the specific prevention. The first two were found by profiling the actual files, not just reading the brief.</w:t>
      </w:r>
    </w:p>
    <w:p>
      <w:pPr>
        <w:pStyle w:val="Heading3"/>
      </w:pPr>
      <w:r>
        <w:t xml:space="preserve">1. Ground-truth leakage via _archetype</w:t>
      </w:r>
    </w:p>
    <w:p>
      <w:pPr>
        <w:spacing w:after="120" w:line="276"/>
      </w:pPr>
      <w:r>
        <w:rPr>
          <w:b/>
          <w:bCs/>
          <w:color w:val="C00000"/>
        </w:rPr>
        <w:t xml:space="preserve">Why it's dangerous / where it surfaces: </w:t>
      </w:r>
      <w:r>
        <w:t xml:space="preserve">The shipped customers.csv literally contains the answer column _archetype. Any model or rule that reads it scores 100% and learns nothing; in production it would not exist.</w:t>
      </w:r>
    </w:p>
    <w:p>
      <w:pPr>
        <w:spacing w:after="120" w:line="276"/>
      </w:pPr>
      <w:r>
        <w:rPr>
          <w:b/>
          <w:bCs/>
          <w:color w:val="2E7D32"/>
        </w:rPr>
        <w:t xml:space="preserve">Prevention: </w:t>
      </w:r>
      <w:r>
        <w:t xml:space="preserve">On load: customers = pd.read_csv(...).drop(columns=['_archetype'], errors='ignore'). A test asserts the column is absent from every profile dict and from the response. _archetype is loaded separately only inside test files to compute Investigator accuracy.</w:t>
      </w:r>
    </w:p>
    <w:p>
      <w:pPr>
        <w:pStyle w:val="Heading3"/>
      </w:pPr>
      <w:r>
        <w:t xml:space="preserve">2. CONFIRMED promise to a known abuser (C0006)</w:t>
      </w:r>
    </w:p>
    <w:p>
      <w:pPr>
        <w:spacing w:after="120" w:line="276"/>
      </w:pPr>
      <w:r>
        <w:rPr>
          <w:b/>
          <w:bCs/>
          <w:color w:val="C00000"/>
        </w:rPr>
        <w:t xml:space="preserve">Why it's dangerous / where it surfaces: </w:t>
      </w:r>
      <w:r>
        <w:t xml:space="preserve">C0006 is LIKELY_ABUSER (ratio 0.579) yet has prior_promise_logged=True. The tier table's “abuser -&gt; ACKNOWLEDGE” and “CONFIRMED -&gt; honour” rules collide.</w:t>
      </w:r>
    </w:p>
    <w:p>
      <w:pPr>
        <w:spacing w:after="120" w:line="276"/>
      </w:pPr>
      <w:r>
        <w:rPr>
          <w:b/>
          <w:bCs/>
          <w:color w:val="2E7D32"/>
        </w:rPr>
        <w:t xml:space="preserve">Prevention: </w:t>
      </w:r>
      <w:r>
        <w:t xml:space="preserve">Fixed precedence (4.7): honour the logged promise capped to its scope, flag the abuse, grant no extra generosity. Unit test pins C0006's expected output.</w:t>
      </w:r>
    </w:p>
    <w:p>
      <w:pPr>
        <w:pStyle w:val="Heading3"/>
      </w:pPr>
      <w:r>
        <w:t xml:space="preserve">3. Dataset leakage into the LSTM</w:t>
      </w:r>
    </w:p>
    <w:p>
      <w:pPr>
        <w:spacing w:after="120" w:line="276"/>
      </w:pPr>
      <w:r>
        <w:rPr>
          <w:b/>
          <w:bCs/>
          <w:color w:val="C00000"/>
        </w:rPr>
        <w:t xml:space="preserve">Why it's dangerous / where it surfaces: </w:t>
      </w:r>
      <w:r>
        <w:t xml:space="preserve">If history numbers (ratio, tier) were fed to the Reader, it would stop being a text model.</w:t>
      </w:r>
    </w:p>
    <w:p>
      <w:pPr>
        <w:spacing w:after="120" w:line="276"/>
      </w:pPr>
      <w:r>
        <w:rPr>
          <w:b/>
          <w:bCs/>
          <w:color w:val="2E7D32"/>
        </w:rPr>
        <w:t xml:space="preserve">Prevention: </w:t>
      </w:r>
      <w:r>
        <w:t xml:space="preserve">Reader trains on messages.csv text only; the two tables join only at the decision. Integration Rule 5 + a grep test.</w:t>
      </w:r>
    </w:p>
    <w:p>
      <w:pPr>
        <w:pStyle w:val="Heading3"/>
      </w:pPr>
      <w:r>
        <w:t xml:space="preserve">4. Confusing issue_type with frustration</w:t>
      </w:r>
    </w:p>
    <w:p>
      <w:pPr>
        <w:spacing w:after="120" w:line="276"/>
      </w:pPr>
      <w:r>
        <w:rPr>
          <w:b/>
          <w:bCs/>
          <w:color w:val="C00000"/>
        </w:rPr>
        <w:t xml:space="preserve">Why it's dangerous / where it surfaces: </w:t>
      </w:r>
      <w:r>
        <w:t xml:space="preserve">They are independent axes (the data is balanced 30 per cell). A model or rule that lets one stand in for the other is wrong.</w:t>
      </w:r>
    </w:p>
    <w:p>
      <w:pPr>
        <w:spacing w:after="120" w:line="276"/>
      </w:pPr>
      <w:r>
        <w:rPr>
          <w:b/>
          <w:bCs/>
          <w:color w:val="2E7D32"/>
        </w:rPr>
        <w:t xml:space="preserve">Prevention: </w:t>
      </w:r>
      <w:r>
        <w:t xml:space="preserve">Two separate heads/models; frustration never used to infer issue and vice-versa. Confusion matrices kept per axis.</w:t>
      </w:r>
    </w:p>
    <w:p>
      <w:pPr>
        <w:pStyle w:val="Heading3"/>
      </w:pPr>
      <w:r>
        <w:t xml:space="preserve">5. Treating anger as proof of genuineness</w:t>
      </w:r>
    </w:p>
    <w:p>
      <w:pPr>
        <w:spacing w:after="120" w:line="276"/>
      </w:pPr>
      <w:r>
        <w:rPr>
          <w:b/>
          <w:bCs/>
          <w:color w:val="C00000"/>
        </w:rPr>
        <w:t xml:space="preserve">Why it's dangerous / where it surfaces: </w:t>
      </w:r>
      <w:r>
        <w:t xml:space="preserve">An abuser writes the angriest message of all; the data deliberately makes genuineness independent of frustration.</w:t>
      </w:r>
    </w:p>
    <w:p>
      <w:pPr>
        <w:spacing w:after="120" w:line="276"/>
      </w:pPr>
      <w:r>
        <w:rPr>
          <w:b/>
          <w:bCs/>
          <w:color w:val="2E7D32"/>
        </w:rPr>
        <w:t xml:space="preserve">Prevention: </w:t>
      </w:r>
      <w:r>
        <w:t xml:space="preserve">Investigator is tone-blind (Rule 6). High frustration raises reply warmth in the Voice, never trust or payout.</w:t>
      </w:r>
    </w:p>
    <w:p>
      <w:pPr>
        <w:pStyle w:val="Heading3"/>
      </w:pPr>
      <w:r>
        <w:t xml:space="preserve">6. Under-prioritising calm high-value complaints</w:t>
      </w:r>
    </w:p>
    <w:p>
      <w:pPr>
        <w:spacing w:after="120" w:line="276"/>
      </w:pPr>
      <w:r>
        <w:rPr>
          <w:b/>
          <w:bCs/>
          <w:color w:val="C00000"/>
        </w:rPr>
        <w:t xml:space="preserve">Why it's dangerous / where it surfaces: </w:t>
      </w:r>
      <w:r>
        <w:t xml:space="preserve">A Platinum customer's calm, genuine defect (test case 10, C0018) must still get a generous refund.</w:t>
      </w:r>
    </w:p>
    <w:p>
      <w:pPr>
        <w:spacing w:after="120" w:line="276"/>
      </w:pPr>
      <w:r>
        <w:rPr>
          <w:b/>
          <w:bCs/>
          <w:color w:val="2E7D32"/>
        </w:rPr>
        <w:t xml:space="preserve">Prevention: </w:t>
      </w:r>
      <w:r>
        <w:t xml:space="preserve">value_band + genuineness drive remediation; Low frustration never caps a GENUINE high-value defect. Test case 10 guards this.</w:t>
      </w:r>
    </w:p>
    <w:p>
      <w:pPr>
        <w:pStyle w:val="Heading3"/>
      </w:pPr>
      <w:r>
        <w:t xml:space="preserve">7. Auto-honouring unverifiable “agent promised” claims</w:t>
      </w:r>
    </w:p>
    <w:p>
      <w:pPr>
        <w:spacing w:after="120" w:line="276"/>
      </w:pPr>
      <w:r>
        <w:rPr>
          <w:b/>
          <w:bCs/>
          <w:color w:val="C00000"/>
        </w:rPr>
        <w:t xml:space="preserve">Why it's dangerous / where it surfaces: </w:t>
      </w:r>
      <w:r>
        <w:t xml:space="preserve">Message says “your rep promised a refund” but our records show nothing (test case 4, C0004-type).</w:t>
      </w:r>
    </w:p>
    <w:p>
      <w:pPr>
        <w:spacing w:after="120" w:line="276"/>
      </w:pPr>
      <w:r>
        <w:rPr>
          <w:b/>
          <w:bCs/>
          <w:color w:val="2E7D32"/>
        </w:rPr>
        <w:t xml:space="preserve">Prevention: </w:t>
      </w:r>
      <w:r>
        <w:t xml:space="preserve">verify_claim returns UNVERIFIED when prior_promise_logged is False and notes lack promise language; the Economist never pays on UNVERIFIED alone.</w:t>
      </w:r>
    </w:p>
    <w:p>
      <w:pPr>
        <w:pStyle w:val="Heading3"/>
      </w:pPr>
      <w:r>
        <w:t xml:space="preserve">8. Payouts to emotionally convincing abusers</w:t>
      </w:r>
    </w:p>
    <w:p>
      <w:pPr>
        <w:spacing w:after="120" w:line="276"/>
      </w:pPr>
      <w:r>
        <w:rPr>
          <w:b/>
          <w:bCs/>
          <w:color w:val="C00000"/>
        </w:rPr>
        <w:t xml:space="preserve">Why it's dangerous / where it surfaces: </w:t>
      </w:r>
      <w:r>
        <w:t xml:space="preserve">A furious LIKELY_ABUSER could trip a frustration-based generosity rule.</w:t>
      </w:r>
    </w:p>
    <w:p>
      <w:pPr>
        <w:spacing w:after="120" w:line="276"/>
      </w:pPr>
      <w:r>
        <w:rPr>
          <w:b/>
          <w:bCs/>
          <w:color w:val="2E7D32"/>
        </w:rPr>
        <w:t xml:space="preserve">Prevention: </w:t>
      </w:r>
      <w:r>
        <w:t xml:space="preserve">Rule 3 short-circuits to ACKNOWLEDGE before value/frustration are considered. Test case 3 (C0001, ratio 0.83, CLV HIGH) must yield no payout despite high value.</w:t>
      </w:r>
    </w:p>
    <w:p>
      <w:pPr>
        <w:pStyle w:val="Heading3"/>
      </w:pPr>
      <w:r>
        <w:t xml:space="preserve">9. Over-escalation destroying automation value</w:t>
      </w:r>
    </w:p>
    <w:p>
      <w:pPr>
        <w:spacing w:after="120" w:line="276"/>
      </w:pPr>
      <w:r>
        <w:rPr>
          <w:b/>
          <w:bCs/>
          <w:color w:val="C00000"/>
        </w:rPr>
        <w:t xml:space="preserve">Why it's dangerous / where it surfaces: </w:t>
      </w:r>
      <w:r>
        <w:t xml:space="preserve">Escalating most cases leaves the team as buried as before.</w:t>
      </w:r>
    </w:p>
    <w:p>
      <w:pPr>
        <w:spacing w:after="120" w:line="276"/>
      </w:pPr>
      <w:r>
        <w:rPr>
          <w:b/>
          <w:bCs/>
          <w:color w:val="2E7D32"/>
        </w:rPr>
        <w:t xml:space="preserve">Prevention: </w:t>
      </w:r>
      <w:r>
        <w:t xml:space="preserve">should_escalate fires only on (large money + SUSPICIOUS trust) or (low confidence + HIGH value). Track automation rate; target a high share resolved without a human.</w:t>
      </w:r>
    </w:p>
    <w:p>
      <w:pPr>
        <w:pStyle w:val="Heading3"/>
      </w:pPr>
      <w:r>
        <w:t xml:space="preserve">10. Emails firing on escalated/acknowledged cases</w:t>
      </w:r>
    </w:p>
    <w:p>
      <w:pPr>
        <w:spacing w:after="120" w:line="276"/>
      </w:pPr>
      <w:r>
        <w:rPr>
          <w:b/>
          <w:bCs/>
          <w:color w:val="C00000"/>
        </w:rPr>
        <w:t xml:space="preserve">Why it's dangerous / where it surfaces: </w:t>
      </w:r>
      <w:r>
        <w:t xml:space="preserve">An email on an ESCALATE or ACKNOWLEDGE leaks an unintended commitment.</w:t>
      </w:r>
    </w:p>
    <w:p>
      <w:pPr>
        <w:spacing w:after="120" w:line="276"/>
      </w:pPr>
      <w:r>
        <w:rPr>
          <w:b/>
          <w:bCs/>
          <w:color w:val="2E7D32"/>
        </w:rPr>
        <w:t xml:space="preserve">Prevention: </w:t>
      </w:r>
      <w:r>
        <w:t xml:space="preserve">email_trigger excludes both by construction (Rule 9); a test asserts no email for either.</w:t>
      </w:r>
    </w:p>
    <w:p>
      <w:pPr>
        <w:pStyle w:val="Heading3"/>
      </w:pPr>
      <w:r>
        <w:t xml:space="preserve">11. React assuming fields the backend never sends</w:t>
      </w:r>
    </w:p>
    <w:p>
      <w:pPr>
        <w:spacing w:after="120" w:line="276"/>
      </w:pPr>
      <w:r>
        <w:rPr>
          <w:b/>
          <w:bCs/>
          <w:color w:val="C00000"/>
        </w:rPr>
        <w:t xml:space="preserve">Why it's dangerous / where it surfaces: </w:t>
      </w:r>
      <w:r>
        <w:t xml:space="preserve">A panel reading decision.discount (a key that doesn't exist) renders undefined or crashes.</w:t>
      </w:r>
    </w:p>
    <w:p>
      <w:pPr>
        <w:spacing w:after="120" w:line="276"/>
      </w:pPr>
      <w:r>
        <w:rPr>
          <w:b/>
          <w:bCs/>
          <w:color w:val="2E7D32"/>
        </w:rPr>
        <w:t xml:space="preserve">Prevention: </w:t>
      </w:r>
      <w:r>
        <w:t xml:space="preserve">React reads only the consolidated contract (4.5); a contract test in CI compares backend output keys to the documented set.</w:t>
      </w:r>
    </w:p>
    <w:p>
      <w:pPr>
        <w:pStyle w:val="Heading3"/>
      </w:pPr>
      <w:r>
        <w:t xml:space="preserve">12. Netlify deploy failing without a separate Python backend</w:t>
      </w:r>
    </w:p>
    <w:p>
      <w:pPr>
        <w:spacing w:after="120" w:line="276"/>
      </w:pPr>
      <w:r>
        <w:rPr>
          <w:b/>
          <w:bCs/>
          <w:color w:val="C00000"/>
        </w:rPr>
        <w:t xml:space="preserve">Why it's dangerous / where it surfaces: </w:t>
      </w:r>
      <w:r>
        <w:t xml:space="preserve">Pushing the Python API to Netlify will not run; the dashboard then calls a dead URL.</w:t>
      </w:r>
    </w:p>
    <w:p>
      <w:pPr>
        <w:spacing w:after="120" w:line="276"/>
      </w:pPr>
      <w:r>
        <w:rPr>
          <w:b/>
          <w:bCs/>
          <w:color w:val="2E7D32"/>
        </w:rPr>
        <w:t xml:space="preserve">Prevention: </w:t>
      </w:r>
      <w:r>
        <w:t xml:space="preserve">Python API hosted on Render/Railway/HF Spaces; Netlify holds only React; VITE_API_BASE_URL points at the live API; demo mode falls back to precomputed JSON (Section 7).</w:t>
      </w:r>
    </w:p>
    <w:p>
      <w:pPr>
        <w:pStyle w:val="Heading3"/>
      </w:pPr>
      <w:r>
        <w:t xml:space="preserve">13. Training TensorFlow inside Netlify (or at request time)</w:t>
      </w:r>
    </w:p>
    <w:p>
      <w:pPr>
        <w:spacing w:after="120" w:line="276"/>
      </w:pPr>
      <w:r>
        <w:rPr>
          <w:b/>
          <w:bCs/>
          <w:color w:val="C00000"/>
        </w:rPr>
        <w:t xml:space="preserve">Why it's dangerous / where it surfaces: </w:t>
      </w:r>
      <w:r>
        <w:t xml:space="preserve">No persistent worker, no training capability, 25s timeout.</w:t>
      </w:r>
    </w:p>
    <w:p>
      <w:pPr>
        <w:spacing w:after="120" w:line="276"/>
      </w:pPr>
      <w:r>
        <w:rPr>
          <w:b/>
          <w:bCs/>
          <w:color w:val="2E7D32"/>
        </w:rPr>
        <w:t xml:space="preserve">Prevention: </w:t>
      </w:r>
      <w:r>
        <w:t xml:space="preserve">Reader trained offline; only saved artifacts are loaded by the API at startup.</w:t>
      </w:r>
    </w:p>
    <w:p>
      <w:pPr>
        <w:pStyle w:val="Heading3"/>
      </w:pPr>
      <w:r>
        <w:t xml:space="preserve">14. FLAN-T5 latency / dependency issues with no fallback</w:t>
      </w:r>
    </w:p>
    <w:p>
      <w:pPr>
        <w:spacing w:after="120" w:line="276"/>
      </w:pPr>
      <w:r>
        <w:rPr>
          <w:b/>
          <w:bCs/>
          <w:color w:val="C00000"/>
        </w:rPr>
        <w:t xml:space="preserve">Why it's dangerous / where it surfaces: </w:t>
      </w:r>
      <w:r>
        <w:t xml:space="preserve">flan-t5-small can be slow to load or unavailable on a constrained free tier.</w:t>
      </w:r>
    </w:p>
    <w:p>
      <w:pPr>
        <w:spacing w:after="120" w:line="276"/>
      </w:pPr>
      <w:r>
        <w:rPr>
          <w:b/>
          <w:bCs/>
          <w:color w:val="2E7D32"/>
        </w:rPr>
        <w:t xml:space="preserve">Prevention: </w:t>
      </w:r>
      <w:r>
        <w:t xml:space="preserve">Voice ships a deterministic template generator; if the model is unavailable or slow, replies still render and the decision is unaffected.</w:t>
      </w:r>
    </w:p>
    <w:p>
      <w:pPr>
        <w:pStyle w:val="Heading3"/>
      </w:pPr>
      <w:r>
        <w:t xml:space="preserve">15. Missing audit logging for money actions</w:t>
      </w:r>
    </w:p>
    <w:p>
      <w:pPr>
        <w:spacing w:after="120" w:line="276"/>
      </w:pPr>
      <w:r>
        <w:rPr>
          <w:b/>
          <w:bCs/>
          <w:color w:val="C00000"/>
        </w:rPr>
        <w:t xml:space="preserve">Why it's dangerous / where it surfaces: </w:t>
      </w:r>
      <w:r>
        <w:t xml:space="preserve">An untracked coupon/refund has no paper trail.</w:t>
      </w:r>
    </w:p>
    <w:p>
      <w:pPr>
        <w:spacing w:after="120" w:line="276"/>
      </w:pPr>
      <w:r>
        <w:rPr>
          <w:b/>
          <w:bCs/>
          <w:color w:val="2E7D32"/>
        </w:rPr>
        <w:t xml:space="preserve">Prevention: </w:t>
      </w:r>
      <w:r>
        <w:t xml:space="preserve">fire_email appends to an append-only audit_log.jsonl for every COUPON/REFUND/WALLET_CREDIT; the dashboard renders it as stage 6.</w:t>
      </w:r>
    </w:p>
    <w:p>
      <w:pPr>
        <w:pStyle w:val="Heading3"/>
      </w:pPr>
      <w:r>
        <w:t xml:space="preserve">16. No automation-rate calculation</w:t>
      </w:r>
    </w:p>
    <w:p>
      <w:pPr>
        <w:spacing w:after="120" w:line="276"/>
      </w:pPr>
      <w:r>
        <w:rPr>
          <w:b/>
          <w:bCs/>
          <w:color w:val="C00000"/>
        </w:rPr>
        <w:t xml:space="preserve">Why it's dangerous / where it surfaces: </w:t>
      </w:r>
      <w:r>
        <w:t xml:space="preserve">Without the metric the team can't defend its threshold trade-off.</w:t>
      </w:r>
    </w:p>
    <w:p>
      <w:pPr>
        <w:spacing w:after="120" w:line="276"/>
      </w:pPr>
      <w:r>
        <w:rPr>
          <w:b/>
          <w:bCs/>
          <w:color w:val="2E7D32"/>
        </w:rPr>
        <w:t xml:space="preserve">Prevention: </w:t>
      </w:r>
      <w:r>
        <w:t xml:space="preserve">Compute (#non-ESCALATE)/total over the test set; print it and surface it in the dashboard and trust memo.</w:t>
      </w:r>
    </w:p>
    <w:p>
      <w:pPr>
        <w:pStyle w:val="Heading3"/>
      </w:pPr>
      <w:r>
        <w:t xml:space="preserve">17. Inconsistent enum casing across teammates' files</w:t>
      </w:r>
    </w:p>
    <w:p>
      <w:pPr>
        <w:spacing w:after="120" w:line="276"/>
      </w:pPr>
      <w:r>
        <w:rPr>
          <w:b/>
          <w:bCs/>
          <w:color w:val="C00000"/>
        </w:rPr>
        <w:t xml:space="preserve">Why it's dangerous / where it surfaces: </w:t>
      </w:r>
      <w:r>
        <w:t xml:space="preserve">“LIKELY_ABUSER” vs “Likely_Abuser” silently breaks branch matching.</w:t>
      </w:r>
    </w:p>
    <w:p>
      <w:pPr>
        <w:spacing w:after="120" w:line="276"/>
      </w:pPr>
      <w:r>
        <w:rPr>
          <w:b/>
          <w:bCs/>
          <w:color w:val="2E7D32"/>
        </w:rPr>
        <w:t xml:space="preserve">Prevention: </w:t>
      </w:r>
      <w:r>
        <w:t xml:space="preserve">Single shared enums source (Rule 3); no string literals in branch logic; tests compare against the enum constants.</w:t>
      </w:r>
    </w:p>
    <w:p>
      <w:pPr>
        <w:pStyle w:val="Heading3"/>
      </w:pPr>
      <w:r>
        <w:t xml:space="preserve">18. Using order_value where resale_value belongs (or vice-versa)</w:t>
      </w:r>
    </w:p>
    <w:p>
      <w:pPr>
        <w:spacing w:after="120" w:line="276"/>
      </w:pPr>
      <w:r>
        <w:rPr>
          <w:b/>
          <w:bCs/>
          <w:color w:val="C00000"/>
        </w:rPr>
        <w:t xml:space="preserve">Why it's dangerous / where it surfaces: </w:t>
      </w:r>
      <w:r>
        <w:t xml:space="preserve">The logistics tree turns on resale_value and reverse_logistics_cost, not order_value; mixing them mis-routes pickups.</w:t>
      </w:r>
    </w:p>
    <w:p>
      <w:pPr>
        <w:spacing w:after="120" w:line="276"/>
      </w:pPr>
      <w:r>
        <w:rPr>
          <w:b/>
          <w:bCs/>
          <w:color w:val="2E7D32"/>
        </w:rPr>
        <w:t xml:space="preserve">Prevention: </w:t>
      </w:r>
      <w:r>
        <w:t xml:space="preserve">Logistics references only resale/reverse fields; test case 6 (cheap, high-shipping) and case 2 (costly electronics) pin both branches.</w:t>
      </w:r>
    </w:p>
    <w:p>
      <w:r>
        <w:br w:type="page"/>
      </w:r>
    </w:p>
    <w:p>
      <w:pPr>
        <w:pStyle w:val="Heading1"/>
      </w:pPr>
      <w:r>
        <w:t xml:space="preserve">7. Netlify + React Deployment Plan</w:t>
      </w:r>
    </w:p>
    <w:p>
      <w:pPr>
        <w:pStyle w:val="Heading2"/>
      </w:pPr>
      <w:r>
        <w:t xml:space="preserve">7.1 Frontend build</w:t>
      </w:r>
    </w:p>
    <w:p>
      <w:pPr>
        <w:pStyle w:val="ListParagraph"/>
        <w:numPr>
          <w:ilvl w:val="0"/>
          <w:numId w:val="2"/>
        </w:numPr>
        <w:spacing w:after="60" w:line="264"/>
      </w:pPr>
      <w:r>
        <w:rPr>
          <w:b/>
          <w:bCs/>
        </w:rPr>
        <w:t xml:space="preserve">Stack: </w:t>
      </w:r>
      <w:r>
        <w:t xml:space="preserve">React + Vite. Build command npm run build; publish directory dist.</w:t>
      </w:r>
    </w:p>
    <w:p>
      <w:pPr>
        <w:pStyle w:val="ListParagraph"/>
        <w:numPr>
          <w:ilvl w:val="0"/>
          <w:numId w:val="2"/>
        </w:numPr>
        <w:spacing w:after="60" w:line="264"/>
      </w:pPr>
      <w:r>
        <w:rPr>
          <w:b/>
          <w:bCs/>
        </w:rPr>
        <w:t xml:space="preserve">netlify.toml: </w:t>
      </w:r>
      <w:r>
        <w:t xml:space="preserve">sets the build command, publish dir, and an SPA redirect (/* -&gt; /index.html, 200) so client-side routes resolve.</w:t>
      </w:r>
    </w:p>
    <w:p>
      <w:pPr>
        <w:pStyle w:val="Heading2"/>
      </w:pPr>
      <w:r>
        <w:t xml:space="preserve">7.2 Environment variables &amp; API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2"/>
              <w:left w:val="single" w:color="D5D8DC" w:sz="2"/>
              <w:bottom w:val="single" w:color="D5D8DC" w:sz="2"/>
              <w:right w:val="single" w:color="D5D8DC" w:sz="2"/>
            </w:tcBorders>
            <w:shd w:fill="F4F5F7" w:val="clear"/>
            <w:tcMar>
              <w:top w:type="dxa" w:w="100"/>
              <w:left w:type="dxa" w:w="160"/>
              <w:bottom w:type="dxa" w:w="100"/>
              <w:right w:type="dxa" w:w="120"/>
            </w:tcMar>
          </w:tcPr>
          <w:p>
            <w:pPr>
              <w:spacing w:after="0" w:line="240"/>
            </w:pPr>
            <w:r>
              <w:rPr>
                <w:rFonts w:ascii="Consolas" w:cs="Consolas" w:eastAsia="Consolas" w:hAnsi="Consolas"/>
                <w:sz w:val="17"/>
                <w:szCs w:val="17"/>
              </w:rPr>
              <w:t xml:space="preserve"># frontend/.env.example</w:t>
            </w:r>
          </w:p>
          <w:p>
            <w:pPr>
              <w:spacing w:after="0" w:line="240"/>
            </w:pPr>
            <w:r>
              <w:rPr>
                <w:rFonts w:ascii="Consolas" w:cs="Consolas" w:eastAsia="Consolas" w:hAnsi="Consolas"/>
                <w:sz w:val="17"/>
                <w:szCs w:val="17"/>
              </w:rPr>
              <w:t xml:space="preserve">VITE_API_BASE_URL=https://lulucare-api.onrender.com   # the separately-hosted Python API</w:t>
            </w:r>
          </w:p>
          <w:p>
            <w:pPr>
              <w:spacing w:after="0" w:line="240"/>
            </w:pPr>
            <w:r>
              <w:rPr>
                <w:rFonts w:ascii="Consolas" w:cs="Consolas" w:eastAsia="Consolas" w:hAnsi="Consolas"/>
                <w:sz w:val="17"/>
                <w:szCs w:val="17"/>
              </w:rPr>
              <w:t xml:space="preserve">VITE_DEMO_MODE=false                                  # true -&gt; use precomputed JSON, no network</w:t>
            </w:r>
          </w:p>
        </w:tc>
      </w:tr>
    </w:tbl>
    <w:p>
      <w:pPr>
        <w:spacing w:after="120" w:line="276"/>
      </w:pPr>
      <w:r>
        <w:rPr>
          <w:rFonts w:ascii="Consolas" w:cs="Consolas" w:eastAsia="Consolas" w:hAnsi="Consolas"/>
        </w:rPr>
        <w:t xml:space="preserve">api_client.js </w:t>
      </w:r>
      <w:r>
        <w:t xml:space="preserve">reads </w:t>
      </w:r>
      <w:r>
        <w:rPr>
          <w:rFonts w:ascii="Consolas" w:cs="Consolas" w:eastAsia="Consolas" w:hAnsi="Consolas"/>
        </w:rPr>
        <w:t xml:space="preserve">import.meta.env.VITE_API_BASE_URL</w:t>
      </w:r>
      <w:r>
        <w:t xml:space="preserve"> and POSTs </w:t>
      </w:r>
      <w:r>
        <w:rPr>
          <w:rFonts w:ascii="Consolas" w:cs="Consolas" w:eastAsia="Consolas" w:hAnsi="Consolas"/>
        </w:rPr>
        <w:t xml:space="preserve">{message, customer_id}</w:t>
      </w:r>
      <w:r>
        <w:t xml:space="preserve"> to </w:t>
      </w:r>
      <w:r>
        <w:rPr>
          <w:rFonts w:ascii="Consolas" w:cs="Consolas" w:eastAsia="Consolas" w:hAnsi="Consolas"/>
        </w:rPr>
        <w:t xml:space="preserve">/resolve</w:t>
      </w:r>
      <w:r>
        <w:t xml:space="preserve">. The base URL is injected at build time in Netlify's dashboard, never hard-coded.</w:t>
      </w:r>
    </w:p>
    <w:p>
      <w:pPr>
        <w:pStyle w:val="Heading2"/>
      </w:pPr>
      <w:r>
        <w:t xml:space="preserve">7.3 CORS</w:t>
      </w:r>
    </w:p>
    <w:p>
      <w:pPr>
        <w:spacing w:after="120" w:line="276"/>
      </w:pPr>
      <w:r>
        <w:rPr>
          <w:b w:val="false"/>
          <w:bCs w:val="false"/>
        </w:rPr>
        <w:t xml:space="preserve">The FastAPI backend enables CORS for the Netlify origin </w:t>
      </w:r>
      <w:r>
        <w:t xml:space="preserve">via CORSMiddleware (allow_origins = the Netlify site URL + localhost for dev, allow_methods=[“POST”,“GET”]). Without this the browser blocks every cross-origin request and the dashboard shows empty panels.</w:t>
      </w:r>
    </w:p>
    <w:p>
      <w:pPr>
        <w:pStyle w:val="Heading2"/>
      </w:pPr>
      <w:r>
        <w:t xml:space="preserve">7.4 Recommended separate hosting for the Python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Host</w:t>
            </w:r>
          </w:p>
        </w:tc>
        <w:tc>
          <w:tcPr>
            <w:tcW w:type="dxa" w:w="2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Fit</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Note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Render (free web service)</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Good default</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Persistent process; cold starts on free tier; loads Reader once.</w:t>
            </w:r>
          </w:p>
        </w:tc>
      </w:tr>
      <w:tr>
        <w:tc>
          <w:tcPr>
            <w:tcW w:type="dxa" w:w="30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Railway / Fly.io</w:t>
            </w:r>
          </w:p>
        </w:tc>
        <w:tc>
          <w:tcPr>
            <w:tcW w:type="dxa" w:w="30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Good</w:t>
            </w:r>
          </w:p>
        </w:tc>
        <w:tc>
          <w:tcPr>
            <w:tcW w:type="dxa" w:w="30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Similar model; generous free allowances.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Hugging Face Spaces (Docker/Gradio-less FastAPI)</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Good for ML</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Familiar for TF + transformers; easy model hosting.</w:t>
            </w:r>
          </w:p>
        </w:tc>
      </w:tr>
    </w:tbl>
    <w:p>
      <w:pPr>
        <w:spacing w:after="60"/>
      </w:pPr>
      <w:r>
        <w:t xml:space="preserve"/>
      </w:r>
    </w:p>
    <w:p>
      <w:pPr>
        <w:pStyle w:val="Heading2"/>
      </w:pPr>
      <w:r>
        <w:t xml:space="preserve">7.5 Demo-mode fallback (no live backend needed)</w:t>
      </w:r>
    </w:p>
    <w:p>
      <w:pPr>
        <w:spacing w:after="120" w:line="276"/>
      </w:pPr>
      <w:r>
        <w:rPr>
          <w:b/>
          <w:bCs/>
        </w:rPr>
        <w:t xml:space="preserve">If the API isn't deployed in time, the demo still runs. </w:t>
      </w:r>
      <w:r>
        <w:t xml:space="preserve">A build step runs the full pipeline offline over the 10 handbook test-case customers and writes the consolidated responses to </w:t>
      </w:r>
      <w:r>
        <w:rPr>
          <w:rFonts w:ascii="Consolas" w:cs="Consolas" w:eastAsia="Consolas" w:hAnsi="Consolas"/>
        </w:rPr>
        <w:t xml:space="preserve">frontend/src/demoData.js</w:t>
      </w:r>
      <w:r>
        <w:t xml:space="preserve">. With </w:t>
      </w:r>
      <w:r>
        <w:rPr>
          <w:rFonts w:ascii="Consolas" w:cs="Consolas" w:eastAsia="Consolas" w:hAnsi="Consolas"/>
        </w:rPr>
        <w:t xml:space="preserve">VITE_DEMO_MODE=true</w:t>
      </w:r>
      <w:r>
        <w:t xml:space="preserve">, api_client.js returns the matching precomputed object instead of fetching. The six-stage dashboard is fully demonstrable from static hosting alone.</w:t>
      </w:r>
    </w:p>
    <w:p>
      <w:r>
        <w:br w:type="page"/>
      </w:r>
    </w:p>
    <w:p>
      <w:pPr>
        <w:pStyle w:val="Heading1"/>
      </w:pPr>
      <w:r>
        <w:t xml:space="preserve">8. Testing Plan</w:t>
      </w:r>
    </w:p>
    <w:p>
      <w:pPr>
        <w:pStyle w:val="Heading2"/>
      </w:pPr>
      <w:r>
        <w:t xml:space="preserve">8.1 Module-level tests</w:t>
      </w:r>
    </w:p>
    <w:p>
      <w:pPr>
        <w:pStyle w:val="ListParagraph"/>
        <w:numPr>
          <w:ilvl w:val="0"/>
          <w:numId w:val="2"/>
        </w:numPr>
        <w:spacing w:after="60" w:line="264"/>
      </w:pPr>
      <w:r>
        <w:rPr>
          <w:b/>
          <w:bCs/>
        </w:rPr>
        <w:t xml:space="preserve">Reader (test_reader.py): </w:t>
      </w:r>
      <w:r>
        <w:t xml:space="preserve">output has exactly {issue_type, frustration, confidence}; types correct; issue_type in the 7-enum; frustration in 3-enum; confidence in [0,1]; empty/garbage text does not raise; confidence is lower on a deliberately ambiguous message.</w:t>
      </w:r>
    </w:p>
    <w:p>
      <w:pPr>
        <w:pStyle w:val="ListParagraph"/>
        <w:numPr>
          <w:ilvl w:val="0"/>
          <w:numId w:val="2"/>
        </w:numPr>
        <w:spacing w:after="60" w:line="264"/>
      </w:pPr>
      <w:r>
        <w:rPr>
          <w:b/>
          <w:bCs/>
        </w:rPr>
        <w:t xml:space="preserve">Investigator (test_investigator.py): </w:t>
      </w:r>
      <w:r>
        <w:t xml:space="preserve">the three fraud paths (ratio&gt;=0.5, kept&gt;=3, burst&gt;=4 -&gt; LIKELY_ABUSER; ratio&gt;=0.25 / age&lt;=2 / burst&gt;=3 -&gt; SUSPICIOUS; else GENUINE); the three claim states incl. the CONTRADICTED note bank; tone never changes the verdict; scored against _archetype (expect ~218/220).</w:t>
      </w:r>
    </w:p>
    <w:p>
      <w:pPr>
        <w:pStyle w:val="ListParagraph"/>
        <w:numPr>
          <w:ilvl w:val="0"/>
          <w:numId w:val="2"/>
        </w:numPr>
        <w:spacing w:after="60" w:line="264"/>
      </w:pPr>
      <w:r>
        <w:rPr>
          <w:b/>
          <w:bCs/>
        </w:rPr>
        <w:t xml:space="preserve">Economist (test_economist.py): </w:t>
      </w:r>
      <w:r>
        <w:t xml:space="preserve">tier table order (4.6); logistics tree all branches; should_escalate both conditions; coupon_percent in {0,20,50}; email_trigger truth table; abuser never pays even at HIGH value.</w:t>
      </w:r>
    </w:p>
    <w:p>
      <w:pPr>
        <w:pStyle w:val="ListParagraph"/>
        <w:numPr>
          <w:ilvl w:val="0"/>
          <w:numId w:val="2"/>
        </w:numPr>
        <w:spacing w:after="60" w:line="264"/>
      </w:pPr>
      <w:r>
        <w:rPr>
          <w:b/>
          <w:bCs/>
        </w:rPr>
        <w:t xml:space="preserve">Voice (test_voice.py): </w:t>
      </w:r>
      <w:r>
        <w:t xml:space="preserve">a reply is produced for every action; ACKNOWLEDGE reply is courteous and promises nothing; email present iff email_trigger; audit row written for every money action; template fallback works when FLAN-T5 is disabled.</w:t>
      </w:r>
    </w:p>
    <w:p>
      <w:pPr>
        <w:pStyle w:val="Heading2"/>
      </w:pPr>
      <w:r>
        <w:t xml:space="preserve">8.2 Integration &amp; contract tests</w:t>
      </w:r>
    </w:p>
    <w:p>
      <w:pPr>
        <w:pStyle w:val="ListParagraph"/>
        <w:numPr>
          <w:ilvl w:val="0"/>
          <w:numId w:val="2"/>
        </w:numPr>
        <w:spacing w:after="60" w:line="264"/>
      </w:pPr>
      <w:r>
        <w:rPr>
          <w:b/>
          <w:bCs/>
        </w:rPr>
        <w:t xml:space="preserve">Pipeline (test_pipeline.py): </w:t>
      </w:r>
      <w:r>
        <w:t xml:space="preserve">Reader keys feed Investigator; verdict feeds Economist; decision has every field the Voice reads; consolidated response matches the 4.5 contract key-for-key (the React contract test).</w:t>
      </w:r>
    </w:p>
    <w:p>
      <w:pPr>
        <w:pStyle w:val="ListParagraph"/>
        <w:numPr>
          <w:ilvl w:val="0"/>
          <w:numId w:val="2"/>
        </w:numPr>
        <w:spacing w:after="60" w:line="264"/>
      </w:pPr>
      <w:r>
        <w:rPr>
          <w:b/>
          <w:bCs/>
        </w:rPr>
        <w:t xml:space="preserve">React rendering: </w:t>
      </w:r>
      <w:r>
        <w:t xml:space="preserve">each panel renders from a fixture of the consolidated response; a missing optional field (email=null) renders “no email” rather than crashing.</w:t>
      </w:r>
    </w:p>
    <w:p>
      <w:pPr>
        <w:pStyle w:val="Heading2"/>
      </w:pPr>
      <w:r>
        <w:t xml:space="preserve">8.3 The ten handbook test cases (with verified real customer IDs)</w:t>
      </w:r>
    </w:p>
    <w:p>
      <w:pPr>
        <w:spacing w:after="120" w:line="276"/>
      </w:pPr>
      <w:r>
        <w:t xml:space="preserve">IDs below were selected by profiling customers.csv so each row's profile matches the handbook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4360"/>
        <w:gridCol w:w="3000"/>
      </w:tblGrid>
      <w:tr>
        <w:trPr>
          <w:tblHeader/>
        </w:trPr>
        <w:tc>
          <w:tcPr>
            <w:tcW w:type="dxa" w:w="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Customer</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Profile match</w:t>
            </w:r>
          </w:p>
        </w:tc>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Expected resolution</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1</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C0005</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Gold, ratio 0.045, Fresh_Produce (perishable)</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REFUND + KEEP_ITEM; email fires</w:t>
            </w:r>
          </w:p>
        </w:tc>
      </w:tr>
      <w:tr>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2</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C0011 / C0013</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Electronics, low ratio, resale &gt;= 2000</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REFUND + PICKUP; email fires</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3</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C0001</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ratio 0.833, 5 refunds / 6 orders, CLV HIGH</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ACKNOWLEDGE, no payout; no email</w:t>
            </w:r>
          </w:p>
        </w:tc>
      </w:tr>
      <w:tr>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4</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C0004</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no logged promise, no notes; message claims one</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UNVERIFIED; do not auto-refund</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5</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C0034</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prior_promise_logged True, genuine</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CONFIRMED; honour; REFUND; email</w:t>
            </w:r>
          </w:p>
        </w:tc>
      </w:tr>
      <w:tr>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6</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C0032</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non-perishable, resale 164 &lt; reverse 180</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REFUND + KEEP_ITEM (economics)</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7</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C0016</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account 0 months, is_first_purchase True</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Generous but capped; verify</w:t>
            </w:r>
          </w:p>
        </w:tc>
      </w:tr>
      <w:tr>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8</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C0020</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Bronze, CLV ~4,959 (LOW), clean</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ACKNOWLEDGE; no email</w:t>
            </w:r>
          </w:p>
        </w:tc>
      </w:tr>
      <w:tr>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9</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C0059</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ratio 0.5, order_value 24,392, SUSPICIOUS</w:t>
            </w:r>
          </w:p>
        </w:tc>
        <w:tc>
          <w:tcPr>
            <w:tcW w:type="dxa" w:w="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ESCALATE to human; no email</w:t>
            </w:r>
          </w:p>
        </w:tc>
      </w:tr>
      <w:tr>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center"/>
            </w:pPr>
            <w:r>
              <w:rPr>
                <w:b w:val="false"/>
                <w:bCs w:val="false"/>
                <w:color w:val="000000"/>
                <w:sz w:val="19"/>
                <w:szCs w:val="19"/>
              </w:rPr>
              <w:t xml:space="preserve">10</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C0018</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Platinum, ratio 0.021, CLV 117,030</w:t>
            </w:r>
          </w:p>
        </w:tc>
        <w:tc>
          <w:tcPr>
            <w:tcW w:type="dxa" w:w="5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Generous REFUND; protect relationship</w:t>
            </w:r>
          </w:p>
        </w:tc>
      </w:tr>
    </w:tbl>
    <w:p>
      <w:pPr>
        <w:spacing w:after="60"/>
      </w:pPr>
      <w:r>
        <w:t xml:space="preserve"/>
      </w:r>
    </w:p>
    <w:p>
      <w:pPr>
        <w:spacing w:after="120" w:line="276"/>
      </w:pPr>
      <w:r>
        <w:rPr>
          <w:b w:val="false"/>
          <w:bCs w:val="false"/>
        </w:rPr>
        <w:t xml:space="preserve">Pair each ID with a matching message </w:t>
      </w:r>
      <w:r>
        <w:t xml:space="preserve">from messages.csv of the right issue_type/frustration (e.g. a Delivery message for case 3, a Damaged_Defective message for case 2). Cases 4 and 5 need a message that explicitly claims a prior promise so the claim check is exercised.</w:t>
      </w:r>
    </w:p>
    <w:p>
      <w:pPr>
        <w:pStyle w:val="Heading2"/>
      </w:pPr>
      <w:r>
        <w:t xml:space="preserve">8.4 Automation rate</w:t>
      </w:r>
    </w:p>
    <w:p>
      <w:pPr>
        <w:spacing w:after="120" w:line="276"/>
      </w:pPr>
      <w:r>
        <w:rPr>
          <w:b/>
          <w:bCs/>
        </w:rPr>
        <w:t xml:space="preserve">Definition: </w:t>
      </w:r>
      <w:r>
        <w:t xml:space="preserve">automation_rate = (cases where action != ESCALATE) / total cases. Over the 10 cases, only case 9 is designed to escalate, so a correct system reports roughly 90%. Report the number, and be ready to defend the threshold trade-off behind it (Section 10 / trust memo).</w:t>
      </w:r>
    </w:p>
    <w:p>
      <w:r>
        <w:br w:type="page"/>
      </w:r>
    </w:p>
    <w:p>
      <w:pPr>
        <w:pStyle w:val="Heading1"/>
      </w:pPr>
      <w:r>
        <w:t xml:space="preserve">9. Team Workflow</w:t>
      </w:r>
    </w:p>
    <w:p>
      <w:pPr>
        <w:pStyle w:val="Heading2"/>
      </w:pPr>
      <w:r>
        <w:t xml:space="preserve">9.1 Branching</w:t>
      </w:r>
    </w:p>
    <w:p>
      <w:pPr>
        <w:pStyle w:val="ListParagraph"/>
        <w:numPr>
          <w:ilvl w:val="0"/>
          <w:numId w:val="2"/>
        </w:numPr>
        <w:spacing w:after="60" w:line="264"/>
      </w:pPr>
      <w:r>
        <w:rPr>
          <w:rFonts w:ascii="Consolas" w:cs="Consolas" w:eastAsia="Consolas" w:hAnsi="Consolas"/>
          <w:b/>
          <w:bCs/>
        </w:rPr>
        <w:t xml:space="preserve">main </w:t>
      </w:r>
      <w:r>
        <w:t xml:space="preserve">is always deployable. No direct commits.</w:t>
      </w:r>
    </w:p>
    <w:p>
      <w:pPr>
        <w:pStyle w:val="ListParagraph"/>
        <w:numPr>
          <w:ilvl w:val="0"/>
          <w:numId w:val="2"/>
        </w:numPr>
        <w:spacing w:after="60" w:line="264"/>
      </w:pPr>
      <w:r>
        <w:rPr>
          <w:b/>
          <w:bCs/>
        </w:rPr>
        <w:t xml:space="preserve">Feature branches: </w:t>
      </w:r>
      <w:r>
        <w:t xml:space="preserve">module/reader, module/investigator, module/economist, module/voice, plus frontend/dashboard. One owner area per branch.</w:t>
      </w:r>
    </w:p>
    <w:p>
      <w:pPr>
        <w:pStyle w:val="Heading2"/>
      </w:pPr>
      <w:r>
        <w:t xml:space="preserve">9.2 Pull requests &amp; code ownership</w:t>
      </w:r>
    </w:p>
    <w:p>
      <w:pPr>
        <w:pStyle w:val="ListParagraph"/>
        <w:numPr>
          <w:ilvl w:val="0"/>
          <w:numId w:val="2"/>
        </w:numPr>
        <w:spacing w:after="60" w:line="264"/>
      </w:pPr>
      <w:r>
        <w:rPr>
          <w:b w:val="false"/>
          <w:bCs w:val="false"/>
        </w:rPr>
        <w:t xml:space="preserve">Every change is a PR </w:t>
      </w:r>
      <w:r>
        <w:t xml:space="preserve">into main, reviewed by at least one person outside the owning sub-team.</w:t>
      </w:r>
    </w:p>
    <w:p>
      <w:pPr>
        <w:pStyle w:val="ListParagraph"/>
        <w:numPr>
          <w:ilvl w:val="0"/>
          <w:numId w:val="2"/>
        </w:numPr>
        <w:spacing w:after="60" w:line="264"/>
      </w:pPr>
      <w:r>
        <w:rPr>
          <w:b/>
          <w:bCs/>
        </w:rPr>
        <w:t xml:space="preserve">Ownership boundary: </w:t>
      </w:r>
      <w:r>
        <w:t xml:space="preserve">a PR that edits files outside the author's module — especially shared/enums or schemas.py — needs sign-off from every affected module owner.</w:t>
      </w:r>
    </w:p>
    <w:p>
      <w:pPr>
        <w:pStyle w:val="Heading2"/>
      </w:pPr>
      <w:r>
        <w:t xml:space="preserve">9.3 Schema-change approval</w:t>
      </w:r>
    </w:p>
    <w:p>
      <w:pPr>
        <w:spacing w:after="120" w:line="276"/>
      </w:pPr>
      <w:r>
        <w:rPr>
          <w:b/>
          <w:bCs/>
        </w:rPr>
        <w:t xml:space="preserve">The contracts in Section 4 are frozen after the first 15 minutes. </w:t>
      </w:r>
      <w:r>
        <w:t xml:space="preserve">Any change to a shared key or enum requires a short written proposal, agreement from all four module owners, and a single PR that updates shared/enums.py, enums.js, schemas.py, and contracts.md together. No one edits a contract unilaterally.</w:t>
      </w:r>
    </w:p>
    <w:p>
      <w:pPr>
        <w:pStyle w:val="Heading2"/>
      </w:pPr>
      <w:r>
        <w:t xml:space="preserve">9.4 Cadence &amp; freeze</w:t>
      </w:r>
    </w:p>
    <w:p>
      <w:pPr>
        <w:pStyle w:val="ListParagraph"/>
        <w:numPr>
          <w:ilvl w:val="0"/>
          <w:numId w:val="2"/>
        </w:numPr>
        <w:spacing w:after="60" w:line="264"/>
      </w:pPr>
      <w:r>
        <w:t xml:space="preserve">Daily merge of green feature branches into main; broken builds are reverted, not patched on main.</w:t>
      </w:r>
    </w:p>
    <w:p>
      <w:pPr>
        <w:pStyle w:val="ListParagraph"/>
        <w:numPr>
          <w:ilvl w:val="0"/>
          <w:numId w:val="2"/>
        </w:numPr>
        <w:spacing w:after="60" w:line="264"/>
      </w:pPr>
      <w:r>
        <w:rPr>
          <w:b/>
          <w:bCs/>
        </w:rPr>
        <w:t xml:space="preserve">Integration freeze: </w:t>
      </w:r>
      <w:r>
        <w:t xml:space="preserve">25 minutes before the deadline, no new features — only integration fixes and test-pass work.</w:t>
      </w:r>
    </w:p>
    <w:p>
      <w:pPr>
        <w:pStyle w:val="Heading2"/>
      </w:pPr>
      <w:r>
        <w:t xml:space="preserve">9.5 Pre-submission integration checklist</w:t>
      </w:r>
    </w:p>
    <w:p>
      <w:pPr>
        <w:pStyle w:val="ListParagraph"/>
        <w:numPr>
          <w:ilvl w:val="0"/>
          <w:numId w:val="3"/>
        </w:numPr>
        <w:spacing w:after="60" w:line="264"/>
      </w:pPr>
      <w:r>
        <w:t xml:space="preserve">All module tests + integration tests green.</w:t>
      </w:r>
    </w:p>
    <w:p>
      <w:pPr>
        <w:pStyle w:val="ListParagraph"/>
        <w:numPr>
          <w:ilvl w:val="0"/>
          <w:numId w:val="3"/>
        </w:numPr>
        <w:spacing w:after="60" w:line="264"/>
      </w:pPr>
      <w:r>
        <w:t xml:space="preserve">Consolidated response matches the 4.5 contract (contract test passes).</w:t>
      </w:r>
    </w:p>
    <w:p>
      <w:pPr>
        <w:pStyle w:val="ListParagraph"/>
        <w:numPr>
          <w:ilvl w:val="0"/>
          <w:numId w:val="3"/>
        </w:numPr>
        <w:spacing w:after="60" w:line="264"/>
      </w:pPr>
      <w:r>
        <w:t xml:space="preserve">Email fires only on COUPON/REFUND/WALLET_CREDIT; never on ACKNOWLEDGE/ESCALATE.</w:t>
      </w:r>
    </w:p>
    <w:p>
      <w:pPr>
        <w:pStyle w:val="ListParagraph"/>
        <w:numPr>
          <w:ilvl w:val="0"/>
          <w:numId w:val="3"/>
        </w:numPr>
        <w:spacing w:after="60" w:line="264"/>
      </w:pPr>
      <w:r>
        <w:t xml:space="preserve">_archetype absent from every profile and response.</w:t>
      </w:r>
    </w:p>
    <w:p>
      <w:pPr>
        <w:pStyle w:val="ListParagraph"/>
        <w:numPr>
          <w:ilvl w:val="0"/>
          <w:numId w:val="3"/>
        </w:numPr>
        <w:spacing w:after="60" w:line="264"/>
      </w:pPr>
      <w:r>
        <w:t xml:space="preserve">All 10 handbook cases produce the expected resolution; automation rate computed.</w:t>
      </w:r>
    </w:p>
    <w:p>
      <w:pPr>
        <w:pStyle w:val="ListParagraph"/>
        <w:numPr>
          <w:ilvl w:val="0"/>
          <w:numId w:val="3"/>
        </w:numPr>
        <w:spacing w:after="60" w:line="264"/>
      </w:pPr>
      <w:r>
        <w:t xml:space="preserve">React renders all six stages from live API and from demo mode.</w:t>
      </w:r>
    </w:p>
    <w:p>
      <w:pPr>
        <w:pStyle w:val="ListParagraph"/>
        <w:numPr>
          <w:ilvl w:val="0"/>
          <w:numId w:val="3"/>
        </w:numPr>
        <w:spacing w:after="60" w:line="264"/>
      </w:pPr>
      <w:r>
        <w:t xml:space="preserve">README lets a fresh machine run both servers; trust memo + architecture diagram in /docs.</w:t>
      </w:r>
    </w:p>
    <w:p>
      <w:r>
        <w:br w:type="page"/>
      </w:r>
    </w:p>
    <w:p>
      <w:pPr>
        <w:pStyle w:val="Heading1"/>
      </w:pPr>
      <w:r>
        <w:t xml:space="preserve">10. Final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Deliverable</w:t>
            </w:r>
          </w:p>
        </w:tc>
        <w:tc>
          <w:tcPr>
            <w:tcW w:type="dxa" w:w="6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pPr>
            <w:r>
              <w:rPr>
                <w:b/>
                <w:bCs/>
                <w:color w:val="FFFFFF"/>
                <w:sz w:val="19"/>
                <w:szCs w:val="19"/>
              </w:rPr>
              <w:t xml:space="preserve">Where it lives / form</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Working React dashboard</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Netlify URL; shows all six stages; live + demo mode.</w:t>
            </w:r>
          </w:p>
        </w:tc>
      </w:tr>
      <w:tr>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Backend API</w:t>
            </w:r>
          </w:p>
        </w:tc>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FastAPI on Render/Railway/HF Spaces; POST /resolve, GET /health.</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Trained Reader model (or saved fallback classifier)</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models/reader_issue.keras + reader_frustration.keras + tokenizer.json + label_maps.json; a saved scikit-learn classifier as documented fallback.</w:t>
            </w:r>
          </w:p>
        </w:tc>
      </w:tr>
      <w:tr>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Rule modules</w:t>
            </w:r>
          </w:p>
        </w:tc>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investigator.py, economist.py — transparent, tested, documented.</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Audit log</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logs/audit_log.jsonl, append-only; rendered as dashboard stage 6.</w:t>
            </w:r>
          </w:p>
        </w:tc>
      </w:tr>
      <w:tr>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Test report</w:t>
            </w:r>
          </w:p>
        </w:tc>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docs/test_report.md: module + integration + 10-case results.</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Automation rate</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Single figure in the report, dashboard, and trust memo, with the trade-off defended.</w:t>
            </w:r>
          </w:p>
        </w:tc>
      </w:tr>
      <w:tr>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Demo script</w:t>
            </w:r>
          </w:p>
        </w:tc>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docs/demo_script.md: 2–3 cases incl. one abuser (C0001) and one genuine high-value customer (C0018), showing an email fire.</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Trust memo</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docs/trust_memo.md: half-page to VP Reem (autonomy boundary, one wrong call from testing, anti-gaming confidence, chosen automation rate).</w:t>
            </w:r>
          </w:p>
        </w:tc>
      </w:tr>
      <w:tr>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Architecture diagram</w:t>
            </w:r>
          </w:p>
        </w:tc>
        <w:tc>
          <w:tcPr>
            <w:tcW w:type="dxa" w:w="3200"/>
            <w:tcBorders>
              <w:top w:val="single" w:color="BFBFBF" w:sz="1"/>
              <w:left w:val="single" w:color="BFBFBF" w:sz="1"/>
              <w:bottom w:val="single" w:color="BFBFBF" w:sz="1"/>
              <w:right w:val="single" w:color="BFBFBF" w:sz="1"/>
            </w:tcBorders>
            <w:shd w:fill="EAF1F8" w:val="clear"/>
            <w:tcMar>
              <w:top w:type="dxa" w:w="60"/>
              <w:left w:type="dxa" w:w="110"/>
              <w:bottom w:type="dxa" w:w="60"/>
              <w:right w:type="dxa" w:w="110"/>
            </w:tcMar>
            <w:vAlign w:val="center"/>
          </w:tcPr>
          <w:p>
            <w:pPr>
              <w:spacing w:after="0" w:line="240"/>
              <w:jc w:val="left"/>
            </w:pPr>
            <w:r>
              <w:rPr>
                <w:b w:val="false"/>
                <w:bCs w:val="false"/>
                <w:color w:val="000000"/>
                <w:sz w:val="19"/>
                <w:szCs w:val="19"/>
              </w:rPr>
              <w:t xml:space="preserve">docs/architecture_diagram.png: the six-stage flow with the frontend/backend split.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README</w:t>
            </w:r>
          </w:p>
        </w:tc>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9"/>
                <w:szCs w:val="19"/>
              </w:rPr>
              <w:t xml:space="preserve">Root: setup + run for both servers, env vars, demo-mode switch.</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8"/>
              <w:bottom w:val="single" w:color="1F3864" w:sz="1"/>
              <w:right w:val="single" w:color="1F3864" w:sz="1"/>
            </w:tcBorders>
            <w:shd w:fill="EAF1F8" w:val="clear"/>
            <w:tcMar>
              <w:top w:type="dxa" w:w="100"/>
              <w:left w:type="dxa" w:w="180"/>
              <w:bottom w:type="dxa" w:w="100"/>
              <w:right w:type="dxa" w:w="140"/>
            </w:tcMar>
          </w:tcPr>
          <w:p>
            <w:pPr>
              <w:spacing w:after="60"/>
            </w:pPr>
            <w:r>
              <w:rPr>
                <w:b/>
                <w:bCs/>
                <w:color w:val="1F3864"/>
                <w:sz w:val="21"/>
                <w:szCs w:val="21"/>
              </w:rPr>
              <w:t xml:space="preserve">Closing note</w:t>
            </w:r>
          </w:p>
          <w:p>
            <w:pPr>
              <w:spacing w:after="0" w:line="264"/>
            </w:pPr>
            <w:r>
              <w:rPr>
                <w:b/>
                <w:bCs/>
              </w:rPr>
              <w:t xml:space="preserve">This is a planning deliverable; no code has been written. </w:t>
            </w:r>
            <w:r>
              <w:t xml:space="preserve">Every contract, threshold, and test ID above is consistent with the handbook and verified against the real messages.csv and customers.csv, so each sub-team can now build its files independently and stitch them at the end without integration breakage.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0"/>
      <w:jc w:val="right"/>
    </w:pPr>
    <w:r>
      <w:rPr>
        <w:color w:val="595959"/>
        <w:sz w:val="16"/>
        <w:szCs w:val="16"/>
      </w:rPr>
      <w:t xml:space="preserve">LuluCare 360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2026-06-23T10:21:23.027Z</dcterms:created>
  <dcterms:modified xsi:type="dcterms:W3CDTF">2026-06-23T10:21:23.027Z</dcterms:modified>
</cp:coreProperties>
</file>

<file path=docProps/custom.xml><?xml version="1.0" encoding="utf-8"?>
<Properties xmlns="http://schemas.openxmlformats.org/officeDocument/2006/custom-properties" xmlns:vt="http://schemas.openxmlformats.org/officeDocument/2006/docPropsVTypes"/>
</file>