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Loan Approval Prediction Executive Report</w:t>
      </w:r>
    </w:p>
    <w:p>
      <w:pPr>
        <w:spacing w:after="120"/>
      </w:pPr>
      <w:r>
        <w:rPr>
          <w:rFonts w:ascii="Aptos" w:hAnsi="Aptos"/>
          <w:b w:val="0"/>
          <w:color w:val="5B6573"/>
          <w:sz w:val="17"/>
        </w:rPr>
        <w:t>Model comparison, deployment threshold, and responsible-use recommendations  |  Prepared by Kartik Kachwahe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E3F0"/>
          <w:left w:val="single" w:sz="5" w:color="D5E3F0"/>
          <w:bottom w:val="single" w:sz="5" w:color="D5E3F0"/>
          <w:right w:val="single" w:sz="5" w:color="D5E3F0"/>
          <w:insideH w:val="single" w:sz="5" w:color="D5E3F0"/>
          <w:insideV w:val="single" w:sz="5" w:color="D5E3F0"/>
        </w:tblBorders>
      </w:tblPr>
      <w:tblGrid>
        <w:gridCol w:w="3552"/>
        <w:gridCol w:w="3552"/>
        <w:gridCol w:w="3552"/>
      </w:tblGrid>
      <w:tr>
        <w:tc>
          <w:tcPr>
            <w:tcW w:type="dxa" w:w="3528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5B6573"/>
                <w:sz w:val="14"/>
              </w:rPr>
              <w:t>DATASET</w:t>
              <w:br/>
            </w:r>
            <w:r>
              <w:rPr>
                <w:rFonts w:ascii="Aptos" w:hAnsi="Aptos"/>
                <w:b/>
                <w:color w:val="17365D"/>
                <w:sz w:val="20"/>
              </w:rPr>
              <w:t>614 applications</w:t>
            </w:r>
          </w:p>
        </w:tc>
        <w:tc>
          <w:tcPr>
            <w:tcW w:type="dxa" w:w="3528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5B6573"/>
                <w:sz w:val="14"/>
              </w:rPr>
              <w:t>CHAMPION</w:t>
              <w:br/>
            </w:r>
            <w:r>
              <w:rPr>
                <w:rFonts w:ascii="Aptos" w:hAnsi="Aptos"/>
                <w:b/>
                <w:color w:val="17365D"/>
                <w:sz w:val="20"/>
              </w:rPr>
              <w:t>Logistic Regression</w:t>
            </w:r>
          </w:p>
        </w:tc>
        <w:tc>
          <w:tcPr>
            <w:tcW w:type="dxa" w:w="3528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5B6573"/>
                <w:sz w:val="14"/>
              </w:rPr>
              <w:t>STARTING THRESHOLD</w:t>
              <w:br/>
            </w:r>
            <w:r>
              <w:rPr>
                <w:rFonts w:ascii="Aptos" w:hAnsi="Aptos"/>
                <w:b/>
                <w:color w:val="17365D"/>
                <w:sz w:val="20"/>
              </w:rPr>
              <w:t>0.52</w:t>
            </w:r>
          </w:p>
        </w:tc>
      </w:tr>
    </w:tbl>
    <w:p>
      <w:pPr>
        <w:spacing w:before="80" w:after="40"/>
      </w:pPr>
      <w:r>
        <w:rPr>
          <w:rFonts w:ascii="Aptos" w:hAnsi="Aptos"/>
          <w:b/>
          <w:color w:val="17365D"/>
          <w:sz w:val="20"/>
        </w:rPr>
        <w:t>Executive Summary</w:t>
      </w:r>
    </w:p>
    <w:p>
      <w:pPr>
        <w:spacing w:after="60"/>
      </w:pPr>
      <w:r>
        <w:rPr>
          <w:rFonts w:ascii="Aptos" w:hAnsi="Aptos"/>
          <w:b/>
          <w:color w:val="17365D"/>
          <w:sz w:val="17"/>
        </w:rPr>
        <w:t xml:space="preserve">Recommendation. </w:t>
      </w:r>
      <w:r>
        <w:rPr>
          <w:rFonts w:ascii="Aptos" w:hAnsi="Aptos"/>
          <w:b w:val="0"/>
          <w:color w:val="000000"/>
          <w:sz w:val="17"/>
        </w:rPr>
        <w:t>Use Logistic Regression as the proof-of-concept champion and begin controlled validation at an approval-probability threshold of 0.52. It delivered the strongest test ranking performance (ROC-AUC 0.876) and is easier to explain and govern than the tree ensembles. The workflow uses leakage-safe imputation, encoding, scaling, and SMOTE only within training folds.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675120" cy="1616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model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616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ptos" w:hAnsi="Aptos"/>
          <w:b w:val="0"/>
          <w:color w:val="5B6573"/>
          <w:sz w:val="14"/>
        </w:rPr>
        <w:t>Figure 1. Actual held-out model results and threshold trade-off from the executed notebook.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38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18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Precision</w:t>
            </w:r>
          </w:p>
        </w:tc>
        <w:tc>
          <w:tcPr>
            <w:tcW w:type="dxa" w:w="18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18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F1</w:t>
            </w:r>
          </w:p>
        </w:tc>
        <w:tc>
          <w:tcPr>
            <w:tcW w:type="dxa" w:w="18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ROC-AUC</w:t>
            </w:r>
          </w:p>
        </w:tc>
      </w:tr>
      <w:tr>
        <w:tc>
          <w:tcPr>
            <w:tcW w:type="dxa" w:w="33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7365D"/>
                <w:sz w:val="15"/>
              </w:rPr>
              <w:t>Logistic Regression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0.862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0.882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0.872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0.876</w:t>
            </w:r>
          </w:p>
        </w:tc>
      </w:tr>
      <w:tr>
        <w:tc>
          <w:tcPr>
            <w:tcW w:type="dxa" w:w="33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6F8FA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Random Forest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6F8FA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0.822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6F8FA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0.871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6F8FA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0.846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6F8FA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0.796</w:t>
            </w:r>
          </w:p>
        </w:tc>
      </w:tr>
      <w:tr>
        <w:tc>
          <w:tcPr>
            <w:tcW w:type="dxa" w:w="33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Gradient Boosting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0.820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0.859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0.839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0.774</w:t>
            </w:r>
          </w:p>
        </w:tc>
      </w:tr>
      <w:tr>
        <w:tc>
          <w:tcPr>
            <w:tcW w:type="dxa" w:w="33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6F8FA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5"/>
              </w:rPr>
              <w:t>Decision Tree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6F8FA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0.818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6F8FA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0.847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6F8FA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0.832</w:t>
            </w:r>
          </w:p>
        </w:tc>
        <w:tc>
          <w:tcPr>
            <w:tcW w:type="dxa" w:w="180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shd w:fill="F6F8FA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0.733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328"/>
        <w:gridCol w:w="5328"/>
      </w:tblGrid>
      <w:tr>
        <w:tc>
          <w:tcPr>
            <w:tcW w:type="dxa" w:w="5299"/>
            <w:tcMar>
              <w:top w:w="70" w:type="dxa"/>
              <w:start w:w="115" w:type="dxa"/>
              <w:bottom w:w="40" w:type="dxa"/>
              <w:end w:w="115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17365D"/>
                <w:sz w:val="19"/>
              </w:rPr>
              <w:t>Threshold Recommendation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17365D"/>
                <w:sz w:val="16"/>
              </w:rPr>
              <w:t xml:space="preserve">At 0.52: </w:t>
            </w:r>
            <w:r>
              <w:rPr>
                <w:rFonts w:ascii="Aptos" w:hAnsi="Aptos"/>
                <w:b w:val="0"/>
                <w:color w:val="000000"/>
                <w:sz w:val="16"/>
              </w:rPr>
              <w:t>precision 0.869, recall 0.859, F1 0.864, 11 false approvals, and 12 false rejections. Versus 0.50, it avoids one false approval but adds two false rejections.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6"/>
              </w:rPr>
              <w:t xml:space="preserve">Why 0.52: </w:t>
            </w:r>
            <w:r>
              <w:rPr>
                <w:rFonts w:ascii="Aptos" w:hAnsi="Aptos"/>
                <w:b w:val="0"/>
                <w:color w:val="000000"/>
                <w:sz w:val="16"/>
              </w:rPr>
              <w:t>selected from out-of-fold training predictions under an illustrative 5:1 cost for false approval versus false rejection, with recall constrained to at least 70%. Replace this assumption with verified loss, margin, review cost, risk appetite, and approval-volume targets.</w:t>
            </w:r>
          </w:p>
        </w:tc>
        <w:tc>
          <w:tcPr>
            <w:tcW w:type="dxa" w:w="5299"/>
            <w:tcMar>
              <w:top w:w="70" w:type="dxa"/>
              <w:start w:w="115" w:type="dxa"/>
              <w:bottom w:w="40" w:type="dxa"/>
              <w:end w:w="115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17365D"/>
                <w:sz w:val="19"/>
              </w:rPr>
              <w:t>Model Trade Offs and Deployment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/>
                <w:b/>
                <w:color w:val="17365D"/>
                <w:sz w:val="16"/>
              </w:rPr>
              <w:t xml:space="preserve">• Logistic Regression: </w:t>
            </w:r>
            <w:r>
              <w:rPr>
                <w:rFonts w:ascii="Aptos" w:hAnsi="Aptos"/>
                <w:b w:val="0"/>
                <w:color w:val="000000"/>
                <w:sz w:val="16"/>
              </w:rPr>
              <w:t>best metrics and clearest governance; may miss nonlinear effects.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/>
                <w:b/>
                <w:color w:val="17365D"/>
                <w:sz w:val="16"/>
              </w:rPr>
              <w:t xml:space="preserve">• Tree ensembles: </w:t>
            </w:r>
            <w:r>
              <w:rPr>
                <w:rFonts w:ascii="Aptos" w:hAnsi="Aptos"/>
                <w:b w:val="0"/>
                <w:color w:val="000000"/>
                <w:sz w:val="16"/>
              </w:rPr>
              <w:t>capture interactions; weaker here and require stronger explanation.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/>
                <w:b/>
                <w:color w:val="17365D"/>
                <w:sz w:val="16"/>
              </w:rPr>
              <w:t xml:space="preserve">• Safeguards: </w:t>
            </w:r>
            <w:r>
              <w:rPr>
                <w:rFonts w:ascii="Aptos" w:hAnsi="Aptos"/>
                <w:b w:val="0"/>
                <w:color w:val="000000"/>
                <w:sz w:val="16"/>
              </w:rPr>
              <w:t>calibrate probabilities; validate on recent out-of-time data; audit Gender and Married for fairness and legal permissibility; route borderline scores to manual review; monitor drift, defaults, overrides, calibration, and group fairness.</w:t>
            </w:r>
          </w:p>
        </w:tc>
      </w:tr>
    </w:tbl>
    <w:p>
      <w:pPr>
        <w:spacing w:before="60" w:after="20"/>
      </w:pPr>
      <w:r>
        <w:rPr>
          <w:rFonts w:ascii="Aptos" w:hAnsi="Aptos"/>
          <w:b/>
          <w:color w:val="17365D"/>
          <w:sz w:val="16"/>
        </w:rPr>
        <w:t xml:space="preserve">Project links  </w:t>
      </w:r>
      <w:hyperlink r:id="rId10">
        <w:r>
          <w:rPr>
            <w:color w:val="2F75B5"/>
            <w:u w:val="single"/>
          </w:rPr>
          <w:t>View notebook</w:t>
        </w:r>
      </w:hyperlink>
      <w:r>
        <w:rPr>
          <w:rFonts w:ascii="Aptos" w:hAnsi="Aptos"/>
          <w:b w:val="0"/>
          <w:color w:val="5B6573"/>
          <w:sz w:val="16"/>
        </w:rPr>
        <w:t xml:space="preserve">   |   </w:t>
      </w:r>
      <w:hyperlink r:id="rId11">
        <w:r>
          <w:rPr>
            <w:color w:val="2F75B5"/>
            <w:u w:val="single"/>
          </w:rPr>
          <w:t>Open GitHub repository</w:t>
        </w:r>
      </w:hyperlink>
    </w:p>
    <w:p>
      <w:pPr>
        <w:spacing w:before="20" w:after="0"/>
      </w:pPr>
      <w:r>
        <w:rPr>
          <w:rFonts w:ascii="Aptos" w:hAnsi="Aptos"/>
          <w:b/>
          <w:color w:val="17365D"/>
          <w:sz w:val="16"/>
        </w:rPr>
        <w:t xml:space="preserve">Conclusion. </w:t>
      </w:r>
      <w:r>
        <w:rPr>
          <w:rFonts w:ascii="Aptos" w:hAnsi="Aptos"/>
          <w:b w:val="0"/>
          <w:color w:val="000000"/>
          <w:sz w:val="16"/>
        </w:rPr>
        <w:t>The project meets the case-study objective with a reproducible modeling pipeline and cost-aware threshold analysis. Use the model as decision support, not as an autonomous lending decision, until calibration, fairness, compliance, and out-of-time validation are complete.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KartikKachwahe/loan-approval-prediction-project/blob/main/notebook/Alfido_Tech_Loan_Approval_Prediction.ipynb" TargetMode="External"/><Relationship Id="rId11" Type="http://schemas.openxmlformats.org/officeDocument/2006/relationships/hyperlink" Target="https://github.com/KartikKachwahe/loan-approval-prediction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Approval Prediction Executive Report</dc:title>
  <dc:subject>Model trade-offs and suggested deployment threshold</dc:subject>
  <dc:creator>Kartik Kachwahe</dc:creator>
  <cp:keywords>loan approval, machine learning, SMOTE, logistic regression, deployment threshold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