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pBdr>
        <w:spacing w:before="200" w:after="160"/>
        <w:jc w:val="center"/>
      </w:pPr>
      <w:r>
        <w:rPr>
          <w:rFonts w:ascii="Arial" w:cs="Arial" w:eastAsia="Arial" w:hAnsi="Arial"/>
          <w:b/>
          <w:bCs/>
          <w:color w:val="1F4E79"/>
          <w:sz w:val="36"/>
          <w:szCs w:val="36"/>
        </w:rPr>
        <w:t xml:space="preserve">A Practical Customer Analytics Platform for Segmentation, Churn Risk Assessment, and Recommendation in E-Commerce</w:t>
      </w:r>
    </w:p>
    <w:p>
      <w:pPr>
        <w:spacing w:before="60" w:after="240"/>
        <w:jc w:val="center"/>
      </w:pPr>
      <w:r>
        <w:rPr>
          <w:rFonts w:ascii="Arial" w:cs="Arial" w:eastAsia="Arial" w:hAnsi="Arial"/>
          <w:i/>
          <w:iCs/>
          <w:color w:val="555555"/>
          <w:sz w:val="18"/>
          <w:szCs w:val="18"/>
        </w:rPr>
        <w:t xml:space="preserve">Submitted to: IEEE Transactions on Knowledge and Data Engineering  ·  2026</w:t>
      </w:r>
    </w:p>
    <w:p>
      <w:pPr>
        <w:spacing w:before="160" w:after="60"/>
      </w:pPr>
      <w:r>
        <w:rPr>
          <w:rFonts w:ascii="Arial" w:cs="Arial" w:eastAsia="Arial" w:hAnsi="Arial"/>
          <w:b/>
          <w:bCs/>
          <w:color w:val="1F4E79"/>
          <w:sz w:val="22"/>
          <w:szCs w:val="22"/>
        </w:rPr>
        <w:t xml:space="preserve">Abstract</w:t>
      </w:r>
    </w:p>
    <w:p>
      <w:pPr>
        <w:shd w:fill="E9F0F8" w:val="clear"/>
        <w:spacing w:before="40" w:after="80"/>
        <w:ind w:left="200" w:right="20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In the contemporary e-commerce landscape, the ability to transform raw transactional data into actionable business intelligence is a primary competitive advantage. This paper presents a holistic, end-to-end customer analytics platform designed to bridge the gap between complex machine learning models and end-user decision-making. The proposed system integrates four core modules: RFM-based customer segmentation using K-Means clustering, a weighted rule-based churn risk assessment engine, an association-rule-inspired recommendation system, and anomaly detection via Isolation Forests. Developed using a decoupled architecture with a React.js frontend and a Flask-based RESTful API, the platform enables real-time data processing and interactive visualization. Experimental results on a benchmark 1,000-customer transactional dataset demonstrate high granularity in identifying high-value "Champion" segments and a 92% effectiveness rate in flagging at-risk customers, with a Silhouette Score of 0.62 confirming cluster quality. The study concludes with a discussion on the scalability of the architecture and planned integration of Explainable AI (XAI) for future iterations.</w:t>
      </w:r>
    </w:p>
    <w:p>
      <w:pPr>
        <w:shd w:fill="E9F0F8" w:val="clear"/>
        <w:spacing w:before="60" w:after="160"/>
        <w:ind w:left="200" w:right="200"/>
      </w:pPr>
      <w:r>
        <w:rPr>
          <w:rFonts w:ascii="Times New Roman" w:cs="Times New Roman" w:eastAsia="Times New Roman" w:hAnsi="Times New Roman"/>
          <w:b/>
          <w:bCs/>
          <w:sz w:val="19"/>
          <w:szCs w:val="19"/>
        </w:rPr>
        <w:t xml:space="preserve">Keywords—</w:t>
      </w:r>
      <w:r>
        <w:rPr>
          <w:rFonts w:ascii="Times New Roman" w:cs="Times New Roman" w:eastAsia="Times New Roman" w:hAnsi="Times New Roman"/>
          <w:i/>
          <w:iCs/>
          <w:sz w:val="19"/>
          <w:szCs w:val="19"/>
        </w:rPr>
        <w:t xml:space="preserve">Customer Analytics, RFM Model, K-Means Clustering, Churn Prediction, E-commerce, Data Mining, Isolation Forest, Web Architecture, Explainable AI.</w:t>
      </w:r>
    </w:p>
    <w:p>
      <w:pPr>
        <w:pBdr>
          <w:bottom w:val="single" w:color="2E75B6" w:sz="4"/>
        </w:pBdr>
        <w:shd w:fill="1F4E79" w:val="clear"/>
        <w:spacing w:before="280" w:after="120"/>
        <w:ind w:left="200" w:right="200"/>
      </w:pPr>
      <w:r>
        <w:rPr>
          <w:rFonts w:ascii="Arial" w:cs="Arial" w:eastAsia="Arial" w:hAnsi="Arial"/>
          <w:b/>
          <w:bCs/>
          <w:color w:val="FFFFFF"/>
          <w:sz w:val="26"/>
          <w:szCs w:val="26"/>
        </w:rPr>
        <w:t xml:space="preserve">1.  Introduction</w:t>
      </w:r>
    </w:p>
    <w:p>
      <w:pPr>
        <w:spacing w:before="60" w:after="60"/>
        <w:jc w:val="both"/>
      </w:pPr>
      <w:r>
        <w:rPr>
          <w:rFonts w:ascii="Times New Roman" w:cs="Times New Roman" w:eastAsia="Times New Roman" w:hAnsi="Times New Roman"/>
          <w:sz w:val="20"/>
          <w:szCs w:val="20"/>
        </w:rPr>
        <w:t xml:space="preserve">The exponential growth of online retail has transitioned the focus of business strategy from customer acquisition to customer retention and lifetime value (LTV) maximization. Modern e-commerce platforms generate high-velocity, high-volume transactional data encompassing purchase history, browsing patterns, and demographic attributes. Despite the abundance of data, many Small and Medium Enterprises (SMEs) lack the infrastructure to synthesize this data into a unified, actionable view.</w:t>
      </w:r>
    </w:p>
    <w:p>
      <w:pPr>
        <w:spacing w:before="40" w:after="40"/>
      </w:pPr>
      <w:r>
        <w:t xml:space="preserve"/>
      </w:r>
    </w:p>
    <w:p>
      <w:pPr>
        <w:spacing w:before="60" w:after="60"/>
        <w:jc w:val="both"/>
      </w:pPr>
      <w:r>
        <w:rPr>
          <w:rFonts w:ascii="Times New Roman" w:cs="Times New Roman" w:eastAsia="Times New Roman" w:hAnsi="Times New Roman"/>
          <w:sz w:val="20"/>
          <w:szCs w:val="20"/>
        </w:rPr>
        <w:t xml:space="preserve">Current market solutions bifurcate into two categories: high-cost enterprise suites—such as Salesforce and Adobe Analytics—that demand extensive integration resources, or isolated open-source libraries requiring deep programming expertise to operationalize. A significant void remains for a unified, mid-weight, automated platform that provides:</w:t>
      </w:r>
    </w:p>
    <w:p>
      <w:pPr>
        <w:pStyle w:val="ListParagraph"/>
        <w:numPr>
          <w:ilvl w:val="0"/>
          <w:numId w:val="2"/>
        </w:numPr>
        <w:spacing w:before="40" w:after="40"/>
      </w:pPr>
      <w:r>
        <w:rPr>
          <w:rFonts w:ascii="Times New Roman" w:cs="Times New Roman" w:eastAsia="Times New Roman" w:hAnsi="Times New Roman"/>
          <w:sz w:val="20"/>
          <w:szCs w:val="20"/>
        </w:rPr>
        <w:t xml:space="preserve">Automated ETL (Extract, Transform, Load): Converting raw CSV/JSON transaction logs into structured analytical feature vectors.</w:t>
      </w:r>
    </w:p>
    <w:p>
      <w:pPr>
        <w:pStyle w:val="ListParagraph"/>
        <w:numPr>
          <w:ilvl w:val="0"/>
          <w:numId w:val="2"/>
        </w:numPr>
        <w:spacing w:before="40" w:after="40"/>
      </w:pPr>
      <w:r>
        <w:rPr>
          <w:rFonts w:ascii="Times New Roman" w:cs="Times New Roman" w:eastAsia="Times New Roman" w:hAnsi="Times New Roman"/>
          <w:sz w:val="20"/>
          <w:szCs w:val="20"/>
        </w:rPr>
        <w:t xml:space="preserve">Multidimensional Segmentation: Going beyond simple demographic grouping using behavioral data.</w:t>
      </w:r>
    </w:p>
    <w:p>
      <w:pPr>
        <w:pStyle w:val="ListParagraph"/>
        <w:numPr>
          <w:ilvl w:val="0"/>
          <w:numId w:val="2"/>
        </w:numPr>
        <w:spacing w:before="40" w:after="40"/>
      </w:pPr>
      <w:r>
        <w:rPr>
          <w:rFonts w:ascii="Times New Roman" w:cs="Times New Roman" w:eastAsia="Times New Roman" w:hAnsi="Times New Roman"/>
          <w:sz w:val="20"/>
          <w:szCs w:val="20"/>
        </w:rPr>
        <w:t xml:space="preserve">Predictive Risk Scoring: Identifying churn propensity before it occurs, without requiring pre-labeled historical data.</w:t>
      </w:r>
    </w:p>
    <w:p>
      <w:pPr>
        <w:pStyle w:val="ListParagraph"/>
        <w:numPr>
          <w:ilvl w:val="0"/>
          <w:numId w:val="2"/>
        </w:numPr>
        <w:spacing w:before="40" w:after="40"/>
      </w:pPr>
      <w:r>
        <w:rPr>
          <w:rFonts w:ascii="Times New Roman" w:cs="Times New Roman" w:eastAsia="Times New Roman" w:hAnsi="Times New Roman"/>
          <w:sz w:val="20"/>
          <w:szCs w:val="20"/>
        </w:rPr>
        <w:t xml:space="preserve">Operational Dashboards: Translating statistical outputs into interpretable visual KPIs for non-technical stakeholders.</w:t>
      </w:r>
    </w:p>
    <w:p>
      <w:pPr>
        <w:spacing w:before="40" w:after="40"/>
      </w:pPr>
      <w:r>
        <w:t xml:space="preserve"/>
      </w:r>
    </w:p>
    <w:p>
      <w:pPr>
        <w:spacing w:before="60" w:after="60"/>
        <w:jc w:val="both"/>
      </w:pPr>
      <w:r>
        <w:rPr>
          <w:rFonts w:ascii="Times New Roman" w:cs="Times New Roman" w:eastAsia="Times New Roman" w:hAnsi="Times New Roman"/>
          <w:sz w:val="20"/>
          <w:szCs w:val="20"/>
        </w:rPr>
        <w:t xml:space="preserve">This paper details the design, mathematical framework, and implementation of such a platform, emphasizing a "data-to-dashboard" pipeline architecture that democratizes access to advanced analytics.</w:t>
      </w:r>
    </w:p>
    <w:p>
      <w:pPr>
        <w:pBdr>
          <w:bottom w:val="single" w:color="2E75B6" w:sz="4"/>
        </w:pBdr>
        <w:shd w:fill="1F4E79" w:val="clear"/>
        <w:spacing w:before="280" w:after="120"/>
        <w:ind w:left="200" w:right="200"/>
      </w:pPr>
      <w:r>
        <w:rPr>
          <w:rFonts w:ascii="Arial" w:cs="Arial" w:eastAsia="Arial" w:hAnsi="Arial"/>
          <w:b/>
          <w:bCs/>
          <w:color w:val="FFFFFF"/>
          <w:sz w:val="26"/>
          <w:szCs w:val="26"/>
        </w:rPr>
        <w:t xml:space="preserve">2.  Literature Survey</w:t>
      </w:r>
    </w:p>
    <w:p>
      <w:pPr>
        <w:spacing w:before="60" w:after="60"/>
        <w:jc w:val="both"/>
      </w:pPr>
      <w:r>
        <w:rPr>
          <w:rFonts w:ascii="Times New Roman" w:cs="Times New Roman" w:eastAsia="Times New Roman" w:hAnsi="Times New Roman"/>
          <w:sz w:val="20"/>
          <w:szCs w:val="20"/>
        </w:rPr>
        <w:t xml:space="preserve">The evolution of customer analytics can be categorized across three distinct eras: the Statistical Era (Pareto/NBD probabilistic models), the Machine Learning Era (Clustering, SVMs, Random Forests), and the current Deep Learning and AI era. Each era has produced powerful individual techniques; however, synthesizing them into an accessible, real-time web platform remains an emerging area of research.</w:t>
      </w:r>
    </w:p>
    <w:p>
      <w:pPr>
        <w:spacing w:before="40" w:after="40"/>
      </w:pPr>
      <w:r>
        <w:t xml:space="preserve"/>
      </w:r>
    </w:p>
    <w:p>
      <w:pPr>
        <w:pBdr>
          <w:bottom w:val="single" w:color="AACCDD" w:sz="2"/>
        </w:pBdr>
        <w:spacing w:before="200" w:after="80"/>
      </w:pPr>
      <w:r>
        <w:rPr>
          <w:rFonts w:ascii="Arial" w:cs="Arial" w:eastAsia="Arial" w:hAnsi="Arial"/>
          <w:b/>
          <w:bCs/>
          <w:color w:val="2E75B6"/>
          <w:sz w:val="23"/>
          <w:szCs w:val="23"/>
        </w:rPr>
        <w:t xml:space="preserve">2.1  Comparative Analysis of Prior Work</w:t>
      </w:r>
    </w:p>
    <w:p>
      <w:pPr>
        <w:spacing w:before="60" w:after="60"/>
        <w:jc w:val="both"/>
      </w:pPr>
      <w:r>
        <w:rPr>
          <w:rFonts w:ascii="Times New Roman" w:cs="Times New Roman" w:eastAsia="Times New Roman" w:hAnsi="Times New Roman"/>
          <w:sz w:val="20"/>
          <w:szCs w:val="20"/>
        </w:rPr>
        <w:t xml:space="preserve">Table I presents a structured review of recent methodologies, highlighting the gap filled by the proposed system.</w:t>
      </w:r>
    </w:p>
    <w:p>
      <w:pPr>
        <w:spacing w:before="40" w:after="40"/>
      </w:pPr>
      <w:r>
        <w:t xml:space="preserve"/>
      </w:r>
    </w:p>
    <w:p>
      <w:pPr>
        <w:spacing w:before="120" w:after="60"/>
        <w:jc w:val="center"/>
      </w:pPr>
      <w:r>
        <w:rPr>
          <w:rFonts w:ascii="Arial" w:cs="Arial" w:eastAsia="Arial" w:hAnsi="Arial"/>
          <w:b/>
          <w:bCs/>
          <w:color w:val="2E75B6"/>
          <w:sz w:val="18"/>
          <w:szCs w:val="18"/>
        </w:rPr>
        <w:t xml:space="preserve">Table I: Analysis of Existing Methodologies and Research Gaps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1800"/>
        <w:gridCol w:w="1700"/>
        <w:gridCol w:w="2100"/>
      </w:tblGrid>
      <w:tr>
        <w:trPr>
          <w:tblHeader/>
        </w:trPr>
        <w:tc>
          <w:tcPr>
            <w:tcW w:type="dxa" w:w="17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 / Source</w:t>
            </w:r>
          </w:p>
        </w:tc>
        <w:tc>
          <w:tcPr>
            <w:tcW w:type="dxa" w:w="7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dxa" w:w="18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Methodology</w:t>
            </w:r>
          </w:p>
        </w:tc>
        <w:tc>
          <w:tcPr>
            <w:tcW w:type="dxa" w:w="17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Core Strength</w:t>
            </w:r>
          </w:p>
        </w:tc>
        <w:tc>
          <w:tcPr>
            <w:tcW w:type="dxa" w:w="21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Identified Gap</w:t>
            </w:r>
          </w:p>
        </w:tc>
      </w:tr>
      <w:tr>
        <w:tc>
          <w:tcPr>
            <w:tcW w:type="dxa" w:w="17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Zhang et al.</w:t>
            </w:r>
          </w:p>
        </w:tc>
        <w:tc>
          <w:tcPr>
            <w:tcW w:type="dxa" w:w="7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2021</w:t>
            </w:r>
          </w:p>
        </w:tc>
        <w:tc>
          <w:tcPr>
            <w:tcW w:type="dxa" w:w="18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RFM + K-Means</w:t>
            </w:r>
          </w:p>
        </w:tc>
        <w:tc>
          <w:tcPr>
            <w:tcW w:type="dxa" w:w="17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Simple, interpretable</w:t>
            </w:r>
          </w:p>
        </w:tc>
        <w:tc>
          <w:tcPr>
            <w:tcW w:type="dxa" w:w="21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Static; no churn prediction</w:t>
            </w:r>
          </w:p>
        </w:tc>
      </w:tr>
      <w:tr>
        <w:tc>
          <w:tcPr>
            <w:tcW w:type="dxa" w:w="17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Kumar &amp; Reinartz</w:t>
            </w:r>
          </w:p>
        </w:tc>
        <w:tc>
          <w:tcPr>
            <w:tcW w:type="dxa" w:w="7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2022</w:t>
            </w:r>
          </w:p>
        </w:tc>
        <w:tc>
          <w:tcPr>
            <w:tcW w:type="dxa" w:w="18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Random Forest</w:t>
            </w:r>
          </w:p>
        </w:tc>
        <w:tc>
          <w:tcPr>
            <w:tcW w:type="dxa" w:w="17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High churn accuracy</w:t>
            </w:r>
          </w:p>
        </w:tc>
        <w:tc>
          <w:tcPr>
            <w:tcW w:type="dxa" w:w="21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Requires labeled churn data</w:t>
            </w:r>
          </w:p>
        </w:tc>
      </w:tr>
      <w:tr>
        <w:tc>
          <w:tcPr>
            <w:tcW w:type="dxa" w:w="17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Gupta et al.</w:t>
            </w:r>
          </w:p>
        </w:tc>
        <w:tc>
          <w:tcPr>
            <w:tcW w:type="dxa" w:w="7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2023</w:t>
            </w:r>
          </w:p>
        </w:tc>
        <w:tc>
          <w:tcPr>
            <w:tcW w:type="dxa" w:w="18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DBSCAN Clustering</w:t>
            </w:r>
          </w:p>
        </w:tc>
        <w:tc>
          <w:tcPr>
            <w:tcW w:type="dxa" w:w="17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Noise-resilient</w:t>
            </w:r>
          </w:p>
        </w:tc>
        <w:tc>
          <w:tcPr>
            <w:tcW w:type="dxa" w:w="21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Computationally expensive</w:t>
            </w:r>
          </w:p>
        </w:tc>
      </w:tr>
      <w:tr>
        <w:tc>
          <w:tcPr>
            <w:tcW w:type="dxa" w:w="17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Lee et al.</w:t>
            </w:r>
          </w:p>
        </w:tc>
        <w:tc>
          <w:tcPr>
            <w:tcW w:type="dxa" w:w="7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2024</w:t>
            </w:r>
          </w:p>
        </w:tc>
        <w:tc>
          <w:tcPr>
            <w:tcW w:type="dxa" w:w="18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XGBoost</w:t>
            </w:r>
          </w:p>
        </w:tc>
        <w:tc>
          <w:tcPr>
            <w:tcW w:type="dxa" w:w="17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High performance</w:t>
            </w:r>
          </w:p>
        </w:tc>
        <w:tc>
          <w:tcPr>
            <w:tcW w:type="dxa" w:w="21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Needs extensive tuning</w:t>
            </w:r>
          </w:p>
        </w:tc>
      </w:tr>
      <w:tr>
        <w:tc>
          <w:tcPr>
            <w:tcW w:type="dxa" w:w="17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Sharma et al.</w:t>
            </w:r>
          </w:p>
        </w:tc>
        <w:tc>
          <w:tcPr>
            <w:tcW w:type="dxa" w:w="7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2025</w:t>
            </w:r>
          </w:p>
        </w:tc>
        <w:tc>
          <w:tcPr>
            <w:tcW w:type="dxa" w:w="18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Deep Learning (LSTM)</w:t>
            </w:r>
          </w:p>
        </w:tc>
        <w:tc>
          <w:tcPr>
            <w:tcW w:type="dxa" w:w="17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Temporal modeling</w:t>
            </w:r>
          </w:p>
        </w:tc>
        <w:tc>
          <w:tcPr>
            <w:tcW w:type="dxa" w:w="21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Data-intensive pipeline</w:t>
            </w:r>
          </w:p>
        </w:tc>
      </w:tr>
      <w:tr>
        <w:tc>
          <w:tcPr>
            <w:tcW w:type="dxa" w:w="17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Proposed System</w:t>
            </w:r>
          </w:p>
        </w:tc>
        <w:tc>
          <w:tcPr>
            <w:tcW w:type="dxa" w:w="7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2026</w:t>
            </w:r>
          </w:p>
        </w:tc>
        <w:tc>
          <w:tcPr>
            <w:tcW w:type="dxa" w:w="18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Hybrid RFM-ML</w:t>
            </w:r>
          </w:p>
        </w:tc>
        <w:tc>
          <w:tcPr>
            <w:tcW w:type="dxa" w:w="17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End-to-end integration</w:t>
            </w:r>
          </w:p>
        </w:tc>
        <w:tc>
          <w:tcPr>
            <w:tcW w:type="dxa" w:w="21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Requires initial weight tuning</w:t>
            </w:r>
          </w:p>
        </w:tc>
      </w:tr>
    </w:tbl>
    <w:p>
      <w:pPr>
        <w:spacing w:before="40" w:after="40"/>
      </w:pPr>
      <w:r>
        <w:t xml:space="preserve"/>
      </w:r>
    </w:p>
    <w:p>
      <w:pPr>
        <w:pBdr>
          <w:bottom w:val="single" w:color="2E75B6" w:sz="4"/>
        </w:pBdr>
        <w:shd w:fill="1F4E79" w:val="clear"/>
        <w:spacing w:before="280" w:after="120"/>
        <w:ind w:left="200" w:right="200"/>
      </w:pPr>
      <w:r>
        <w:rPr>
          <w:rFonts w:ascii="Arial" w:cs="Arial" w:eastAsia="Arial" w:hAnsi="Arial"/>
          <w:b/>
          <w:bCs/>
          <w:color w:val="FFFFFF"/>
          <w:sz w:val="26"/>
          <w:szCs w:val="26"/>
        </w:rPr>
        <w:t xml:space="preserve">3.  System Architecture</w:t>
      </w:r>
    </w:p>
    <w:p>
      <w:pPr>
        <w:spacing w:before="60" w:after="60"/>
        <w:jc w:val="both"/>
      </w:pPr>
      <w:r>
        <w:rPr>
          <w:rFonts w:ascii="Times New Roman" w:cs="Times New Roman" w:eastAsia="Times New Roman" w:hAnsi="Times New Roman"/>
          <w:sz w:val="20"/>
          <w:szCs w:val="20"/>
        </w:rPr>
        <w:t xml:space="preserve">The platform adopts a microservices-inspired, three-tier decoupled architecture, ensuring that the computationally intensive ML inference layer does not degrade the responsiveness of the User Interface. A loose coupling between tiers allows each component to be scaled or replaced independently.</w:t>
      </w:r>
    </w:p>
    <w:p>
      <w:pPr>
        <w:spacing w:before="40" w:after="40"/>
      </w:pPr>
      <w:r>
        <w:t xml:space="preserve"/>
      </w:r>
    </w:p>
    <w:p>
      <w:pPr>
        <w:pBdr>
          <w:bottom w:val="single" w:color="AACCDD" w:sz="2"/>
        </w:pBdr>
        <w:spacing w:before="200" w:after="80"/>
      </w:pPr>
      <w:r>
        <w:rPr>
          <w:rFonts w:ascii="Arial" w:cs="Arial" w:eastAsia="Arial" w:hAnsi="Arial"/>
          <w:b/>
          <w:bCs/>
          <w:color w:val="2E75B6"/>
          <w:sz w:val="23"/>
          <w:szCs w:val="23"/>
        </w:rPr>
        <w:t xml:space="preserve">3.1  Data Tier</w:t>
      </w:r>
    </w:p>
    <w:p>
      <w:pPr>
        <w:spacing w:before="60" w:after="60"/>
        <w:jc w:val="both"/>
      </w:pPr>
      <w:r>
        <w:rPr>
          <w:rFonts w:ascii="Times New Roman" w:cs="Times New Roman" w:eastAsia="Times New Roman" w:hAnsi="Times New Roman"/>
          <w:sz w:val="20"/>
          <w:szCs w:val="20"/>
        </w:rPr>
        <w:t xml:space="preserve">The data tier supports heterogeneous input sources. Ingestion is handled through a multipart file-stream process that validates incoming records against a predefined schema: {Timestamp, CustomerID, ProductSKU, TransactionAmount}. A data contract layer rejects malformed rows prior to pipeline entry, ensuring downstream model integrity.</w:t>
      </w:r>
    </w:p>
    <w:p>
      <w:pPr>
        <w:spacing w:before="40" w:after="40"/>
      </w:pPr>
      <w:r>
        <w:t xml:space="preserve"/>
      </w:r>
    </w:p>
    <w:p>
      <w:pPr>
        <w:pBdr>
          <w:bottom w:val="single" w:color="AACCDD" w:sz="2"/>
        </w:pBdr>
        <w:spacing w:before="200" w:after="80"/>
      </w:pPr>
      <w:r>
        <w:rPr>
          <w:rFonts w:ascii="Arial" w:cs="Arial" w:eastAsia="Arial" w:hAnsi="Arial"/>
          <w:b/>
          <w:bCs/>
          <w:color w:val="2E75B6"/>
          <w:sz w:val="23"/>
          <w:szCs w:val="23"/>
        </w:rPr>
        <w:t xml:space="preserve">3.2  Logic Tier — Flask Backend</w:t>
      </w:r>
    </w:p>
    <w:p>
      <w:pPr>
        <w:spacing w:before="60" w:after="60"/>
        <w:jc w:val="both"/>
      </w:pPr>
      <w:r>
        <w:rPr>
          <w:rFonts w:ascii="Times New Roman" w:cs="Times New Roman" w:eastAsia="Times New Roman" w:hAnsi="Times New Roman"/>
          <w:sz w:val="20"/>
          <w:szCs w:val="20"/>
        </w:rPr>
        <w:t xml:space="preserve">The backend acts as the central orchestrator. It exposes a RESTful API that accepts processed feature vectors and returns segmentation labels, churn scores, and anomaly flags. The Python analytics engine utilizes:</w:t>
      </w:r>
    </w:p>
    <w:p>
      <w:pPr>
        <w:pStyle w:val="ListParagraph"/>
        <w:numPr>
          <w:ilvl w:val="0"/>
          <w:numId w:val="3"/>
        </w:numPr>
        <w:spacing w:before="40" w:after="40"/>
      </w:pPr>
      <w:r>
        <w:rPr>
          <w:rFonts w:ascii="Times New Roman" w:cs="Times New Roman" w:eastAsia="Times New Roman" w:hAnsi="Times New Roman"/>
          <w:sz w:val="20"/>
          <w:szCs w:val="20"/>
        </w:rPr>
        <w:t xml:space="preserve">NumPy / Pandas: For vectorized, memory-efficient data manipulation.</w:t>
      </w:r>
    </w:p>
    <w:p>
      <w:pPr>
        <w:pStyle w:val="ListParagraph"/>
        <w:numPr>
          <w:ilvl w:val="0"/>
          <w:numId w:val="3"/>
        </w:numPr>
        <w:spacing w:before="40" w:after="40"/>
      </w:pPr>
      <w:r>
        <w:rPr>
          <w:rFonts w:ascii="Times New Roman" w:cs="Times New Roman" w:eastAsia="Times New Roman" w:hAnsi="Times New Roman"/>
          <w:sz w:val="20"/>
          <w:szCs w:val="20"/>
        </w:rPr>
        <w:t xml:space="preserve">Scikit-Learn: For implementing K-Means++ and Isolation Forest algorithms.</w:t>
      </w:r>
    </w:p>
    <w:p>
      <w:pPr>
        <w:pStyle w:val="ListParagraph"/>
        <w:numPr>
          <w:ilvl w:val="0"/>
          <w:numId w:val="3"/>
        </w:numPr>
        <w:spacing w:before="40" w:after="40"/>
      </w:pPr>
      <w:r>
        <w:rPr>
          <w:rFonts w:ascii="Times New Roman" w:cs="Times New Roman" w:eastAsia="Times New Roman" w:hAnsi="Times New Roman"/>
          <w:sz w:val="20"/>
          <w:szCs w:val="20"/>
        </w:rPr>
        <w:t xml:space="preserve">Joblib: For model serialization, enabling rapid inference without retraining.</w:t>
      </w:r>
    </w:p>
    <w:p>
      <w:pPr>
        <w:pStyle w:val="ListParagraph"/>
        <w:numPr>
          <w:ilvl w:val="0"/>
          <w:numId w:val="3"/>
        </w:numPr>
        <w:spacing w:before="40" w:after="40"/>
      </w:pPr>
      <w:r>
        <w:rPr>
          <w:rFonts w:ascii="Times New Roman" w:cs="Times New Roman" w:eastAsia="Times New Roman" w:hAnsi="Times New Roman"/>
          <w:sz w:val="20"/>
          <w:szCs w:val="20"/>
        </w:rPr>
        <w:t xml:space="preserve">Flask-CORS: Enabling secure cross-origin communication with the frontend.</w:t>
      </w:r>
    </w:p>
    <w:p>
      <w:pPr>
        <w:spacing w:before="40" w:after="40"/>
      </w:pPr>
      <w:r>
        <w:t xml:space="preserve"/>
      </w:r>
    </w:p>
    <w:p>
      <w:pPr>
        <w:pBdr>
          <w:bottom w:val="single" w:color="AACCDD" w:sz="2"/>
        </w:pBdr>
        <w:spacing w:before="200" w:after="80"/>
      </w:pPr>
      <w:r>
        <w:rPr>
          <w:rFonts w:ascii="Arial" w:cs="Arial" w:eastAsia="Arial" w:hAnsi="Arial"/>
          <w:b/>
          <w:bCs/>
          <w:color w:val="2E75B6"/>
          <w:sz w:val="23"/>
          <w:szCs w:val="23"/>
        </w:rPr>
        <w:t xml:space="preserve">3.3  Presentation Tier — React Frontend</w:t>
      </w:r>
    </w:p>
    <w:p>
      <w:pPr>
        <w:spacing w:before="60" w:after="60"/>
        <w:jc w:val="both"/>
      </w:pPr>
      <w:r>
        <w:rPr>
          <w:rFonts w:ascii="Times New Roman" w:cs="Times New Roman" w:eastAsia="Times New Roman" w:hAnsi="Times New Roman"/>
          <w:sz w:val="20"/>
          <w:szCs w:val="20"/>
        </w:rPr>
        <w:t xml:space="preserve">The presentation layer is built with React.js and styled using Tailwind CSS. Interactive visualizations are rendered using D3.js and Chart.js. The dashboard communicates with the backend exclusively via asynchronous REST API calls, ensuring a non-blocking user experience. Real-time KPI cards update upon data submission without full page reloads.</w:t>
      </w:r>
    </w:p>
    <w:p>
      <w:pPr>
        <w:pBdr>
          <w:bottom w:val="single" w:color="2E75B6" w:sz="4"/>
        </w:pBdr>
        <w:shd w:fill="1F4E79" w:val="clear"/>
        <w:spacing w:before="280" w:after="120"/>
        <w:ind w:left="200" w:right="200"/>
      </w:pPr>
      <w:r>
        <w:rPr>
          <w:rFonts w:ascii="Arial" w:cs="Arial" w:eastAsia="Arial" w:hAnsi="Arial"/>
          <w:b/>
          <w:bCs/>
          <w:color w:val="FFFFFF"/>
          <w:sz w:val="26"/>
          <w:szCs w:val="26"/>
        </w:rPr>
        <w:t xml:space="preserve">4.  Methodology &amp; Mathematical Framework</w:t>
      </w:r>
    </w:p>
    <w:p>
      <w:pPr>
        <w:pBdr>
          <w:bottom w:val="single" w:color="AACCDD" w:sz="2"/>
        </w:pBdr>
        <w:spacing w:before="200" w:after="80"/>
      </w:pPr>
      <w:r>
        <w:rPr>
          <w:rFonts w:ascii="Arial" w:cs="Arial" w:eastAsia="Arial" w:hAnsi="Arial"/>
          <w:b/>
          <w:bCs/>
          <w:color w:val="2E75B6"/>
          <w:sz w:val="23"/>
          <w:szCs w:val="23"/>
        </w:rPr>
        <w:t xml:space="preserve">4.1  Feature Engineering — RFM Analysis</w:t>
      </w:r>
    </w:p>
    <w:p>
      <w:pPr>
        <w:spacing w:before="60" w:after="60"/>
        <w:jc w:val="both"/>
      </w:pPr>
      <w:r>
        <w:rPr>
          <w:rFonts w:ascii="Times New Roman" w:cs="Times New Roman" w:eastAsia="Times New Roman" w:hAnsi="Times New Roman"/>
          <w:sz w:val="20"/>
          <w:szCs w:val="20"/>
        </w:rPr>
        <w:t xml:space="preserve">The segmentation engine is grounded in the RFM (Recency, Frequency, Monetary) model. For each customer i in the dataset, three behavioral features are computed from the raw transaction log:</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0"/>
        <w:gridCol w:w="1800"/>
      </w:tblGrid>
      <w:tr>
        <w:tc>
          <w:tcPr>
            <w:tcW w:type="dxa" w:w="7200"/>
            <w:tcBorders>
              <w:top w:val="none" w:color="FFFFFF" w:sz="0"/>
              <w:left w:val="none" w:color="FFFFFF" w:sz="0"/>
              <w:bottom w:val="none" w:color="FFFFFF" w:sz="0"/>
              <w:right w:val="none" w:color="FFFFFF" w:sz="0"/>
            </w:tcBorders>
            <w:shd w:fill="EBF4FB" w:val="clear"/>
            <w:tcMar>
              <w:top w:type="dxa" w:w="100"/>
              <w:left w:type="dxa" w:w="200"/>
              <w:bottom w:type="dxa" w:w="100"/>
              <w:right w:type="dxa" w:w="200"/>
            </w:tcMar>
          </w:tcPr>
          <w:p>
            <w:pPr>
              <w:jc w:val="left"/>
            </w:pPr>
            <w:r>
              <w:rPr>
                <w:rFonts w:ascii="Courier New" w:cs="Courier New" w:eastAsia="Courier New" w:hAnsi="Courier New"/>
                <w:b/>
                <w:bCs/>
                <w:color w:val="1A1A2E"/>
                <w:sz w:val="20"/>
                <w:szCs w:val="20"/>
              </w:rPr>
              <w:t xml:space="preserve">R_i = T_current - max(T_i,transactions)</w:t>
            </w:r>
          </w:p>
        </w:tc>
        <w:tc>
          <w:tcPr>
            <w:tcW w:type="dxa" w:w="1800"/>
            <w:tcBorders>
              <w:top w:val="none" w:color="FFFFFF" w:sz="0"/>
              <w:left w:val="none" w:color="FFFFFF" w:sz="0"/>
              <w:bottom w:val="none" w:color="FFFFFF" w:sz="0"/>
              <w:right w:val="none" w:color="FFFFFF" w:sz="0"/>
            </w:tcBorders>
            <w:tcMar>
              <w:top w:type="dxa" w:w="100"/>
              <w:left w:type="dxa" w:w="120"/>
              <w:bottom w:type="dxa" w:w="100"/>
              <w:right w:type="dxa" w:w="120"/>
            </w:tcMar>
          </w:tcPr>
          <w:p>
            <w:pPr>
              <w:jc w:val="right"/>
            </w:pPr>
            <w:r>
              <w:rPr>
                <w:rFonts w:ascii="Arial" w:cs="Arial" w:eastAsia="Arial" w:hAnsi="Arial"/>
                <w:i/>
                <w:iCs/>
                <w:color w:val="666666"/>
                <w:sz w:val="18"/>
                <w:szCs w:val="18"/>
              </w:rPr>
              <w:t xml:space="preserve">(1)</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0"/>
        <w:gridCol w:w="1800"/>
      </w:tblGrid>
      <w:tr>
        <w:tc>
          <w:tcPr>
            <w:tcW w:type="dxa" w:w="7200"/>
            <w:tcBorders>
              <w:top w:val="none" w:color="FFFFFF" w:sz="0"/>
              <w:left w:val="none" w:color="FFFFFF" w:sz="0"/>
              <w:bottom w:val="none" w:color="FFFFFF" w:sz="0"/>
              <w:right w:val="none" w:color="FFFFFF" w:sz="0"/>
            </w:tcBorders>
            <w:shd w:fill="EBF4FB" w:val="clear"/>
            <w:tcMar>
              <w:top w:type="dxa" w:w="100"/>
              <w:left w:type="dxa" w:w="200"/>
              <w:bottom w:type="dxa" w:w="100"/>
              <w:right w:type="dxa" w:w="200"/>
            </w:tcMar>
          </w:tcPr>
          <w:p>
            <w:pPr>
              <w:jc w:val="left"/>
            </w:pPr>
            <w:r>
              <w:rPr>
                <w:rFonts w:ascii="Courier New" w:cs="Courier New" w:eastAsia="Courier New" w:hAnsi="Courier New"/>
                <w:b/>
                <w:bCs/>
                <w:color w:val="1A1A2E"/>
                <w:sz w:val="20"/>
                <w:szCs w:val="20"/>
              </w:rPr>
              <w:t xml:space="preserve">F_i = count(Transactions_i)</w:t>
            </w:r>
          </w:p>
        </w:tc>
        <w:tc>
          <w:tcPr>
            <w:tcW w:type="dxa" w:w="1800"/>
            <w:tcBorders>
              <w:top w:val="none" w:color="FFFFFF" w:sz="0"/>
              <w:left w:val="none" w:color="FFFFFF" w:sz="0"/>
              <w:bottom w:val="none" w:color="FFFFFF" w:sz="0"/>
              <w:right w:val="none" w:color="FFFFFF" w:sz="0"/>
            </w:tcBorders>
            <w:tcMar>
              <w:top w:type="dxa" w:w="100"/>
              <w:left w:type="dxa" w:w="120"/>
              <w:bottom w:type="dxa" w:w="100"/>
              <w:right w:type="dxa" w:w="120"/>
            </w:tcMar>
          </w:tcPr>
          <w:p>
            <w:pPr>
              <w:jc w:val="right"/>
            </w:pPr>
            <w:r>
              <w:rPr>
                <w:rFonts w:ascii="Arial" w:cs="Arial" w:eastAsia="Arial" w:hAnsi="Arial"/>
                <w:i/>
                <w:iCs/>
                <w:color w:val="666666"/>
                <w:sz w:val="18"/>
                <w:szCs w:val="18"/>
              </w:rPr>
              <w:t xml:space="preserve">(2)</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0"/>
        <w:gridCol w:w="1800"/>
      </w:tblGrid>
      <w:tr>
        <w:tc>
          <w:tcPr>
            <w:tcW w:type="dxa" w:w="7200"/>
            <w:tcBorders>
              <w:top w:val="none" w:color="FFFFFF" w:sz="0"/>
              <w:left w:val="none" w:color="FFFFFF" w:sz="0"/>
              <w:bottom w:val="none" w:color="FFFFFF" w:sz="0"/>
              <w:right w:val="none" w:color="FFFFFF" w:sz="0"/>
            </w:tcBorders>
            <w:shd w:fill="EBF4FB" w:val="clear"/>
            <w:tcMar>
              <w:top w:type="dxa" w:w="100"/>
              <w:left w:type="dxa" w:w="200"/>
              <w:bottom w:type="dxa" w:w="100"/>
              <w:right w:type="dxa" w:w="200"/>
            </w:tcMar>
          </w:tcPr>
          <w:p>
            <w:pPr>
              <w:jc w:val="left"/>
            </w:pPr>
            <w:r>
              <w:rPr>
                <w:rFonts w:ascii="Courier New" w:cs="Courier New" w:eastAsia="Courier New" w:hAnsi="Courier New"/>
                <w:b/>
                <w:bCs/>
                <w:color w:val="1A1A2E"/>
                <w:sz w:val="20"/>
                <w:szCs w:val="20"/>
              </w:rPr>
              <w:t xml:space="preserve">M_i = sum(TransactionAmount_i)</w:t>
            </w:r>
          </w:p>
        </w:tc>
        <w:tc>
          <w:tcPr>
            <w:tcW w:type="dxa" w:w="1800"/>
            <w:tcBorders>
              <w:top w:val="none" w:color="FFFFFF" w:sz="0"/>
              <w:left w:val="none" w:color="FFFFFF" w:sz="0"/>
              <w:bottom w:val="none" w:color="FFFFFF" w:sz="0"/>
              <w:right w:val="none" w:color="FFFFFF" w:sz="0"/>
            </w:tcBorders>
            <w:tcMar>
              <w:top w:type="dxa" w:w="100"/>
              <w:left w:type="dxa" w:w="120"/>
              <w:bottom w:type="dxa" w:w="100"/>
              <w:right w:type="dxa" w:w="120"/>
            </w:tcMar>
          </w:tcPr>
          <w:p>
            <w:pPr>
              <w:jc w:val="right"/>
            </w:pPr>
            <w:r>
              <w:rPr>
                <w:rFonts w:ascii="Arial" w:cs="Arial" w:eastAsia="Arial" w:hAnsi="Arial"/>
                <w:i/>
                <w:iCs/>
                <w:color w:val="666666"/>
                <w:sz w:val="18"/>
                <w:szCs w:val="18"/>
              </w:rPr>
              <w:t xml:space="preserve">(3)</w:t>
            </w:r>
          </w:p>
        </w:tc>
      </w:tr>
    </w:tbl>
    <w:p>
      <w:pPr>
        <w:spacing w:before="40" w:after="40"/>
      </w:pPr>
      <w:r>
        <w:t xml:space="preserve"/>
      </w:r>
    </w:p>
    <w:p>
      <w:pPr>
        <w:spacing w:before="60" w:after="60"/>
        <w:jc w:val="both"/>
      </w:pPr>
      <w:r>
        <w:rPr>
          <w:rFonts w:ascii="Times New Roman" w:cs="Times New Roman" w:eastAsia="Times New Roman" w:hAnsi="Times New Roman"/>
          <w:sz w:val="20"/>
          <w:szCs w:val="20"/>
        </w:rPr>
        <w:t xml:space="preserve">Prior to clustering, all three features are standardized to zero mean and unit variance (Z-score normalization) to prevent the high-magnitude Monetary dimension from dominating the Euclidean distance metric used in K-Means.</w:t>
      </w:r>
    </w:p>
    <w:p>
      <w:pPr>
        <w:spacing w:before="40" w:after="40"/>
      </w:pPr>
      <w:r>
        <w:t xml:space="preserve"/>
      </w:r>
    </w:p>
    <w:p>
      <w:pPr>
        <w:pBdr>
          <w:bottom w:val="single" w:color="AACCDD" w:sz="2"/>
        </w:pBdr>
        <w:spacing w:before="200" w:after="80"/>
      </w:pPr>
      <w:r>
        <w:rPr>
          <w:rFonts w:ascii="Arial" w:cs="Arial" w:eastAsia="Arial" w:hAnsi="Arial"/>
          <w:b/>
          <w:bCs/>
          <w:color w:val="2E75B6"/>
          <w:sz w:val="23"/>
          <w:szCs w:val="23"/>
        </w:rPr>
        <w:t xml:space="preserve">4.2  K-Means++ Clustering</w:t>
      </w:r>
    </w:p>
    <w:p>
      <w:pPr>
        <w:spacing w:before="60" w:after="60"/>
        <w:jc w:val="both"/>
      </w:pPr>
      <w:r>
        <w:rPr>
          <w:rFonts w:ascii="Times New Roman" w:cs="Times New Roman" w:eastAsia="Times New Roman" w:hAnsi="Times New Roman"/>
          <w:sz w:val="20"/>
          <w:szCs w:val="20"/>
        </w:rPr>
        <w:t xml:space="preserve">We employ the K-Means++ initialization strategy to minimize cluster inertia J, defined as the within-cluster sum of squared Euclidean distances: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0"/>
        <w:gridCol w:w="1800"/>
      </w:tblGrid>
      <w:tr>
        <w:tc>
          <w:tcPr>
            <w:tcW w:type="dxa" w:w="7200"/>
            <w:tcBorders>
              <w:top w:val="none" w:color="FFFFFF" w:sz="0"/>
              <w:left w:val="none" w:color="FFFFFF" w:sz="0"/>
              <w:bottom w:val="none" w:color="FFFFFF" w:sz="0"/>
              <w:right w:val="none" w:color="FFFFFF" w:sz="0"/>
            </w:tcBorders>
            <w:shd w:fill="EBF4FB" w:val="clear"/>
            <w:tcMar>
              <w:top w:type="dxa" w:w="100"/>
              <w:left w:type="dxa" w:w="200"/>
              <w:bottom w:type="dxa" w:w="100"/>
              <w:right w:type="dxa" w:w="200"/>
            </w:tcMar>
          </w:tcPr>
          <w:p>
            <w:pPr>
              <w:jc w:val="left"/>
            </w:pPr>
            <w:r>
              <w:rPr>
                <w:rFonts w:ascii="Courier New" w:cs="Courier New" w:eastAsia="Courier New" w:hAnsi="Courier New"/>
                <w:b/>
                <w:bCs/>
                <w:color w:val="1A1A2E"/>
                <w:sz w:val="20"/>
                <w:szCs w:val="20"/>
              </w:rPr>
              <w:t xml:space="preserve">J = sum_{j=1}^{k} sum_{x in C_j} ||x - mu_j||^2</w:t>
            </w:r>
          </w:p>
        </w:tc>
        <w:tc>
          <w:tcPr>
            <w:tcW w:type="dxa" w:w="1800"/>
            <w:tcBorders>
              <w:top w:val="none" w:color="FFFFFF" w:sz="0"/>
              <w:left w:val="none" w:color="FFFFFF" w:sz="0"/>
              <w:bottom w:val="none" w:color="FFFFFF" w:sz="0"/>
              <w:right w:val="none" w:color="FFFFFF" w:sz="0"/>
            </w:tcBorders>
            <w:tcMar>
              <w:top w:type="dxa" w:w="100"/>
              <w:left w:type="dxa" w:w="120"/>
              <w:bottom w:type="dxa" w:w="100"/>
              <w:right w:type="dxa" w:w="120"/>
            </w:tcMar>
          </w:tcPr>
          <w:p>
            <w:pPr>
              <w:jc w:val="right"/>
            </w:pPr>
            <w:r>
              <w:rPr>
                <w:rFonts w:ascii="Arial" w:cs="Arial" w:eastAsia="Arial" w:hAnsi="Arial"/>
                <w:i/>
                <w:iCs/>
                <w:color w:val="666666"/>
                <w:sz w:val="18"/>
                <w:szCs w:val="18"/>
              </w:rPr>
              <w:t xml:space="preserve">(4)</w:t>
            </w:r>
          </w:p>
        </w:tc>
      </w:tr>
    </w:tbl>
    <w:p>
      <w:pPr>
        <w:spacing w:before="40" w:after="40"/>
      </w:pPr>
      <w:r>
        <w:t xml:space="preserve"/>
      </w:r>
    </w:p>
    <w:p>
      <w:pPr>
        <w:spacing w:before="60" w:after="60"/>
        <w:jc w:val="both"/>
      </w:pPr>
      <w:r>
        <w:rPr>
          <w:rFonts w:ascii="Times New Roman" w:cs="Times New Roman" w:eastAsia="Times New Roman" w:hAnsi="Times New Roman"/>
          <w:sz w:val="20"/>
          <w:szCs w:val="20"/>
        </w:rPr>
        <w:t xml:space="preserve">The optimal number of clusters k is determined through joint application of the Elbow Method (seeking the inflection point in inertia vs. k) and Silhouette Analysis (maximizing the mean silhouette coefficient s(i)):</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0"/>
        <w:gridCol w:w="1800"/>
      </w:tblGrid>
      <w:tr>
        <w:tc>
          <w:tcPr>
            <w:tcW w:type="dxa" w:w="7200"/>
            <w:tcBorders>
              <w:top w:val="none" w:color="FFFFFF" w:sz="0"/>
              <w:left w:val="none" w:color="FFFFFF" w:sz="0"/>
              <w:bottom w:val="none" w:color="FFFFFF" w:sz="0"/>
              <w:right w:val="none" w:color="FFFFFF" w:sz="0"/>
            </w:tcBorders>
            <w:shd w:fill="EBF4FB" w:val="clear"/>
            <w:tcMar>
              <w:top w:type="dxa" w:w="100"/>
              <w:left w:type="dxa" w:w="200"/>
              <w:bottom w:type="dxa" w:w="100"/>
              <w:right w:type="dxa" w:w="200"/>
            </w:tcMar>
          </w:tcPr>
          <w:p>
            <w:pPr>
              <w:jc w:val="left"/>
            </w:pPr>
            <w:r>
              <w:rPr>
                <w:rFonts w:ascii="Courier New" w:cs="Courier New" w:eastAsia="Courier New" w:hAnsi="Courier New"/>
                <w:b/>
                <w:bCs/>
                <w:color w:val="1A1A2E"/>
                <w:sz w:val="20"/>
                <w:szCs w:val="20"/>
              </w:rPr>
              <w:t xml:space="preserve">s(i) = (b(i) - a(i)) / max{a(i), b(i)}</w:t>
            </w:r>
          </w:p>
        </w:tc>
        <w:tc>
          <w:tcPr>
            <w:tcW w:type="dxa" w:w="1800"/>
            <w:tcBorders>
              <w:top w:val="none" w:color="FFFFFF" w:sz="0"/>
              <w:left w:val="none" w:color="FFFFFF" w:sz="0"/>
              <w:bottom w:val="none" w:color="FFFFFF" w:sz="0"/>
              <w:right w:val="none" w:color="FFFFFF" w:sz="0"/>
            </w:tcBorders>
            <w:tcMar>
              <w:top w:type="dxa" w:w="100"/>
              <w:left w:type="dxa" w:w="120"/>
              <w:bottom w:type="dxa" w:w="100"/>
              <w:right w:type="dxa" w:w="120"/>
            </w:tcMar>
          </w:tcPr>
          <w:p>
            <w:pPr>
              <w:jc w:val="right"/>
            </w:pPr>
            <w:r>
              <w:rPr>
                <w:rFonts w:ascii="Arial" w:cs="Arial" w:eastAsia="Arial" w:hAnsi="Arial"/>
                <w:i/>
                <w:iCs/>
                <w:color w:val="666666"/>
                <w:sz w:val="18"/>
                <w:szCs w:val="18"/>
              </w:rPr>
              <w:t xml:space="preserve">(5)</w:t>
            </w:r>
          </w:p>
        </w:tc>
      </w:tr>
    </w:tbl>
    <w:p>
      <w:pPr>
        <w:spacing w:before="40" w:after="40"/>
      </w:pPr>
      <w:r>
        <w:t xml:space="preserve"/>
      </w:r>
    </w:p>
    <w:p>
      <w:pPr>
        <w:spacing w:before="60" w:after="60"/>
        <w:jc w:val="both"/>
      </w:pPr>
      <w:r>
        <w:rPr>
          <w:rFonts w:ascii="Times New Roman" w:cs="Times New Roman" w:eastAsia="Times New Roman" w:hAnsi="Times New Roman"/>
          <w:sz w:val="20"/>
          <w:szCs w:val="20"/>
        </w:rPr>
        <w:t xml:space="preserve">Where a(i) is the mean intra-cluster distance and b(i) is the mean nearest-cluster distance for observation i. Our experimental results yielded an optimal k=4 with a Silhouette Score of 0.62, indicating well-separated, statistically meaningful clusters.</w:t>
      </w:r>
    </w:p>
    <w:p>
      <w:pPr>
        <w:spacing w:before="40" w:after="40"/>
      </w:pPr>
      <w:r>
        <w:t xml:space="preserve"/>
      </w:r>
    </w:p>
    <w:p>
      <w:pPr>
        <w:pBdr>
          <w:bottom w:val="single" w:color="AACCDD" w:sz="2"/>
        </w:pBdr>
        <w:spacing w:before="200" w:after="80"/>
      </w:pPr>
      <w:r>
        <w:rPr>
          <w:rFonts w:ascii="Arial" w:cs="Arial" w:eastAsia="Arial" w:hAnsi="Arial"/>
          <w:b/>
          <w:bCs/>
          <w:color w:val="2E75B6"/>
          <w:sz w:val="23"/>
          <w:szCs w:val="23"/>
        </w:rPr>
        <w:t xml:space="preserve">4.3  Weighted Churn Risk Score (WPS)</w:t>
      </w:r>
    </w:p>
    <w:p>
      <w:pPr>
        <w:spacing w:before="60" w:after="60"/>
        <w:jc w:val="both"/>
      </w:pPr>
      <w:r>
        <w:rPr>
          <w:rFonts w:ascii="Times New Roman" w:cs="Times New Roman" w:eastAsia="Times New Roman" w:hAnsi="Times New Roman"/>
          <w:sz w:val="20"/>
          <w:szCs w:val="20"/>
        </w:rPr>
        <w:t xml:space="preserve">A key differentiator of this system is its ability to predict churn risk without requiring historically labeled churn data—a common barrier for SMEs. We define a Weighted Probability Score (WPS) as a normalized linear combination of inversely transformed RFM dimensions: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0"/>
        <w:gridCol w:w="1800"/>
      </w:tblGrid>
      <w:tr>
        <w:tc>
          <w:tcPr>
            <w:tcW w:type="dxa" w:w="7200"/>
            <w:tcBorders>
              <w:top w:val="none" w:color="FFFFFF" w:sz="0"/>
              <w:left w:val="none" w:color="FFFFFF" w:sz="0"/>
              <w:bottom w:val="none" w:color="FFFFFF" w:sz="0"/>
              <w:right w:val="none" w:color="FFFFFF" w:sz="0"/>
            </w:tcBorders>
            <w:shd w:fill="EBF4FB" w:val="clear"/>
            <w:tcMar>
              <w:top w:type="dxa" w:w="100"/>
              <w:left w:type="dxa" w:w="200"/>
              <w:bottom w:type="dxa" w:w="100"/>
              <w:right w:type="dxa" w:w="200"/>
            </w:tcMar>
          </w:tcPr>
          <w:p>
            <w:pPr>
              <w:jc w:val="left"/>
            </w:pPr>
            <w:r>
              <w:rPr>
                <w:rFonts w:ascii="Courier New" w:cs="Courier New" w:eastAsia="Courier New" w:hAnsi="Courier New"/>
                <w:b/>
                <w:bCs/>
                <w:color w:val="1A1A2E"/>
                <w:sz w:val="20"/>
                <w:szCs w:val="20"/>
              </w:rPr>
              <w:t xml:space="preserve">CS_i = alpha*(R_i/R_max) + beta*(1 - F_i/F_max) + gamma*(1 - M_i/M_max)</w:t>
            </w:r>
          </w:p>
        </w:tc>
        <w:tc>
          <w:tcPr>
            <w:tcW w:type="dxa" w:w="1800"/>
            <w:tcBorders>
              <w:top w:val="none" w:color="FFFFFF" w:sz="0"/>
              <w:left w:val="none" w:color="FFFFFF" w:sz="0"/>
              <w:bottom w:val="none" w:color="FFFFFF" w:sz="0"/>
              <w:right w:val="none" w:color="FFFFFF" w:sz="0"/>
            </w:tcBorders>
            <w:tcMar>
              <w:top w:type="dxa" w:w="100"/>
              <w:left w:type="dxa" w:w="120"/>
              <w:bottom w:type="dxa" w:w="100"/>
              <w:right w:type="dxa" w:w="120"/>
            </w:tcMar>
          </w:tcPr>
          <w:p>
            <w:pPr>
              <w:jc w:val="right"/>
            </w:pPr>
            <w:r>
              <w:rPr>
                <w:rFonts w:ascii="Arial" w:cs="Arial" w:eastAsia="Arial" w:hAnsi="Arial"/>
                <w:i/>
                <w:iCs/>
                <w:color w:val="666666"/>
                <w:sz w:val="18"/>
                <w:szCs w:val="18"/>
              </w:rPr>
              <w:t xml:space="preserve">(6)</w:t>
            </w:r>
          </w:p>
        </w:tc>
      </w:tr>
    </w:tbl>
    <w:p>
      <w:pPr>
        <w:spacing w:before="40" w:after="40"/>
      </w:pPr>
      <w:r>
        <w:t xml:space="preserve"/>
      </w:r>
    </w:p>
    <w:p>
      <w:pPr>
        <w:spacing w:before="60" w:after="60"/>
        <w:jc w:val="both"/>
      </w:pPr>
      <w:r>
        <w:rPr>
          <w:rFonts w:ascii="Times New Roman" w:cs="Times New Roman" w:eastAsia="Times New Roman" w:hAnsi="Times New Roman"/>
          <w:sz w:val="20"/>
          <w:szCs w:val="20"/>
        </w:rPr>
        <w:t xml:space="preserve">Where alpha, beta, and gamma are industry-calibrated weights (default: 0.5, 0.3, 0.2) that sum to 1.0. High Recency combined with low Frequency and low Monetary value yields a high churn score. The weights are configurable through the dashboard to accommodate different business verticals (e.g., high-frequency grocery vs. low-frequency luxury goods).</w:t>
      </w:r>
    </w:p>
    <w:p>
      <w:pPr>
        <w:spacing w:before="40" w:after="40"/>
      </w:pPr>
      <w:r>
        <w:t xml:space="preserve"/>
      </w:r>
    </w:p>
    <w:p>
      <w:pPr>
        <w:pBdr>
          <w:bottom w:val="single" w:color="AACCDD" w:sz="2"/>
        </w:pBdr>
        <w:spacing w:before="200" w:after="80"/>
      </w:pPr>
      <w:r>
        <w:rPr>
          <w:rFonts w:ascii="Arial" w:cs="Arial" w:eastAsia="Arial" w:hAnsi="Arial"/>
          <w:b/>
          <w:bCs/>
          <w:color w:val="2E75B6"/>
          <w:sz w:val="23"/>
          <w:szCs w:val="23"/>
        </w:rPr>
        <w:t xml:space="preserve">4.4  Anomaly Detection via Isolation Forest</w:t>
      </w:r>
    </w:p>
    <w:p>
      <w:pPr>
        <w:spacing w:before="60" w:after="60"/>
        <w:jc w:val="both"/>
      </w:pPr>
      <w:r>
        <w:rPr>
          <w:rFonts w:ascii="Times New Roman" w:cs="Times New Roman" w:eastAsia="Times New Roman" w:hAnsi="Times New Roman"/>
          <w:sz w:val="20"/>
          <w:szCs w:val="20"/>
        </w:rPr>
        <w:t xml:space="preserve">Prior to clustering, Isolation Forests are applied to identify and quarantine anomalous observations—such as fraudulent bulk orders or data entry errors—that would distort K-Means centroids. The algorithm exploits the observation that anomalies are few and different: they require fewer random splits to isolate in a binary tree structure, resulting in shorter average path lengths.</w:t>
      </w:r>
    </w:p>
    <w:p>
      <w:pPr>
        <w:pBdr>
          <w:bottom w:val="single" w:color="2E75B6" w:sz="4"/>
        </w:pBdr>
        <w:shd w:fill="1F4E79" w:val="clear"/>
        <w:spacing w:before="280" w:after="120"/>
        <w:ind w:left="200" w:right="200"/>
      </w:pPr>
      <w:r>
        <w:rPr>
          <w:rFonts w:ascii="Arial" w:cs="Arial" w:eastAsia="Arial" w:hAnsi="Arial"/>
          <w:b/>
          <w:bCs/>
          <w:color w:val="FFFFFF"/>
          <w:sz w:val="26"/>
          <w:szCs w:val="26"/>
        </w:rPr>
        <w:t xml:space="preserve">5.  Implementation Details</w:t>
      </w:r>
    </w:p>
    <w:p>
      <w:pPr>
        <w:pBdr>
          <w:bottom w:val="single" w:color="AACCDD" w:sz="2"/>
        </w:pBdr>
        <w:spacing w:before="200" w:after="80"/>
      </w:pPr>
      <w:r>
        <w:rPr>
          <w:rFonts w:ascii="Arial" w:cs="Arial" w:eastAsia="Arial" w:hAnsi="Arial"/>
          <w:b/>
          <w:bCs/>
          <w:color w:val="2E75B6"/>
          <w:sz w:val="23"/>
          <w:szCs w:val="23"/>
        </w:rPr>
        <w:t xml:space="preserve">5.1  Data Preprocessing Pipeline</w:t>
      </w:r>
    </w:p>
    <w:p>
      <w:pPr>
        <w:spacing w:before="60" w:after="60"/>
        <w:jc w:val="both"/>
      </w:pPr>
      <w:r>
        <w:rPr>
          <w:rFonts w:ascii="Times New Roman" w:cs="Times New Roman" w:eastAsia="Times New Roman" w:hAnsi="Times New Roman"/>
          <w:sz w:val="20"/>
          <w:szCs w:val="20"/>
        </w:rPr>
        <w:t xml:space="preserve">The preprocessing pipeline is designed to handle the characteristic "dirtiness" of real-world e-commerce transaction logs. The pipeline executes the following sequential steps:</w:t>
      </w:r>
    </w:p>
    <w:p>
      <w:pPr>
        <w:pStyle w:val="ListParagraph"/>
        <w:numPr>
          <w:ilvl w:val="0"/>
          <w:numId w:val="2"/>
        </w:numPr>
        <w:spacing w:before="40" w:after="40"/>
      </w:pPr>
      <w:r>
        <w:rPr>
          <w:rFonts w:ascii="Times New Roman" w:cs="Times New Roman" w:eastAsia="Times New Roman" w:hAnsi="Times New Roman"/>
          <w:sz w:val="20"/>
          <w:szCs w:val="20"/>
        </w:rPr>
        <w:t xml:space="preserve">Schema Validation: Reject records with missing CustomerID or negative TransactionAmount.</w:t>
      </w:r>
    </w:p>
    <w:p>
      <w:pPr>
        <w:pStyle w:val="ListParagraph"/>
        <w:numPr>
          <w:ilvl w:val="0"/>
          <w:numId w:val="2"/>
        </w:numPr>
        <w:spacing w:before="40" w:after="40"/>
      </w:pPr>
      <w:r>
        <w:rPr>
          <w:rFonts w:ascii="Times New Roman" w:cs="Times New Roman" w:eastAsia="Times New Roman" w:hAnsi="Times New Roman"/>
          <w:sz w:val="20"/>
          <w:szCs w:val="20"/>
        </w:rPr>
        <w:t xml:space="preserve">Missing Value Imputation: Fill gaps in frequency-derived features using per-customer median values.</w:t>
      </w:r>
    </w:p>
    <w:p>
      <w:pPr>
        <w:pStyle w:val="ListParagraph"/>
        <w:numPr>
          <w:ilvl w:val="0"/>
          <w:numId w:val="2"/>
        </w:numPr>
        <w:spacing w:before="40" w:after="40"/>
      </w:pPr>
      <w:r>
        <w:rPr>
          <w:rFonts w:ascii="Times New Roman" w:cs="Times New Roman" w:eastAsia="Times New Roman" w:hAnsi="Times New Roman"/>
          <w:sz w:val="20"/>
          <w:szCs w:val="20"/>
        </w:rPr>
        <w:t xml:space="preserve">Outlier Detection: Apply Isolation Forest (contamination=0.1) to flag and remove the top 10% of anomalous records.</w:t>
      </w:r>
    </w:p>
    <w:p>
      <w:pPr>
        <w:pStyle w:val="ListParagraph"/>
        <w:numPr>
          <w:ilvl w:val="0"/>
          <w:numId w:val="2"/>
        </w:numPr>
        <w:spacing w:before="40" w:after="40"/>
      </w:pPr>
      <w:r>
        <w:rPr>
          <w:rFonts w:ascii="Times New Roman" w:cs="Times New Roman" w:eastAsia="Times New Roman" w:hAnsi="Times New Roman"/>
          <w:sz w:val="20"/>
          <w:szCs w:val="20"/>
        </w:rPr>
        <w:t xml:space="preserve">Feature Scaling: Apply StandardScaler to normalize R, F, M to zero mean and unit variance.</w:t>
      </w:r>
    </w:p>
    <w:p>
      <w:pPr>
        <w:pStyle w:val="ListParagraph"/>
        <w:numPr>
          <w:ilvl w:val="0"/>
          <w:numId w:val="2"/>
        </w:numPr>
        <w:spacing w:before="40" w:after="40"/>
      </w:pPr>
      <w:r>
        <w:rPr>
          <w:rFonts w:ascii="Times New Roman" w:cs="Times New Roman" w:eastAsia="Times New Roman" w:hAnsi="Times New Roman"/>
          <w:sz w:val="20"/>
          <w:szCs w:val="20"/>
        </w:rPr>
        <w:t xml:space="preserve">RFM Computation: Calculate the three core features from the cleaned, scaled dataset.</w:t>
      </w:r>
    </w:p>
    <w:p>
      <w:pPr>
        <w:spacing w:before="40" w:after="40"/>
      </w:pPr>
      <w:r>
        <w:t xml:space="preserve"/>
      </w:r>
    </w:p>
    <w:p>
      <w:pPr>
        <w:pBdr>
          <w:bottom w:val="single" w:color="AACCDD" w:sz="2"/>
        </w:pBdr>
        <w:spacing w:before="200" w:after="80"/>
      </w:pPr>
      <w:r>
        <w:rPr>
          <w:rFonts w:ascii="Arial" w:cs="Arial" w:eastAsia="Arial" w:hAnsi="Arial"/>
          <w:b/>
          <w:bCs/>
          <w:color w:val="2E75B6"/>
          <w:sz w:val="23"/>
          <w:szCs w:val="23"/>
        </w:rPr>
        <w:t xml:space="preserve">5.2  API Endpoint Design</w:t>
      </w:r>
    </w:p>
    <w:p>
      <w:pPr>
        <w:spacing w:before="60" w:after="60"/>
        <w:jc w:val="both"/>
      </w:pPr>
      <w:r>
        <w:rPr>
          <w:rFonts w:ascii="Times New Roman" w:cs="Times New Roman" w:eastAsia="Times New Roman" w:hAnsi="Times New Roman"/>
          <w:sz w:val="20"/>
          <w:szCs w:val="20"/>
        </w:rPr>
        <w:t xml:space="preserve">The Flask backend exposes the following primary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00"/>
      </w:tblGrid>
      <w:tr>
        <w:trPr>
          <w:tblHeader/>
        </w:trPr>
        <w:tc>
          <w:tcPr>
            <w:tcW w:type="dxa" w:w="22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w:t>
            </w:r>
          </w:p>
        </w:tc>
        <w:tc>
          <w:tcPr>
            <w:tcW w:type="dxa" w:w="9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59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/api/upload</w:t>
            </w:r>
          </w:p>
        </w:tc>
        <w:tc>
          <w:tcPr>
            <w:tcW w:type="dxa" w:w="9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POST</w:t>
            </w:r>
          </w:p>
        </w:tc>
        <w:tc>
          <w:tcPr>
            <w:tcW w:type="dxa" w:w="59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Accepts CSV file; triggers preprocessing pipeline</w:t>
            </w:r>
          </w:p>
        </w:tc>
      </w:tr>
      <w:tr>
        <w:tc>
          <w:tcPr>
            <w:tcW w:type="dxa" w:w="22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/api/segment</w:t>
            </w:r>
          </w:p>
        </w:tc>
        <w:tc>
          <w:tcPr>
            <w:tcW w:type="dxa" w:w="9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GET</w:t>
            </w:r>
          </w:p>
        </w:tc>
        <w:tc>
          <w:tcPr>
            <w:tcW w:type="dxa" w:w="59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Returns K-Means cluster labels and centroids</w:t>
            </w:r>
          </w:p>
        </w:tc>
      </w:tr>
      <w:tr>
        <w:tc>
          <w:tcPr>
            <w:tcW w:type="dxa" w:w="22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/api/churn</w:t>
            </w:r>
          </w:p>
        </w:tc>
        <w:tc>
          <w:tcPr>
            <w:tcW w:type="dxa" w:w="9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GET</w:t>
            </w:r>
          </w:p>
        </w:tc>
        <w:tc>
          <w:tcPr>
            <w:tcW w:type="dxa" w:w="59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Returns churn risk scores per customer</w:t>
            </w:r>
          </w:p>
        </w:tc>
      </w:tr>
      <w:tr>
        <w:tc>
          <w:tcPr>
            <w:tcW w:type="dxa" w:w="22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/api/anomalies</w:t>
            </w:r>
          </w:p>
        </w:tc>
        <w:tc>
          <w:tcPr>
            <w:tcW w:type="dxa" w:w="9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GET</w:t>
            </w:r>
          </w:p>
        </w:tc>
        <w:tc>
          <w:tcPr>
            <w:tcW w:type="dxa" w:w="59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Returns list of flagged anomalous records</w:t>
            </w:r>
          </w:p>
        </w:tc>
      </w:tr>
      <w:tr>
        <w:tc>
          <w:tcPr>
            <w:tcW w:type="dxa" w:w="22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/api/recommend</w:t>
            </w:r>
          </w:p>
        </w:tc>
        <w:tc>
          <w:tcPr>
            <w:tcW w:type="dxa" w:w="9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POST</w:t>
            </w:r>
          </w:p>
        </w:tc>
        <w:tc>
          <w:tcPr>
            <w:tcW w:type="dxa" w:w="59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Returns product recommendations via association rules</w:t>
            </w:r>
          </w:p>
        </w:tc>
      </w:tr>
    </w:tbl>
    <w:p>
      <w:pPr>
        <w:pBdr>
          <w:bottom w:val="single" w:color="2E75B6" w:sz="4"/>
        </w:pBdr>
        <w:shd w:fill="1F4E79" w:val="clear"/>
        <w:spacing w:before="280" w:after="120"/>
        <w:ind w:left="200" w:right="200"/>
      </w:pPr>
      <w:r>
        <w:rPr>
          <w:rFonts w:ascii="Arial" w:cs="Arial" w:eastAsia="Arial" w:hAnsi="Arial"/>
          <w:b/>
          <w:bCs/>
          <w:color w:val="FFFFFF"/>
          <w:sz w:val="26"/>
          <w:szCs w:val="26"/>
        </w:rPr>
        <w:t xml:space="preserve">6.  Results and Discussion</w:t>
      </w:r>
    </w:p>
    <w:p>
      <w:pPr>
        <w:pBdr>
          <w:bottom w:val="single" w:color="AACCDD" w:sz="2"/>
        </w:pBdr>
        <w:spacing w:before="200" w:after="80"/>
      </w:pPr>
      <w:r>
        <w:rPr>
          <w:rFonts w:ascii="Arial" w:cs="Arial" w:eastAsia="Arial" w:hAnsi="Arial"/>
          <w:b/>
          <w:bCs/>
          <w:color w:val="2E75B6"/>
          <w:sz w:val="23"/>
          <w:szCs w:val="23"/>
        </w:rPr>
        <w:t xml:space="preserve">6.1  Dataset Overview</w:t>
      </w:r>
    </w:p>
    <w:p>
      <w:pPr>
        <w:spacing w:before="60" w:after="60"/>
        <w:jc w:val="both"/>
      </w:pPr>
      <w:r>
        <w:rPr>
          <w:rFonts w:ascii="Times New Roman" w:cs="Times New Roman" w:eastAsia="Times New Roman" w:hAnsi="Times New Roman"/>
          <w:sz w:val="20"/>
          <w:szCs w:val="20"/>
        </w:rPr>
        <w:t xml:space="preserve">Experiments were conducted on a benchmark transactional dataset comprising 1,000 unique customers and 734,989 units of total revenue, spanning a 12-month observation window. Table II summarizes the key dataset characteristics.</w:t>
      </w:r>
    </w:p>
    <w:p>
      <w:pPr>
        <w:spacing w:before="40" w:after="40"/>
      </w:pPr>
      <w:r>
        <w:t xml:space="preserve"/>
      </w:r>
    </w:p>
    <w:p>
      <w:pPr>
        <w:spacing w:before="120" w:after="60"/>
        <w:jc w:val="center"/>
      </w:pPr>
      <w:r>
        <w:rPr>
          <w:rFonts w:ascii="Arial" w:cs="Arial" w:eastAsia="Arial" w:hAnsi="Arial"/>
          <w:b/>
          <w:bCs/>
          <w:color w:val="2E75B6"/>
          <w:sz w:val="18"/>
          <w:szCs w:val="18"/>
        </w:rPr>
        <w:t xml:space="preserve">Table II: Experimental Dataset Summary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4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45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Total Customers</w:t>
            </w:r>
          </w:p>
        </w:tc>
        <w:tc>
          <w:tcPr>
            <w:tcW w:type="dxa" w:w="45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1,000</w:t>
            </w:r>
          </w:p>
        </w:tc>
      </w:tr>
      <w:tr>
        <w:tc>
          <w:tcPr>
            <w:tcW w:type="dxa" w:w="45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Total Revenue</w:t>
            </w:r>
          </w:p>
        </w:tc>
        <w:tc>
          <w:tcPr>
            <w:tcW w:type="dxa" w:w="45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$734,989</w:t>
            </w:r>
          </w:p>
        </w:tc>
      </w:tr>
      <w:tr>
        <w:tc>
          <w:tcPr>
            <w:tcW w:type="dxa" w:w="45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Observation Period</w:t>
            </w:r>
          </w:p>
        </w:tc>
        <w:tc>
          <w:tcPr>
            <w:tcW w:type="dxa" w:w="45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12 months</w:t>
            </w:r>
          </w:p>
        </w:tc>
      </w:tr>
      <w:tr>
        <w:tc>
          <w:tcPr>
            <w:tcW w:type="dxa" w:w="45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Mean Transactions per Customer</w:t>
            </w:r>
          </w:p>
        </w:tc>
        <w:tc>
          <w:tcPr>
            <w:tcW w:type="dxa" w:w="45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14.3</w:t>
            </w:r>
          </w:p>
        </w:tc>
      </w:tr>
      <w:tr>
        <w:tc>
          <w:tcPr>
            <w:tcW w:type="dxa" w:w="45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High Churn Risk (CS &gt; 0.7)</w:t>
            </w:r>
          </w:p>
        </w:tc>
        <w:tc>
          <w:tcPr>
            <w:tcW w:type="dxa" w:w="45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291 customers (29.1%)</w:t>
            </w:r>
          </w:p>
        </w:tc>
      </w:tr>
      <w:tr>
        <w:tc>
          <w:tcPr>
            <w:tcW w:type="dxa" w:w="45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Anomalies Detected</w:t>
            </w:r>
          </w:p>
        </w:tc>
        <w:tc>
          <w:tcPr>
            <w:tcW w:type="dxa" w:w="45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100 records (10.0%)</w:t>
            </w:r>
          </w:p>
        </w:tc>
      </w:tr>
    </w:tbl>
    <w:p>
      <w:pPr>
        <w:spacing w:before="40" w:after="40"/>
      </w:pPr>
      <w:r>
        <w:t xml:space="preserve"/>
      </w:r>
    </w:p>
    <w:p>
      <w:pPr>
        <w:pBdr>
          <w:bottom w:val="single" w:color="AACCDD" w:sz="2"/>
        </w:pBdr>
        <w:spacing w:before="200" w:after="80"/>
      </w:pPr>
      <w:r>
        <w:rPr>
          <w:rFonts w:ascii="Arial" w:cs="Arial" w:eastAsia="Arial" w:hAnsi="Arial"/>
          <w:b/>
          <w:bCs/>
          <w:color w:val="2E75B6"/>
          <w:sz w:val="23"/>
          <w:szCs w:val="23"/>
        </w:rPr>
        <w:t xml:space="preserve">6.2  Segmentation Results</w:t>
      </w:r>
    </w:p>
    <w:p>
      <w:pPr>
        <w:spacing w:before="60" w:after="60"/>
        <w:jc w:val="both"/>
      </w:pPr>
      <w:r>
        <w:rPr>
          <w:rFonts w:ascii="Times New Roman" w:cs="Times New Roman" w:eastAsia="Times New Roman" w:hAnsi="Times New Roman"/>
          <w:sz w:val="20"/>
          <w:szCs w:val="20"/>
        </w:rPr>
        <w:t xml:space="preserve">The K-Means++ algorithm with k=4 produced four behaviorally distinct customer archetypes, each with clear strategic implications. Table III details the segment distribution and recommended marketing interventions.</w:t>
      </w:r>
    </w:p>
    <w:p>
      <w:pPr>
        <w:spacing w:before="40" w:after="40"/>
      </w:pPr>
      <w:r>
        <w:t xml:space="preserve"/>
      </w:r>
    </w:p>
    <w:p>
      <w:pPr>
        <w:spacing w:before="120" w:after="60"/>
        <w:jc w:val="center"/>
      </w:pPr>
      <w:r>
        <w:rPr>
          <w:rFonts w:ascii="Arial" w:cs="Arial" w:eastAsia="Arial" w:hAnsi="Arial"/>
          <w:b/>
          <w:bCs/>
          <w:color w:val="2E75B6"/>
          <w:sz w:val="18"/>
          <w:szCs w:val="18"/>
        </w:rPr>
        <w:t xml:space="preserve">Table III: Customer Segment Profiles and Strategic Recommendations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000"/>
        <w:gridCol w:w="2200"/>
        <w:gridCol w:w="2100"/>
      </w:tblGrid>
      <w:tr>
        <w:trPr>
          <w:tblHeader/>
        </w:trPr>
        <w:tc>
          <w:tcPr>
            <w:tcW w:type="dxa" w:w="1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Segment</w:t>
            </w:r>
          </w:p>
        </w:tc>
        <w:tc>
          <w:tcPr>
            <w:tcW w:type="dxa" w:w="7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Share</w:t>
            </w:r>
          </w:p>
        </w:tc>
        <w:tc>
          <w:tcPr>
            <w:tcW w:type="dxa" w:w="20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RFM Profile</w:t>
            </w:r>
          </w:p>
        </w:tc>
        <w:tc>
          <w:tcPr>
            <w:tcW w:type="dxa" w:w="22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Business Insight</w:t>
            </w:r>
          </w:p>
        </w:tc>
        <w:tc>
          <w:tcPr>
            <w:tcW w:type="dxa" w:w="21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Strategy</w:t>
            </w:r>
          </w:p>
        </w:tc>
      </w:tr>
      <w:tr>
        <w:tc>
          <w:tcPr>
            <w:tcW w:type="dxa" w:w="15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Champions</w:t>
            </w:r>
          </w:p>
        </w:tc>
        <w:tc>
          <w:tcPr>
            <w:tcW w:type="dxa" w:w="7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14.2%</w:t>
            </w:r>
          </w:p>
        </w:tc>
        <w:tc>
          <w:tcPr>
            <w:tcW w:type="dxa" w:w="20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Low R, High F, High M</w:t>
            </w:r>
          </w:p>
        </w:tc>
        <w:tc>
          <w:tcPr>
            <w:tcW w:type="dxa" w:w="22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Recent, frequent, high-spend</w:t>
            </w:r>
          </w:p>
        </w:tc>
        <w:tc>
          <w:tcPr>
            <w:tcW w:type="dxa" w:w="21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Loyalty &amp; reward programs</w:t>
            </w:r>
          </w:p>
        </w:tc>
      </w:tr>
      <w:tr>
        <w:tc>
          <w:tcPr>
            <w:tcW w:type="dxa" w:w="15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Loyal Customers</w:t>
            </w:r>
          </w:p>
        </w:tc>
        <w:tc>
          <w:tcPr>
            <w:tcW w:type="dxa" w:w="7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29.3%</w:t>
            </w:r>
          </w:p>
        </w:tc>
        <w:tc>
          <w:tcPr>
            <w:tcW w:type="dxa" w:w="20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Low R, Mid F, Mid M</w:t>
            </w:r>
          </w:p>
        </w:tc>
        <w:tc>
          <w:tcPr>
            <w:tcW w:type="dxa" w:w="22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Regular buyers, stable value</w:t>
            </w:r>
          </w:p>
        </w:tc>
        <w:tc>
          <w:tcPr>
            <w:tcW w:type="dxa" w:w="21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Upsell &amp; cross-sell campaigns</w:t>
            </w:r>
          </w:p>
        </w:tc>
      </w:tr>
      <w:tr>
        <w:tc>
          <w:tcPr>
            <w:tcW w:type="dxa" w:w="15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At-Risk</w:t>
            </w:r>
          </w:p>
        </w:tc>
        <w:tc>
          <w:tcPr>
            <w:tcW w:type="dxa" w:w="7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50.7%</w:t>
            </w:r>
          </w:p>
        </w:tc>
        <w:tc>
          <w:tcPr>
            <w:tcW w:type="dxa" w:w="20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High R, Low F, High M</w:t>
            </w:r>
          </w:p>
        </w:tc>
        <w:tc>
          <w:tcPr>
            <w:tcW w:type="dxa" w:w="22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High-value, becoming inactive</w:t>
            </w:r>
          </w:p>
        </w:tc>
        <w:tc>
          <w:tcPr>
            <w:tcW w:type="dxa" w:w="21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Re-engagement email flows</w:t>
            </w:r>
          </w:p>
        </w:tc>
      </w:tr>
      <w:tr>
        <w:tc>
          <w:tcPr>
            <w:tcW w:type="dxa" w:w="15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Low Value</w:t>
            </w:r>
          </w:p>
        </w:tc>
        <w:tc>
          <w:tcPr>
            <w:tcW w:type="dxa" w:w="7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5.8%</w:t>
            </w:r>
          </w:p>
        </w:tc>
        <w:tc>
          <w:tcPr>
            <w:tcW w:type="dxa" w:w="20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High R, Low F, Low M</w:t>
            </w:r>
          </w:p>
        </w:tc>
        <w:tc>
          <w:tcPr>
            <w:tcW w:type="dxa" w:w="22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One-time or lapsed shoppers</w:t>
            </w:r>
          </w:p>
        </w:tc>
        <w:tc>
          <w:tcPr>
            <w:tcW w:type="dxa" w:w="21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Win-back promotions</w:t>
            </w:r>
          </w:p>
        </w:tc>
      </w:tr>
    </w:tbl>
    <w:p>
      <w:pPr>
        <w:spacing w:before="40" w:after="40"/>
      </w:pPr>
      <w:r>
        <w:t xml:space="preserve"/>
      </w:r>
    </w:p>
    <w:p>
      <w:pPr>
        <w:spacing w:before="60" w:after="60"/>
        <w:jc w:val="both"/>
      </w:pPr>
      <w:r>
        <w:rPr>
          <w:rFonts w:ascii="Times New Roman" w:cs="Times New Roman" w:eastAsia="Times New Roman" w:hAnsi="Times New Roman"/>
          <w:sz w:val="20"/>
          <w:szCs w:val="20"/>
        </w:rPr>
        <w:t xml:space="preserve">The dominance of the "At-Risk" segment (50.7%) is the most operationally significant finding. Despite historically high monetary value, these customers exhibit increasing recency, indicating disengagement. Without targeted intervention, this segment represents the highest potential revenue loss.</w:t>
      </w:r>
    </w:p>
    <w:p>
      <w:pPr>
        <w:spacing w:before="40" w:after="40"/>
      </w:pPr>
      <w:r>
        <w:t xml:space="preserve"/>
      </w:r>
    </w:p>
    <w:p>
      <w:pPr>
        <w:pBdr>
          <w:bottom w:val="single" w:color="AACCDD" w:sz="2"/>
        </w:pBdr>
        <w:spacing w:before="200" w:after="80"/>
      </w:pPr>
      <w:r>
        <w:rPr>
          <w:rFonts w:ascii="Arial" w:cs="Arial" w:eastAsia="Arial" w:hAnsi="Arial"/>
          <w:b/>
          <w:bCs/>
          <w:color w:val="2E75B6"/>
          <w:sz w:val="23"/>
          <w:szCs w:val="23"/>
        </w:rPr>
        <w:t xml:space="preserve">6.3  System Performance Metrics</w:t>
      </w:r>
    </w:p>
    <w:p>
      <w:pPr>
        <w:spacing w:before="60" w:after="60"/>
        <w:jc w:val="both"/>
      </w:pPr>
      <w:r>
        <w:rPr>
          <w:rFonts w:ascii="Times New Roman" w:cs="Times New Roman" w:eastAsia="Times New Roman" w:hAnsi="Times New Roman"/>
          <w:sz w:val="20"/>
          <w:szCs w:val="20"/>
        </w:rPr>
        <w:t xml:space="preserve">Table IV presents the quantitative evaluation of the platform across segmentation quality, predictive accuracy, and operational performance.</w:t>
      </w:r>
    </w:p>
    <w:p>
      <w:pPr>
        <w:spacing w:before="40" w:after="40"/>
      </w:pPr>
      <w:r>
        <w:t xml:space="preserve"/>
      </w:r>
    </w:p>
    <w:p>
      <w:pPr>
        <w:spacing w:before="120" w:after="60"/>
        <w:jc w:val="center"/>
      </w:pPr>
      <w:r>
        <w:rPr>
          <w:rFonts w:ascii="Arial" w:cs="Arial" w:eastAsia="Arial" w:hAnsi="Arial"/>
          <w:b/>
          <w:bCs/>
          <w:color w:val="2E75B6"/>
          <w:sz w:val="18"/>
          <w:szCs w:val="18"/>
        </w:rPr>
        <w:t xml:space="preserve">Table IV: System Evaluation Metrics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200"/>
      </w:tblGrid>
      <w:tr>
        <w:trPr>
          <w:tblHeader/>
        </w:trPr>
        <w:tc>
          <w:tcPr>
            <w:tcW w:type="dxa" w:w="2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8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42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Benchmark / Significance</w:t>
            </w:r>
          </w:p>
        </w:tc>
      </w:tr>
      <w:tr>
        <w:tc>
          <w:tcPr>
            <w:tcW w:type="dxa" w:w="25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Silhouette Score</w:t>
            </w:r>
          </w:p>
        </w:tc>
        <w:tc>
          <w:tcPr>
            <w:tcW w:type="dxa" w:w="18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0.62</w:t>
            </w:r>
          </w:p>
        </w:tc>
        <w:tc>
          <w:tcPr>
            <w:tcW w:type="dxa" w:w="42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&gt; 0.5 indicates strong cluster separation</w:t>
            </w:r>
          </w:p>
        </w:tc>
      </w:tr>
      <w:tr>
        <w:tc>
          <w:tcPr>
            <w:tcW w:type="dxa" w:w="25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Churn Detection Accuracy</w:t>
            </w:r>
          </w:p>
        </w:tc>
        <w:tc>
          <w:tcPr>
            <w:tcW w:type="dxa" w:w="18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92%</w:t>
            </w:r>
          </w:p>
        </w:tc>
        <w:tc>
          <w:tcPr>
            <w:tcW w:type="dxa" w:w="42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Validated against manually labeled subset</w:t>
            </w:r>
          </w:p>
        </w:tc>
      </w:tr>
      <w:tr>
        <w:tc>
          <w:tcPr>
            <w:tcW w:type="dxa" w:w="25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API Response Latency</w:t>
            </w:r>
          </w:p>
        </w:tc>
        <w:tc>
          <w:tcPr>
            <w:tcW w:type="dxa" w:w="18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&lt; 2 seconds</w:t>
            </w:r>
          </w:p>
        </w:tc>
        <w:tc>
          <w:tcPr>
            <w:tcW w:type="dxa" w:w="42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For datasets up to 50,000 rows</w:t>
            </w:r>
          </w:p>
        </w:tc>
      </w:tr>
      <w:tr>
        <w:tc>
          <w:tcPr>
            <w:tcW w:type="dxa" w:w="25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Scalability Ceiling</w:t>
            </w:r>
          </w:p>
        </w:tc>
        <w:tc>
          <w:tcPr>
            <w:tcW w:type="dxa" w:w="18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50,000 records</w:t>
            </w:r>
          </w:p>
        </w:tc>
        <w:tc>
          <w:tcPr>
            <w:tcW w:type="dxa" w:w="4200"/>
            <w:tcBorders>
              <w:top w:val="single" w:color="AACCDD" w:sz="1"/>
              <w:left w:val="single" w:color="AACCDD" w:sz="1"/>
              <w:bottom w:val="single" w:color="AACCDD" w:sz="1"/>
              <w:right w:val="single" w:color="AACCDD" w:sz="1"/>
            </w:tcBorders>
            <w:shd w:fill="F5F9FC"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Tested on local Flask deployment</w:t>
            </w:r>
          </w:p>
        </w:tc>
      </w:tr>
      <w:tr>
        <w:tc>
          <w:tcPr>
            <w:tcW w:type="dxa" w:w="25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left"/>
            </w:pPr>
            <w:r>
              <w:rPr>
                <w:rFonts w:ascii="Times New Roman" w:cs="Times New Roman" w:eastAsia="Times New Roman" w:hAnsi="Times New Roman"/>
                <w:sz w:val="18"/>
                <w:szCs w:val="18"/>
              </w:rPr>
              <w:t xml:space="preserve">Anomaly Detection Rate</w:t>
            </w:r>
          </w:p>
        </w:tc>
        <w:tc>
          <w:tcPr>
            <w:tcW w:type="dxa" w:w="18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10.0%</w:t>
            </w:r>
          </w:p>
        </w:tc>
        <w:tc>
          <w:tcPr>
            <w:tcW w:type="dxa" w:w="4200"/>
            <w:tcBorders>
              <w:top w:val="single" w:color="AACCDD" w:sz="1"/>
              <w:left w:val="single" w:color="AACCDD" w:sz="1"/>
              <w:bottom w:val="single" w:color="AACCDD" w:sz="1"/>
              <w:right w:val="single" w:color="AACCDD" w:sz="1"/>
            </w:tcBorders>
            <w:shd w:fill="FFFFFF" w:val="clear"/>
            <w:tcMar>
              <w:top w:type="dxa" w:w="70"/>
              <w:left w:type="dxa" w:w="120"/>
              <w:bottom w:type="dxa" w:w="70"/>
              <w:right w:type="dxa" w:w="120"/>
            </w:tcMar>
          </w:tcPr>
          <w:p>
            <w:pPr>
              <w:jc w:val="center"/>
            </w:pPr>
            <w:r>
              <w:rPr>
                <w:rFonts w:ascii="Times New Roman" w:cs="Times New Roman" w:eastAsia="Times New Roman" w:hAnsi="Times New Roman"/>
                <w:sz w:val="18"/>
                <w:szCs w:val="18"/>
              </w:rPr>
              <w:t xml:space="preserve">Contamination parameter = 0.1</w:t>
            </w:r>
          </w:p>
        </w:tc>
      </w:tr>
    </w:tbl>
    <w:p>
      <w:pPr>
        <w:pBdr>
          <w:bottom w:val="single" w:color="2E75B6" w:sz="4"/>
        </w:pBdr>
        <w:shd w:fill="1F4E79" w:val="clear"/>
        <w:spacing w:before="280" w:after="120"/>
        <w:ind w:left="200" w:right="200"/>
      </w:pPr>
      <w:r>
        <w:rPr>
          <w:rFonts w:ascii="Arial" w:cs="Arial" w:eastAsia="Arial" w:hAnsi="Arial"/>
          <w:b/>
          <w:bCs/>
          <w:color w:val="FFFFFF"/>
          <w:sz w:val="26"/>
          <w:szCs w:val="26"/>
        </w:rPr>
        <w:t xml:space="preserve">7.  Conclusion and Future Work</w:t>
      </w:r>
    </w:p>
    <w:p>
      <w:pPr>
        <w:spacing w:before="60" w:after="60"/>
        <w:jc w:val="both"/>
      </w:pPr>
      <w:r>
        <w:rPr>
          <w:rFonts w:ascii="Times New Roman" w:cs="Times New Roman" w:eastAsia="Times New Roman" w:hAnsi="Times New Roman"/>
          <w:sz w:val="20"/>
          <w:szCs w:val="20"/>
        </w:rPr>
        <w:t xml:space="preserve">This research has successfully developed, validated, and documented a practical customer analytics platform that democratizes data science capabilities for e-commerce businesses. By automating the full pipeline from raw transactional logs to RFM segmentation, churn risk scores, and product recommendations, the platform enables business stakeholders to focus on strategic intervention rather than data engineering.</w:t>
      </w:r>
    </w:p>
    <w:p>
      <w:pPr>
        <w:spacing w:before="40" w:after="40"/>
      </w:pPr>
      <w:r>
        <w:t xml:space="preserve"/>
      </w:r>
    </w:p>
    <w:p>
      <w:pPr>
        <w:spacing w:before="60" w:after="60"/>
        <w:jc w:val="both"/>
      </w:pPr>
      <w:r>
        <w:rPr>
          <w:rFonts w:ascii="Times New Roman" w:cs="Times New Roman" w:eastAsia="Times New Roman" w:hAnsi="Times New Roman"/>
          <w:sz w:val="20"/>
          <w:szCs w:val="20"/>
        </w:rPr>
        <w:t xml:space="preserve">The system's most notable technical contributions are: (1) a label-free churn scoring mechanism operable without historical churn annotations, (2) a seamlessly integrated Isolation Forest preprocessing stage that guards cluster quality, and (3) a decoupled microservices architecture enabling independent scaling of the ML inference and UI presentation layers.</w:t>
      </w:r>
    </w:p>
    <w:p>
      <w:pPr>
        <w:spacing w:before="40" w:after="40"/>
      </w:pPr>
      <w:r>
        <w:t xml:space="preserve"/>
      </w:r>
    </w:p>
    <w:p>
      <w:pPr>
        <w:pBdr>
          <w:bottom w:val="single" w:color="AACCDD" w:sz="2"/>
        </w:pBdr>
        <w:spacing w:before="200" w:after="80"/>
      </w:pPr>
      <w:r>
        <w:rPr>
          <w:rFonts w:ascii="Arial" w:cs="Arial" w:eastAsia="Arial" w:hAnsi="Arial"/>
          <w:b/>
          <w:bCs/>
          <w:color w:val="2E75B6"/>
          <w:sz w:val="23"/>
          <w:szCs w:val="23"/>
        </w:rPr>
        <w:t xml:space="preserve">7.1  Directions for Future Work</w:t>
      </w:r>
    </w:p>
    <w:p>
      <w:pPr>
        <w:pStyle w:val="ListParagraph"/>
        <w:numPr>
          <w:ilvl w:val="0"/>
          <w:numId w:val="2"/>
        </w:numPr>
        <w:spacing w:before="40" w:after="40"/>
      </w:pPr>
      <w:r>
        <w:rPr>
          <w:rFonts w:ascii="Times New Roman" w:cs="Times New Roman" w:eastAsia="Times New Roman" w:hAnsi="Times New Roman"/>
          <w:sz w:val="20"/>
          <w:szCs w:val="20"/>
        </w:rPr>
        <w:t xml:space="preserve">Natural Language Processing (NLP): Integrating sentiment scores derived from product reviews as an additional input dimension to the churn risk model, capturing attitudinal churn precursors.</w:t>
      </w:r>
    </w:p>
    <w:p>
      <w:pPr>
        <w:pStyle w:val="ListParagraph"/>
        <w:numPr>
          <w:ilvl w:val="0"/>
          <w:numId w:val="2"/>
        </w:numPr>
        <w:spacing w:before="40" w:after="40"/>
      </w:pPr>
      <w:r>
        <w:rPr>
          <w:rFonts w:ascii="Times New Roman" w:cs="Times New Roman" w:eastAsia="Times New Roman" w:hAnsi="Times New Roman"/>
          <w:sz w:val="20"/>
          <w:szCs w:val="20"/>
        </w:rPr>
        <w:t xml:space="preserve">LTV Prediction via LSTM: Employing Long Short-Term Memory recurrent networks to model temporal purchasing sequences and predict future customer lifetime value.</w:t>
      </w:r>
    </w:p>
    <w:p>
      <w:pPr>
        <w:pStyle w:val="ListParagraph"/>
        <w:numPr>
          <w:ilvl w:val="0"/>
          <w:numId w:val="2"/>
        </w:numPr>
        <w:spacing w:before="40" w:after="40"/>
      </w:pPr>
      <w:r>
        <w:rPr>
          <w:rFonts w:ascii="Times New Roman" w:cs="Times New Roman" w:eastAsia="Times New Roman" w:hAnsi="Times New Roman"/>
          <w:sz w:val="20"/>
          <w:szCs w:val="20"/>
        </w:rPr>
        <w:t xml:space="preserve">Explainable AI (XAI): Integrating SHAP (SHapley Additive exPlanations) values into the dashboard to provide per-customer feature attribution, enabling support agents to understand why a customer is flagged as high-risk.</w:t>
      </w:r>
    </w:p>
    <w:p>
      <w:pPr>
        <w:pStyle w:val="ListParagraph"/>
        <w:numPr>
          <w:ilvl w:val="0"/>
          <w:numId w:val="2"/>
        </w:numPr>
        <w:spacing w:before="40" w:after="40"/>
      </w:pPr>
      <w:r>
        <w:rPr>
          <w:rFonts w:ascii="Times New Roman" w:cs="Times New Roman" w:eastAsia="Times New Roman" w:hAnsi="Times New Roman"/>
          <w:sz w:val="20"/>
          <w:szCs w:val="20"/>
        </w:rPr>
        <w:t xml:space="preserve">Real-Time Streaming: Migrating the batch-processing pipeline to an Apache Kafka / Spark Streaming architecture to enable continuous, real-time model inference on live transaction events.</w:t>
      </w:r>
    </w:p>
    <w:p>
      <w:pPr>
        <w:pStyle w:val="ListParagraph"/>
        <w:numPr>
          <w:ilvl w:val="0"/>
          <w:numId w:val="2"/>
        </w:numPr>
        <w:spacing w:before="40" w:after="40"/>
      </w:pPr>
      <w:r>
        <w:rPr>
          <w:rFonts w:ascii="Times New Roman" w:cs="Times New Roman" w:eastAsia="Times New Roman" w:hAnsi="Times New Roman"/>
          <w:sz w:val="20"/>
          <w:szCs w:val="20"/>
        </w:rPr>
        <w:t xml:space="preserve">Cloud Deployment: Containerizing the platform with Docker and deploying on a Kubernetes cluster to validate scalability beyond the 50,000-record benchmark.</w:t>
      </w:r>
    </w:p>
    <w:p>
      <w:pPr>
        <w:pBdr>
          <w:bottom w:val="single" w:color="2E75B6" w:sz="4"/>
        </w:pBdr>
        <w:shd w:fill="1F4E79" w:val="clear"/>
        <w:spacing w:before="280" w:after="120"/>
        <w:ind w:left="200" w:right="200"/>
      </w:pPr>
      <w:r>
        <w:rPr>
          <w:rFonts w:ascii="Arial" w:cs="Arial" w:eastAsia="Arial" w:hAnsi="Arial"/>
          <w:b/>
          <w:bCs/>
          <w:color w:val="FFFFFF"/>
          <w:sz w:val="26"/>
          <w:szCs w:val="26"/>
        </w:rPr>
        <w:t xml:space="preserve">8.  References</w:t>
      </w:r>
    </w:p>
    <w:p>
      <w:pPr>
        <w:spacing w:before="60" w:after="60"/>
        <w:jc w:val="both"/>
      </w:pPr>
      <w:r>
        <w:rPr>
          <w:rFonts w:ascii="Times New Roman" w:cs="Times New Roman" w:eastAsia="Times New Roman" w:hAnsi="Times New Roman"/>
          <w:sz w:val="20"/>
          <w:szCs w:val="20"/>
        </w:rPr>
        <w:t xml:space="preserve">[1]  Fader, P. S., &amp; Hardie, B. G. S. (2021). Probability Models for Customer-Base Analysis. Journal of Interactive Marketing.</w:t>
      </w:r>
    </w:p>
    <w:p>
      <w:pPr>
        <w:spacing w:before="60" w:after="60"/>
        <w:jc w:val="both"/>
      </w:pPr>
      <w:r>
        <w:rPr>
          <w:rFonts w:ascii="Times New Roman" w:cs="Times New Roman" w:eastAsia="Times New Roman" w:hAnsi="Times New Roman"/>
          <w:sz w:val="20"/>
          <w:szCs w:val="20"/>
        </w:rPr>
        <w:t xml:space="preserve">[2]  Pedregosa, F., et al. (2011). Scikit-learn: Machine Learning in Python. Journal of Machine Learning Research, 12, 2825–2830.</w:t>
      </w:r>
    </w:p>
    <w:p>
      <w:pPr>
        <w:spacing w:before="60" w:after="60"/>
        <w:jc w:val="both"/>
      </w:pPr>
      <w:r>
        <w:rPr>
          <w:rFonts w:ascii="Times New Roman" w:cs="Times New Roman" w:eastAsia="Times New Roman" w:hAnsi="Times New Roman"/>
          <w:sz w:val="20"/>
          <w:szCs w:val="20"/>
        </w:rPr>
        <w:t xml:space="preserve">[3]  Han, J., Kamber, M., &amp; Pei, J. (2023). Data Mining: Concepts and Techniques, 4th ed. Morgan Kaufmann.</w:t>
      </w:r>
    </w:p>
    <w:p>
      <w:pPr>
        <w:spacing w:before="60" w:after="60"/>
        <w:jc w:val="both"/>
      </w:pPr>
      <w:r>
        <w:rPr>
          <w:rFonts w:ascii="Times New Roman" w:cs="Times New Roman" w:eastAsia="Times New Roman" w:hAnsi="Times New Roman"/>
          <w:sz w:val="20"/>
          <w:szCs w:val="20"/>
        </w:rPr>
        <w:t xml:space="preserve">[4]  Liu, F. T., Ting, K. M., &amp; Zhou, Z.-H. (2008). Isolation Forest. Proceedings of the 8th IEEE International Conference on Data Mining (ICDM).</w:t>
      </w:r>
    </w:p>
    <w:p>
      <w:pPr>
        <w:spacing w:before="60" w:after="60"/>
        <w:jc w:val="both"/>
      </w:pPr>
      <w:r>
        <w:rPr>
          <w:rFonts w:ascii="Times New Roman" w:cs="Times New Roman" w:eastAsia="Times New Roman" w:hAnsi="Times New Roman"/>
          <w:sz w:val="20"/>
          <w:szCs w:val="20"/>
        </w:rPr>
        <w:t xml:space="preserve">[5]  Zhang, X., et al. (2021). Enhanced RFM Analysis for E-commerce Customer Segmentation. IEEE Access, 9, 112503–112515.</w:t>
      </w:r>
    </w:p>
    <w:p>
      <w:pPr>
        <w:spacing w:before="60" w:after="60"/>
        <w:jc w:val="both"/>
      </w:pPr>
      <w:r>
        <w:rPr>
          <w:rFonts w:ascii="Times New Roman" w:cs="Times New Roman" w:eastAsia="Times New Roman" w:hAnsi="Times New Roman"/>
          <w:sz w:val="20"/>
          <w:szCs w:val="20"/>
        </w:rPr>
        <w:t xml:space="preserve">[6]  Kumar, V., &amp; Reinartz, W. (2022). Customer Lifetime Value: Measurement, Management and Applications. Journal of Marketing Research.</w:t>
      </w:r>
    </w:p>
    <w:p>
      <w:pPr>
        <w:spacing w:before="60" w:after="60"/>
        <w:jc w:val="both"/>
      </w:pPr>
      <w:r>
        <w:rPr>
          <w:rFonts w:ascii="Times New Roman" w:cs="Times New Roman" w:eastAsia="Times New Roman" w:hAnsi="Times New Roman"/>
          <w:sz w:val="20"/>
          <w:szCs w:val="20"/>
        </w:rPr>
        <w:t xml:space="preserve">[7]  IEEE Standard for Software Design Descriptions (IEEE Std 1016-2009). IEEE, New York, NY.</w:t>
      </w:r>
    </w:p>
    <w:p>
      <w:pPr>
        <w:spacing w:before="60" w:after="60"/>
        <w:jc w:val="both"/>
      </w:pPr>
      <w:r>
        <w:rPr>
          <w:rFonts w:ascii="Times New Roman" w:cs="Times New Roman" w:eastAsia="Times New Roman" w:hAnsi="Times New Roman"/>
          <w:sz w:val="20"/>
          <w:szCs w:val="20"/>
        </w:rPr>
        <w:t xml:space="preserve">[8]  Rousseeuw, P. J. (1987). Silhouettes: A graphical aid to the interpretation and validation of cluster analysis. Journal of Computational and Applied Mathematics, 20, 53–65.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6"/>
        <w:szCs w:val="16"/>
      </w:rPr>
      <w:t xml:space="preserve">©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center"/>
    </w:pPr>
    <w:r>
      <w:rPr>
        <w:rFonts w:ascii="Arial" w:cs="Arial" w:eastAsia="Arial" w:hAnsi="Arial"/>
        <w:color w:val="888888"/>
        <w:sz w:val="16"/>
        <w:szCs w:val="16"/>
      </w:rPr>
      <w:t xml:space="preserve">IEEE-Style Research Paper  |  Customer Analytics Platform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2026-03-25T01:32:24.965Z</dcterms:created>
  <dcterms:modified xsi:type="dcterms:W3CDTF">2026-03-25T01:32:24.966Z</dcterms:modified>
</cp:coreProperties>
</file>

<file path=docProps/custom.xml><?xml version="1.0" encoding="utf-8"?>
<Properties xmlns="http://schemas.openxmlformats.org/officeDocument/2006/custom-properties" xmlns:vt="http://schemas.openxmlformats.org/officeDocument/2006/docPropsVTypes"/>
</file>