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aps/>
          <w:color w:val="2E6E9E"/>
          <w:sz w:val="26"/>
          <w:szCs w:val="26"/>
        </w:rPr>
        <w:t xml:space="preserve">Northgate Quantitative Research</w:t>
      </w:r>
    </w:p>
    <w:p>
      <w:pPr>
        <w:spacing w:after="40"/>
        <w:jc w:val="center"/>
      </w:pPr>
      <w:r>
        <w:rPr>
          <w:rFonts w:ascii="Calibri" w:cs="Calibri" w:eastAsia="Calibri" w:hAnsi="Calibri"/>
          <w:i/>
          <w:iCs/>
          <w:color w:val="444444"/>
          <w:sz w:val="19"/>
          <w:szCs w:val="19"/>
        </w:rPr>
        <w:t xml:space="preserve">Applied Machine Learning · Capstone Project Brief</w:t>
      </w:r>
    </w:p>
    <w:p>
      <w:pPr>
        <w:pBdr>
          <w:bottom w:val="single" w:color="1F3A5F" w:sz="8" w:space="6"/>
        </w:pBdr>
        <w:spacing w:after="480" w:before="40"/>
        <w:jc w:val="center"/>
      </w:pPr>
    </w:p>
    <w:p>
      <w:pPr>
        <w:spacing w:after="120" w:before="200"/>
        <w:jc w:val="center"/>
      </w:pPr>
      <w:r>
        <w:rPr>
          <w:rFonts w:ascii="Calibri" w:cs="Calibri" w:eastAsia="Calibri" w:hAnsi="Calibri"/>
          <w:color w:val="444444"/>
          <w:sz w:val="30"/>
          <w:szCs w:val="30"/>
        </w:rPr>
        <w:t xml:space="preserve">Product Requirements Document</w:t>
      </w:r>
    </w:p>
    <w:p>
      <w:pPr>
        <w:spacing w:after="60"/>
        <w:jc w:val="center"/>
      </w:pPr>
      <w:r>
        <w:rPr>
          <w:rFonts w:ascii="Calibri" w:cs="Calibri" w:eastAsia="Calibri" w:hAnsi="Calibri"/>
          <w:b/>
          <w:bCs/>
          <w:color w:val="1F3A5F"/>
          <w:sz w:val="46"/>
          <w:szCs w:val="46"/>
        </w:rPr>
        <w:t xml:space="preserve">AI-Based Stock Market Prediction</w:t>
      </w:r>
    </w:p>
    <w:p>
      <w:pPr>
        <w:spacing w:after="40"/>
        <w:jc w:val="center"/>
      </w:pPr>
      <w:r>
        <w:rPr>
          <w:rFonts w:ascii="Calibri" w:cs="Calibri" w:eastAsia="Calibri" w:hAnsi="Calibri"/>
          <w:b/>
          <w:bCs/>
          <w:color w:val="1F3A5F"/>
          <w:sz w:val="46"/>
          <w:szCs w:val="46"/>
        </w:rPr>
        <w:t xml:space="preserve">&amp; Portfolio Optimization System</w:t>
      </w:r>
    </w:p>
    <w:p>
      <w:pPr>
        <w:spacing w:after="500" w:before="220"/>
        <w:jc w:val="center"/>
      </w:pPr>
      <w:r>
        <w:rPr>
          <w:rFonts w:ascii="Calibri" w:cs="Calibri" w:eastAsia="Calibri" w:hAnsi="Calibri"/>
          <w:i/>
          <w:iCs/>
          <w:color w:val="555555"/>
          <w:sz w:val="21"/>
          <w:szCs w:val="21"/>
        </w:rPr>
        <w:t xml:space="preserve">An end-to-end quantitative platform combining time-series forecasting, deep learning, financial-news sentiment analysis, and mean-variance portfolio optimization.</w:t>
      </w:r>
    </w:p>
    <w:p>
      <w:pPr>
        <w:spacing w:after="40" w:before="200"/>
        <w:jc w:val="center"/>
      </w:pPr>
      <w:r>
        <w:rPr>
          <w:rFonts w:ascii="Calibri" w:cs="Calibri" w:eastAsia="Calibri" w:hAnsi="Calibri"/>
          <w:b/>
          <w:bCs/>
          <w:color w:val="2E6E9E"/>
          <w:sz w:val="16"/>
          <w:szCs w:val="16"/>
        </w:rPr>
        <w:t xml:space="preserve">PROJECT CLASSIFICATION</w:t>
      </w:r>
    </w:p>
    <w:p>
      <w:pPr>
        <w:spacing w:after="200"/>
        <w:jc w:val="center"/>
      </w:pPr>
      <w:r>
        <w:rPr>
          <w:rFonts w:ascii="Calibri" w:cs="Calibri" w:eastAsia="Calibri" w:hAnsi="Calibri"/>
          <w:color w:val="444444"/>
          <w:sz w:val="22"/>
          <w:szCs w:val="22"/>
        </w:rPr>
        <w:t xml:space="preserve">Advanced · Individual · 4-Week Timeline</w:t>
      </w:r>
    </w:p>
    <w:p>
      <w:r>
        <w:br w:type="page"/>
      </w:r>
    </w:p>
    <w:p>
      <w:pPr>
        <w:pStyle w:val="Heading1"/>
        <w:keepNext/>
        <w:spacing w:after="140" w:before="320"/>
      </w:pPr>
      <w:r>
        <w:rPr>
          <w:rFonts w:ascii="Calibri" w:cs="Calibri" w:eastAsia="Calibri" w:hAnsi="Calibri"/>
          <w:b/>
          <w:bCs/>
          <w:color w:val="1F3A5F"/>
          <w:sz w:val="30"/>
          <w:szCs w:val="30"/>
        </w:rPr>
        <w:t xml:space="preserve">Document Control</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3000"/>
        <w:gridCol w:w="6640"/>
      </w:tblGrid>
      <w:tr>
        <w:trPr>
          <w:tblHeader/>
        </w:trPr>
        <w:tc>
          <w:tcPr>
            <w:tcW w:type="dxa" w:w="30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Field</w:t>
            </w:r>
          </w:p>
        </w:tc>
        <w:tc>
          <w:tcPr>
            <w:tcW w:type="dxa" w:w="66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Detail</w:t>
            </w:r>
          </w:p>
        </w:tc>
      </w:tr>
      <w:tr>
        <w:tc>
          <w:tcPr>
            <w:tcW w:type="dxa" w:w="3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Document title</w:t>
            </w:r>
          </w:p>
        </w:tc>
        <w:tc>
          <w:tcPr>
            <w:tcW w:type="dxa" w:w="66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PRD — AI-Based Stock Market Prediction &amp; Portfolio Optimization System</w:t>
            </w:r>
          </w:p>
        </w:tc>
      </w:tr>
      <w:tr>
        <w:tc>
          <w:tcPr>
            <w:tcW w:type="dxa" w:w="30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Version</w:t>
            </w:r>
          </w:p>
        </w:tc>
        <w:tc>
          <w:tcPr>
            <w:tcW w:type="dxa" w:w="66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1.0 (baseline release)</w:t>
            </w:r>
          </w:p>
        </w:tc>
      </w:tr>
      <w:tr>
        <w:tc>
          <w:tcPr>
            <w:tcW w:type="dxa" w:w="3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Commissioning organisation</w:t>
            </w:r>
          </w:p>
        </w:tc>
        <w:tc>
          <w:tcPr>
            <w:tcW w:type="dxa" w:w="66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Northgate Quantitative Research (NQR)</w:t>
            </w:r>
          </w:p>
        </w:tc>
      </w:tr>
      <w:tr>
        <w:tc>
          <w:tcPr>
            <w:tcW w:type="dxa" w:w="30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Prepared for</w:t>
            </w:r>
          </w:p>
        </w:tc>
        <w:tc>
          <w:tcPr>
            <w:tcW w:type="dxa" w:w="66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Applied AI / Data Science capstone candidates</w:t>
            </w:r>
          </w:p>
        </w:tc>
      </w:tr>
      <w:tr>
        <w:tc>
          <w:tcPr>
            <w:tcW w:type="dxa" w:w="3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Project owner</w:t>
            </w:r>
          </w:p>
        </w:tc>
        <w:tc>
          <w:tcPr>
            <w:tcW w:type="dxa" w:w="66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Quantitative Research &amp; Data Science Group</w:t>
            </w:r>
          </w:p>
        </w:tc>
      </w:tr>
      <w:tr>
        <w:tc>
          <w:tcPr>
            <w:tcW w:type="dxa" w:w="30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Difficulty level</w:t>
            </w:r>
          </w:p>
        </w:tc>
        <w:tc>
          <w:tcPr>
            <w:tcW w:type="dxa" w:w="66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Advanced</w:t>
            </w:r>
          </w:p>
        </w:tc>
      </w:tr>
      <w:tr>
        <w:tc>
          <w:tcPr>
            <w:tcW w:type="dxa" w:w="3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Team size</w:t>
            </w:r>
          </w:p>
        </w:tc>
        <w:tc>
          <w:tcPr>
            <w:tcW w:type="dxa" w:w="66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1 candidate (individual project)</w:t>
            </w:r>
          </w:p>
        </w:tc>
      </w:tr>
      <w:tr>
        <w:tc>
          <w:tcPr>
            <w:tcW w:type="dxa" w:w="30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Duration</w:t>
            </w:r>
          </w:p>
        </w:tc>
        <w:tc>
          <w:tcPr>
            <w:tcW w:type="dxa" w:w="66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4 weeks (approx. 20 working days)</w:t>
            </w:r>
          </w:p>
        </w:tc>
      </w:tr>
      <w:tr>
        <w:tc>
          <w:tcPr>
            <w:tcW w:type="dxa" w:w="30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Primary language</w:t>
            </w:r>
          </w:p>
        </w:tc>
        <w:tc>
          <w:tcPr>
            <w:tcW w:type="dxa" w:w="66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Python 3.11+</w:t>
            </w:r>
          </w:p>
        </w:tc>
      </w:tr>
      <w:tr>
        <w:tc>
          <w:tcPr>
            <w:tcW w:type="dxa" w:w="30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Delivery format</w:t>
            </w:r>
          </w:p>
        </w:tc>
        <w:tc>
          <w:tcPr>
            <w:tcW w:type="dxa" w:w="66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Git repository + Streamlit dashboard + written report</w:t>
            </w:r>
          </w:p>
        </w:tc>
      </w:tr>
    </w:tbl>
    <w:p>
      <w:pPr>
        <w:spacing w:after="120"/>
      </w:pP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Reading note:  </w:t>
      </w:r>
      <w:r>
        <w:rPr>
          <w:rFonts w:ascii="Calibri" w:cs="Calibri" w:eastAsia="Calibri" w:hAnsi="Calibri"/>
          <w:b w:val="false"/>
          <w:bCs w:val="false"/>
          <w:i/>
          <w:iCs/>
          <w:color w:val="22402F"/>
          <w:sz w:val="20"/>
          <w:szCs w:val="20"/>
        </w:rPr>
        <w:t xml:space="preserve">This brief is written as a real client-style engagement. Sections 1–13 map one-to-one to the required deliverables. Every metric, model, and data source named here is publicly obtainable through the tools listed in Section 16 — nothing in this document depends on private or restricted data.</w:t>
      </w:r>
    </w:p>
    <w:p>
      <w:r>
        <w:br w:type="page"/>
      </w:r>
    </w:p>
    <w:p>
      <w:pPr>
        <w:pStyle w:val="Heading1"/>
        <w:keepNext/>
        <w:spacing w:after="140" w:before="320"/>
      </w:pPr>
      <w:r>
        <w:rPr>
          <w:rFonts w:ascii="Calibri" w:cs="Calibri" w:eastAsia="Calibri" w:hAnsi="Calibri"/>
          <w:b/>
          <w:bCs/>
          <w:color w:val="1F3A5F"/>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40" w:before="320"/>
      </w:pPr>
      <w:r>
        <w:rPr>
          <w:rFonts w:ascii="Calibri" w:cs="Calibri" w:eastAsia="Calibri" w:hAnsi="Calibri"/>
          <w:b/>
          <w:bCs/>
          <w:color w:val="1F3A5F"/>
          <w:sz w:val="30"/>
          <w:szCs w:val="30"/>
        </w:rPr>
        <w:t xml:space="preserve">Executive Summary</w:t>
      </w:r>
    </w:p>
    <w:p>
      <w:pPr>
        <w:spacing w:after="120" w:line="276"/>
        <w:jc w:val="both"/>
      </w:pPr>
      <w:r>
        <w:rPr>
          <w:rFonts w:ascii="Calibri" w:cs="Calibri" w:eastAsia="Calibri" w:hAnsi="Calibri"/>
          <w:b w:val="false"/>
          <w:bCs w:val="false"/>
          <w:i w:val="false"/>
          <w:iCs w:val="false"/>
          <w:color w:val="222222"/>
          <w:sz w:val="21"/>
          <w:szCs w:val="21"/>
        </w:rPr>
        <w:t xml:space="preserve">Northgate Quantitative Research </w:t>
      </w:r>
      <w:r>
        <w:rPr>
          <w:rFonts w:ascii="Calibri" w:cs="Calibri" w:eastAsia="Calibri" w:hAnsi="Calibri"/>
          <w:b w:val="false"/>
          <w:bCs w:val="false"/>
          <w:i w:val="false"/>
          <w:iCs w:val="false"/>
          <w:color w:val="222222"/>
          <w:sz w:val="21"/>
          <w:szCs w:val="21"/>
        </w:rPr>
        <w:t xml:space="preserve">commissions this project to build a single, coherent decision-support platform that a retail-scale quantitative analyst could use to move from raw market data to an actionable, risk-aware portfolio. The candidate will engineer the full pipeline: ingest historical equity data and macroeconomic indicators, clean and reshape it into model-ready sequences, forecast forward prices with both classical machine-learning and deep-learning models, quantify the mood of financial news, and translate those signals into an optimised portfolio with concrete buy / hold / sell guidance.</w:t>
      </w:r>
    </w:p>
    <w:p>
      <w:pPr>
        <w:spacing w:after="120" w:line="276"/>
        <w:jc w:val="both"/>
      </w:pPr>
      <w:r>
        <w:rPr>
          <w:rFonts w:ascii="Calibri" w:cs="Calibri" w:eastAsia="Calibri" w:hAnsi="Calibri"/>
          <w:b w:val="false"/>
          <w:bCs w:val="false"/>
          <w:i w:val="false"/>
          <w:iCs w:val="false"/>
          <w:color w:val="222222"/>
          <w:sz w:val="21"/>
          <w:szCs w:val="21"/>
        </w:rPr>
        <w:t xml:space="preserve">The deliverable is not a single notebook. It is a structured, reproducible system with a clear separation between data, models, and presentation, culminating in an interactive dashboard. The candidate is expected to treat forecasting accuracy and portfolio risk with equal seriousness — a model that predicts price well but ignores drawdown is considered incomplete.</w:t>
      </w:r>
    </w:p>
    <w:p>
      <w:pPr>
        <w:pStyle w:val="Heading3"/>
        <w:keepNext/>
        <w:spacing w:after="80" w:before="180"/>
      </w:pPr>
      <w:r>
        <w:rPr>
          <w:rFonts w:ascii="Calibri" w:cs="Calibri" w:eastAsia="Calibri" w:hAnsi="Calibri"/>
          <w:b/>
          <w:bCs/>
          <w:color w:val="444444"/>
          <w:sz w:val="22"/>
          <w:szCs w:val="22"/>
        </w:rPr>
        <w:t xml:space="preserve">What a successful submission demonstrates</w:t>
      </w:r>
    </w:p>
    <w:p>
      <w:pPr>
        <w:pStyle w:val="ListParagraph"/>
        <w:numPr>
          <w:ilvl w:val="0"/>
          <w:numId w:val="2"/>
        </w:numPr>
        <w:spacing w:after="60" w:line="264"/>
      </w:pPr>
      <w:r>
        <w:rPr>
          <w:rFonts w:ascii="Calibri" w:cs="Calibri" w:eastAsia="Calibri" w:hAnsi="Calibri"/>
          <w:b/>
          <w:bCs/>
          <w:i w:val="false"/>
          <w:iCs w:val="false"/>
          <w:color w:val="222222"/>
          <w:sz w:val="21"/>
          <w:szCs w:val="21"/>
        </w:rPr>
        <w:t xml:space="preserve">Rigour: </w:t>
      </w:r>
      <w:r>
        <w:rPr>
          <w:rFonts w:ascii="Calibri" w:cs="Calibri" w:eastAsia="Calibri" w:hAnsi="Calibri"/>
          <w:b w:val="false"/>
          <w:bCs w:val="false"/>
          <w:i w:val="false"/>
          <w:iCs w:val="false"/>
          <w:color w:val="222222"/>
          <w:sz w:val="21"/>
          <w:szCs w:val="21"/>
        </w:rPr>
        <w:t xml:space="preserve">leak-free time-series validation, honest error reporting, and reproducible results from a fixed random seed and pinned dependencies.</w:t>
      </w:r>
    </w:p>
    <w:p>
      <w:pPr>
        <w:pStyle w:val="ListParagraph"/>
        <w:numPr>
          <w:ilvl w:val="0"/>
          <w:numId w:val="2"/>
        </w:numPr>
        <w:spacing w:after="60" w:line="264"/>
      </w:pPr>
      <w:r>
        <w:rPr>
          <w:rFonts w:ascii="Calibri" w:cs="Calibri" w:eastAsia="Calibri" w:hAnsi="Calibri"/>
          <w:b/>
          <w:bCs/>
          <w:i w:val="false"/>
          <w:iCs w:val="false"/>
          <w:color w:val="222222"/>
          <w:sz w:val="21"/>
          <w:szCs w:val="21"/>
        </w:rPr>
        <w:t xml:space="preserve">Breadth: </w:t>
      </w:r>
      <w:r>
        <w:rPr>
          <w:rFonts w:ascii="Calibri" w:cs="Calibri" w:eastAsia="Calibri" w:hAnsi="Calibri"/>
          <w:b w:val="false"/>
          <w:bCs w:val="false"/>
          <w:i w:val="false"/>
          <w:iCs w:val="false"/>
          <w:color w:val="222222"/>
          <w:sz w:val="21"/>
          <w:szCs w:val="21"/>
        </w:rPr>
        <w:t xml:space="preserve">at least four ML regressors and four deep-learning architectures, benchmarked on identical splits with identical features.</w:t>
      </w:r>
    </w:p>
    <w:p>
      <w:pPr>
        <w:pStyle w:val="ListParagraph"/>
        <w:numPr>
          <w:ilvl w:val="0"/>
          <w:numId w:val="2"/>
        </w:numPr>
        <w:spacing w:after="60" w:line="264"/>
      </w:pPr>
      <w:r>
        <w:rPr>
          <w:rFonts w:ascii="Calibri" w:cs="Calibri" w:eastAsia="Calibri" w:hAnsi="Calibri"/>
          <w:b/>
          <w:bCs/>
          <w:i w:val="false"/>
          <w:iCs w:val="false"/>
          <w:color w:val="222222"/>
          <w:sz w:val="21"/>
          <w:szCs w:val="21"/>
        </w:rPr>
        <w:t xml:space="preserve">Financial literacy: </w:t>
      </w:r>
      <w:r>
        <w:rPr>
          <w:rFonts w:ascii="Calibri" w:cs="Calibri" w:eastAsia="Calibri" w:hAnsi="Calibri"/>
          <w:b w:val="false"/>
          <w:bCs w:val="false"/>
          <w:i w:val="false"/>
          <w:iCs w:val="false"/>
          <w:color w:val="222222"/>
          <w:sz w:val="21"/>
          <w:szCs w:val="21"/>
        </w:rPr>
        <w:t xml:space="preserve">correct implementation of return, volatility, Beta, Sharpe ratio, maximum drawdown, and the efficient frontier.</w:t>
      </w:r>
    </w:p>
    <w:p>
      <w:pPr>
        <w:pStyle w:val="ListParagraph"/>
        <w:numPr>
          <w:ilvl w:val="0"/>
          <w:numId w:val="2"/>
        </w:numPr>
        <w:spacing w:after="60" w:line="264"/>
      </w:pPr>
      <w:r>
        <w:rPr>
          <w:rFonts w:ascii="Calibri" w:cs="Calibri" w:eastAsia="Calibri" w:hAnsi="Calibri"/>
          <w:b/>
          <w:bCs/>
          <w:i w:val="false"/>
          <w:iCs w:val="false"/>
          <w:color w:val="222222"/>
          <w:sz w:val="21"/>
          <w:szCs w:val="21"/>
        </w:rPr>
        <w:t xml:space="preserve">Integration: </w:t>
      </w:r>
      <w:r>
        <w:rPr>
          <w:rFonts w:ascii="Calibri" w:cs="Calibri" w:eastAsia="Calibri" w:hAnsi="Calibri"/>
          <w:b w:val="false"/>
          <w:bCs w:val="false"/>
          <w:i w:val="false"/>
          <w:iCs w:val="false"/>
          <w:color w:val="222222"/>
          <w:sz w:val="21"/>
          <w:szCs w:val="21"/>
        </w:rPr>
        <w:t xml:space="preserve">sentiment signals feeding the forecasting layer, and forecasts feeding the optimisation layer, rather than three disconnected experiments.</w:t>
      </w:r>
    </w:p>
    <w:p>
      <w:r>
        <w:br w:type="page"/>
      </w:r>
    </w:p>
    <w:p>
      <w:pPr>
        <w:pStyle w:val="Heading1"/>
        <w:keepNext/>
        <w:spacing w:after="140" w:before="320"/>
      </w:pPr>
      <w:r>
        <w:rPr>
          <w:rFonts w:ascii="Calibri" w:cs="Calibri" w:eastAsia="Calibri" w:hAnsi="Calibri"/>
          <w:b/>
          <w:bCs/>
          <w:color w:val="1F3A5F"/>
          <w:sz w:val="30"/>
          <w:szCs w:val="30"/>
        </w:rPr>
        <w:t xml:space="preserve">1. Problem Statement</w:t>
      </w:r>
    </w:p>
    <w:p>
      <w:pPr>
        <w:spacing w:after="120" w:line="276"/>
        <w:jc w:val="both"/>
      </w:pPr>
      <w:r>
        <w:rPr>
          <w:rFonts w:ascii="Calibri" w:cs="Calibri" w:eastAsia="Calibri" w:hAnsi="Calibri"/>
          <w:b w:val="false"/>
          <w:bCs w:val="false"/>
          <w:i w:val="false"/>
          <w:iCs w:val="false"/>
          <w:color w:val="222222"/>
          <w:sz w:val="21"/>
          <w:szCs w:val="21"/>
        </w:rPr>
        <w:t xml:space="preserve">Individual and small-institutional investors face two coupled problems. First, financial markets are noisy, non-stationary, and driven by a mixture of numerical history and qualitative information (news, earnings tone, macro releases), which makes naive point forecasting unreliable. Second, even when a directional view exists, translating it into a position sizing decision that respects risk — correlation between holdings, tail losses, and the investor's risk appetite — is a non-trivial optimisation problem that most spreadsheets handle poorly.</w:t>
      </w:r>
    </w:p>
    <w:p>
      <w:pPr>
        <w:spacing w:after="120" w:line="276"/>
        <w:jc w:val="both"/>
      </w:pPr>
      <w:r>
        <w:rPr>
          <w:rFonts w:ascii="Calibri" w:cs="Calibri" w:eastAsia="Calibri" w:hAnsi="Calibri"/>
          <w:b w:val="false"/>
          <w:bCs w:val="false"/>
          <w:i w:val="false"/>
          <w:iCs w:val="false"/>
          <w:color w:val="222222"/>
          <w:sz w:val="21"/>
          <w:szCs w:val="21"/>
        </w:rPr>
        <w:t xml:space="preserve">Most educational forecasting projects stop at "predict tomorrow's close and report RMSE." That is insufficient. A price forecast in isolation has no economic meaning until it is converted into a risk-adjusted allocation and compared against a sensible benchmark (for example, a buy-and-hold position in a broad index). This project therefore treats forecasting and allocation as one continuous pipeline.</w:t>
      </w:r>
    </w:p>
    <w:p>
      <w:pPr>
        <w:pStyle w:val="Heading3"/>
        <w:keepNext/>
        <w:spacing w:after="80" w:before="180"/>
      </w:pPr>
      <w:r>
        <w:rPr>
          <w:rFonts w:ascii="Calibri" w:cs="Calibri" w:eastAsia="Calibri" w:hAnsi="Calibri"/>
          <w:b/>
          <w:bCs/>
          <w:color w:val="444444"/>
          <w:sz w:val="22"/>
          <w:szCs w:val="22"/>
        </w:rPr>
        <w:t xml:space="preserve">The specific gap this system closes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It fuses </w:t>
      </w:r>
      <w:r>
        <w:rPr>
          <w:rFonts w:ascii="Calibri" w:cs="Calibri" w:eastAsia="Calibri" w:hAnsi="Calibri"/>
          <w:b/>
          <w:bCs/>
          <w:i w:val="false"/>
          <w:iCs w:val="false"/>
          <w:color w:val="222222"/>
          <w:sz w:val="21"/>
          <w:szCs w:val="21"/>
        </w:rPr>
        <w:t xml:space="preserve">quantitative history</w:t>
      </w:r>
      <w:r>
        <w:rPr>
          <w:rFonts w:ascii="Calibri" w:cs="Calibri" w:eastAsia="Calibri" w:hAnsi="Calibri"/>
          <w:b w:val="false"/>
          <w:bCs w:val="false"/>
          <w:i w:val="false"/>
          <w:iCs w:val="false"/>
          <w:color w:val="222222"/>
          <w:sz w:val="21"/>
          <w:szCs w:val="21"/>
        </w:rPr>
        <w:t xml:space="preserve"> (OHLCV, indices, macro indicators) with </w:t>
      </w:r>
      <w:r>
        <w:rPr>
          <w:rFonts w:ascii="Calibri" w:cs="Calibri" w:eastAsia="Calibri" w:hAnsi="Calibri"/>
          <w:b/>
          <w:bCs/>
          <w:i w:val="false"/>
          <w:iCs w:val="false"/>
          <w:color w:val="222222"/>
          <w:sz w:val="21"/>
          <w:szCs w:val="21"/>
        </w:rPr>
        <w:t xml:space="preserve">qualitative signal</w:t>
      </w:r>
      <w:r>
        <w:rPr>
          <w:rFonts w:ascii="Calibri" w:cs="Calibri" w:eastAsia="Calibri" w:hAnsi="Calibri"/>
          <w:b w:val="false"/>
          <w:bCs w:val="false"/>
          <w:i w:val="false"/>
          <w:iCs w:val="false"/>
          <w:color w:val="222222"/>
          <w:sz w:val="21"/>
          <w:szCs w:val="21"/>
        </w:rPr>
        <w:t xml:space="preserve"> (news sentiment) inside one feature space.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It benchmarks classical ML against deep sequence models on </w:t>
      </w:r>
      <w:r>
        <w:rPr>
          <w:rFonts w:ascii="Calibri" w:cs="Calibri" w:eastAsia="Calibri" w:hAnsi="Calibri"/>
          <w:b/>
          <w:bCs/>
          <w:i w:val="false"/>
          <w:iCs w:val="false"/>
          <w:color w:val="222222"/>
          <w:sz w:val="21"/>
          <w:szCs w:val="21"/>
        </w:rPr>
        <w:t xml:space="preserve">identical, strictly chronological</w:t>
      </w:r>
      <w:r>
        <w:rPr>
          <w:rFonts w:ascii="Calibri" w:cs="Calibri" w:eastAsia="Calibri" w:hAnsi="Calibri"/>
          <w:b w:val="false"/>
          <w:bCs w:val="false"/>
          <w:i w:val="false"/>
          <w:iCs w:val="false"/>
          <w:color w:val="222222"/>
          <w:sz w:val="21"/>
          <w:szCs w:val="21"/>
        </w:rPr>
        <w:t xml:space="preserve"> train/validation/test splits, so the comparison is fair.</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It closes the loop from prediction to action via Modern Portfolio Theory and a rule-based recommendation layer, producing an allocation a user can actually hold.</w:t>
      </w: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Success definition:  </w:t>
      </w:r>
      <w:r>
        <w:rPr>
          <w:rFonts w:ascii="Calibri" w:cs="Calibri" w:eastAsia="Calibri" w:hAnsi="Calibri"/>
          <w:b w:val="false"/>
          <w:bCs w:val="false"/>
          <w:i w:val="false"/>
          <w:iCs w:val="false"/>
          <w:color w:val="22402F"/>
          <w:sz w:val="20"/>
          <w:szCs w:val="20"/>
        </w:rPr>
        <w:t xml:space="preserve">The system is successful if, on an out-of-sample test window, its optimised portfolio delivers a higher Sharpe ratio than an equal-weight baseline over the same window, while its best forecasting model beats a naive last-value (random-walk) predictor on MAE and directional accuracy.</w:t>
      </w:r>
    </w:p>
    <w:p>
      <w:r>
        <w:br w:type="page"/>
      </w:r>
    </w:p>
    <w:p>
      <w:pPr>
        <w:pStyle w:val="Heading1"/>
        <w:keepNext/>
        <w:spacing w:after="140" w:before="320"/>
      </w:pPr>
      <w:r>
        <w:rPr>
          <w:rFonts w:ascii="Calibri" w:cs="Calibri" w:eastAsia="Calibri" w:hAnsi="Calibri"/>
          <w:b/>
          <w:bCs/>
          <w:color w:val="1F3A5F"/>
          <w:sz w:val="30"/>
          <w:szCs w:val="30"/>
        </w:rPr>
        <w:t xml:space="preserve">2. Objectives</w:t>
      </w:r>
    </w:p>
    <w:p>
      <w:pPr>
        <w:pStyle w:val="Heading2"/>
        <w:keepNext/>
        <w:spacing w:after="100" w:before="240"/>
      </w:pPr>
      <w:r>
        <w:rPr>
          <w:rFonts w:ascii="Calibri" w:cs="Calibri" w:eastAsia="Calibri" w:hAnsi="Calibri"/>
          <w:b/>
          <w:bCs/>
          <w:color w:val="2E6E9E"/>
          <w:sz w:val="25"/>
          <w:szCs w:val="25"/>
        </w:rPr>
        <w:t xml:space="preserve">2.1 Primary objectives</w:t>
      </w:r>
    </w:p>
    <w:p>
      <w:pPr>
        <w:pStyle w:val="ListParagraph"/>
        <w:numPr>
          <w:ilvl w:val="0"/>
          <w:numId w:val="3"/>
        </w:numPr>
        <w:spacing w:after="70" w:line="264"/>
      </w:pPr>
      <w:r>
        <w:rPr>
          <w:rFonts w:ascii="Calibri" w:cs="Calibri" w:eastAsia="Calibri" w:hAnsi="Calibri"/>
          <w:b w:val="false"/>
          <w:bCs w:val="false"/>
          <w:i w:val="false"/>
          <w:iCs w:val="false"/>
          <w:color w:val="222222"/>
          <w:sz w:val="21"/>
          <w:szCs w:val="21"/>
        </w:rPr>
        <w:t xml:space="preserve">Forecast the next-day and multi-day forward closing price for a defined universe of liquid equities using historical market data.</w:t>
      </w:r>
    </w:p>
    <w:p>
      <w:pPr>
        <w:pStyle w:val="ListParagraph"/>
        <w:numPr>
          <w:ilvl w:val="0"/>
          <w:numId w:val="3"/>
        </w:numPr>
        <w:spacing w:after="70" w:line="264"/>
      </w:pPr>
      <w:r>
        <w:rPr>
          <w:rFonts w:ascii="Calibri" w:cs="Calibri" w:eastAsia="Calibri" w:hAnsi="Calibri"/>
          <w:b w:val="false"/>
          <w:bCs w:val="false"/>
          <w:i w:val="false"/>
          <w:iCs w:val="false"/>
          <w:color w:val="222222"/>
          <w:sz w:val="21"/>
          <w:szCs w:val="21"/>
        </w:rPr>
        <w:t xml:space="preserve">Benchmark classical machine-learning regressors against deep-learning sequence models under a single, leakage-free evaluation protocol.</w:t>
      </w:r>
    </w:p>
    <w:p>
      <w:pPr>
        <w:pStyle w:val="ListParagraph"/>
        <w:numPr>
          <w:ilvl w:val="0"/>
          <w:numId w:val="3"/>
        </w:numPr>
        <w:spacing w:after="70" w:line="264"/>
      </w:pPr>
      <w:r>
        <w:rPr>
          <w:rFonts w:ascii="Calibri" w:cs="Calibri" w:eastAsia="Calibri" w:hAnsi="Calibri"/>
          <w:b w:val="false"/>
          <w:bCs w:val="false"/>
          <w:i w:val="false"/>
          <w:iCs w:val="false"/>
          <w:color w:val="222222"/>
          <w:sz w:val="21"/>
          <w:szCs w:val="21"/>
        </w:rPr>
        <w:t xml:space="preserve">Quantify financial-news sentiment and measure whether it improves forecasting error and directional accuracy.</w:t>
      </w:r>
    </w:p>
    <w:p>
      <w:pPr>
        <w:pStyle w:val="ListParagraph"/>
        <w:numPr>
          <w:ilvl w:val="0"/>
          <w:numId w:val="3"/>
        </w:numPr>
        <w:spacing w:after="70" w:line="264"/>
      </w:pPr>
      <w:r>
        <w:rPr>
          <w:rFonts w:ascii="Calibri" w:cs="Calibri" w:eastAsia="Calibri" w:hAnsi="Calibri"/>
          <w:b w:val="false"/>
          <w:bCs w:val="false"/>
          <w:i w:val="false"/>
          <w:iCs w:val="false"/>
          <w:color w:val="222222"/>
          <w:sz w:val="21"/>
          <w:szCs w:val="21"/>
        </w:rPr>
        <w:t xml:space="preserve">Construct a risk-optimised portfolio using Modern Portfolio Theory and report its position on the efficient frontier.</w:t>
      </w:r>
    </w:p>
    <w:p>
      <w:pPr>
        <w:pStyle w:val="ListParagraph"/>
        <w:numPr>
          <w:ilvl w:val="0"/>
          <w:numId w:val="3"/>
        </w:numPr>
        <w:spacing w:after="70" w:line="264"/>
      </w:pPr>
      <w:r>
        <w:rPr>
          <w:rFonts w:ascii="Calibri" w:cs="Calibri" w:eastAsia="Calibri" w:hAnsi="Calibri"/>
          <w:b w:val="false"/>
          <w:bCs w:val="false"/>
          <w:i w:val="false"/>
          <w:iCs w:val="false"/>
          <w:color w:val="222222"/>
          <w:sz w:val="21"/>
          <w:szCs w:val="21"/>
        </w:rPr>
        <w:t xml:space="preserve">Generate transparent, rule-driven buy / hold / sell and rebalancing recommendations from the forecasts, risk metrics, and sentiment.</w:t>
      </w:r>
    </w:p>
    <w:p>
      <w:pPr>
        <w:pStyle w:val="ListParagraph"/>
        <w:numPr>
          <w:ilvl w:val="0"/>
          <w:numId w:val="3"/>
        </w:numPr>
        <w:spacing w:after="70" w:line="264"/>
      </w:pPr>
      <w:r>
        <w:rPr>
          <w:rFonts w:ascii="Calibri" w:cs="Calibri" w:eastAsia="Calibri" w:hAnsi="Calibri"/>
          <w:b w:val="false"/>
          <w:bCs w:val="false"/>
          <w:i w:val="false"/>
          <w:iCs w:val="false"/>
          <w:color w:val="222222"/>
          <w:sz w:val="21"/>
          <w:szCs w:val="21"/>
        </w:rPr>
        <w:t xml:space="preserve">Present all of the above through an interactive dashboard suitable for a non-technical reviewer.</w:t>
      </w:r>
    </w:p>
    <w:p>
      <w:pPr>
        <w:pStyle w:val="Heading2"/>
        <w:keepNext/>
        <w:spacing w:after="100" w:before="240"/>
      </w:pPr>
      <w:r>
        <w:rPr>
          <w:rFonts w:ascii="Calibri" w:cs="Calibri" w:eastAsia="Calibri" w:hAnsi="Calibri"/>
          <w:b/>
          <w:bCs/>
          <w:color w:val="2E6E9E"/>
          <w:sz w:val="25"/>
          <w:szCs w:val="25"/>
        </w:rPr>
        <w:t xml:space="preserve">2.2 Learning objectives (what the candidate must be able to defend)</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3200"/>
        <w:gridCol w:w="6440"/>
      </w:tblGrid>
      <w:tr>
        <w:trPr>
          <w:tblHeader/>
        </w:trPr>
        <w:tc>
          <w:tcPr>
            <w:tcW w:type="dxa" w:w="3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Competency area</w:t>
            </w:r>
          </w:p>
        </w:tc>
        <w:tc>
          <w:tcPr>
            <w:tcW w:type="dxa" w:w="64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Demonstrated by</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Data wrangling</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 deterministic cleaning pipeline that turns raw multi-source data into a single tidy, gap-free panel.</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Mathematics &amp; statistics</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Correct, from-scratch implementation of return/volatility/covariance and a manual gradient-descent linear regression for comparison against library output.</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Machine learning</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Four regressors tuned with time-series cross-validation and compared on four error metrics.</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Deep learning</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Four sequence architectures (LSTM, GRU, BiLSTM, Transformer) built, trained with early stopping, and diagnosed for over/underfitting.</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Time-series discipline</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Strictly chronological splitting, walk-forward validation, and stationarity testing (ADF).</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Financial engineering</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Efficient-frontier construction and a Sharpe-maximising allocation validated against a benchmark.</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Communication</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 dashboard and written report that a portfolio manager could read without opening the code.</w:t>
            </w:r>
          </w:p>
        </w:tc>
      </w:tr>
    </w:tbl>
    <w:p>
      <w:pPr>
        <w:pStyle w:val="Heading2"/>
        <w:keepNext/>
        <w:spacing w:after="100" w:before="240"/>
      </w:pPr>
      <w:r>
        <w:rPr>
          <w:rFonts w:ascii="Calibri" w:cs="Calibri" w:eastAsia="Calibri" w:hAnsi="Calibri"/>
          <w:b/>
          <w:bCs/>
          <w:color w:val="2E6E9E"/>
          <w:sz w:val="25"/>
          <w:szCs w:val="25"/>
        </w:rPr>
        <w:t xml:space="preserve">2.3 Explicit non-goals</w:t>
      </w:r>
    </w:p>
    <w:p>
      <w:pPr>
        <w:spacing w:after="120" w:line="276"/>
        <w:jc w:val="both"/>
      </w:pPr>
      <w:r>
        <w:rPr>
          <w:rFonts w:ascii="Calibri" w:cs="Calibri" w:eastAsia="Calibri" w:hAnsi="Calibri"/>
          <w:b w:val="false"/>
          <w:bCs w:val="false"/>
          <w:i w:val="false"/>
          <w:iCs w:val="false"/>
          <w:color w:val="222222"/>
          <w:sz w:val="21"/>
          <w:szCs w:val="21"/>
        </w:rPr>
        <w:t xml:space="preserve">To keep the scope achievable by one person in four weeks, the following are out of scope: high-frequency / intraday tick trading, live brokerage order execution, options and derivatives pricing, reinforcement-learning trading agents, and any claim of guaranteed profitability. The system is a research and decision-support tool, not an automated trading bot.</w:t>
      </w:r>
    </w:p>
    <w:p>
      <w:r>
        <w:br w:type="page"/>
      </w:r>
    </w:p>
    <w:p>
      <w:pPr>
        <w:pStyle w:val="Heading1"/>
        <w:keepNext/>
        <w:spacing w:after="140" w:before="320"/>
      </w:pPr>
      <w:r>
        <w:rPr>
          <w:rFonts w:ascii="Calibri" w:cs="Calibri" w:eastAsia="Calibri" w:hAnsi="Calibri"/>
          <w:b/>
          <w:bCs/>
          <w:color w:val="1F3A5F"/>
          <w:sz w:val="30"/>
          <w:szCs w:val="30"/>
        </w:rPr>
        <w:t xml:space="preserve">3. Dataset Requirements</w:t>
      </w:r>
    </w:p>
    <w:p>
      <w:pPr>
        <w:spacing w:after="120" w:line="276"/>
        <w:jc w:val="both"/>
      </w:pPr>
      <w:r>
        <w:rPr>
          <w:rFonts w:ascii="Calibri" w:cs="Calibri" w:eastAsia="Calibri" w:hAnsi="Calibri"/>
          <w:b w:val="false"/>
          <w:bCs w:val="false"/>
          <w:i w:val="false"/>
          <w:iCs w:val="false"/>
          <w:color w:val="222222"/>
          <w:sz w:val="21"/>
          <w:szCs w:val="21"/>
        </w:rPr>
        <w:t xml:space="preserve">All data is drawn from public, programmatically accessible sources. The candidate defines an equity universe of 8–15 liquid, large-cap tickers plus one broad market index used as the benchmark and as a systematic-risk factor for Beta. A history of at least 8–10 years of daily data is required so that both trending and mean-reverting regimes are represented.</w:t>
      </w:r>
    </w:p>
    <w:p>
      <w:pPr>
        <w:pStyle w:val="Heading2"/>
        <w:keepNext/>
        <w:spacing w:after="100" w:before="240"/>
      </w:pPr>
      <w:r>
        <w:rPr>
          <w:rFonts w:ascii="Calibri" w:cs="Calibri" w:eastAsia="Calibri" w:hAnsi="Calibri"/>
          <w:b/>
          <w:bCs/>
          <w:color w:val="2E6E9E"/>
          <w:sz w:val="25"/>
          <w:szCs w:val="25"/>
        </w:rPr>
        <w:t xml:space="preserve">3.1 Core market data (per ticker, daily)</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1300"/>
        <w:gridCol w:w="900"/>
        <w:gridCol w:w="4040"/>
        <w:gridCol w:w="3400"/>
      </w:tblGrid>
      <w:tr>
        <w:trPr>
          <w:tblHeader/>
        </w:trPr>
        <w:tc>
          <w:tcPr>
            <w:tcW w:type="dxa" w:w="13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Field</w:t>
            </w:r>
          </w:p>
        </w:tc>
        <w:tc>
          <w:tcPr>
            <w:tcW w:type="dxa" w:w="9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Symbol</w:t>
            </w:r>
          </w:p>
        </w:tc>
        <w:tc>
          <w:tcPr>
            <w:tcW w:type="dxa" w:w="40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Description</w:t>
            </w:r>
          </w:p>
        </w:tc>
        <w:tc>
          <w:tcPr>
            <w:tcW w:type="dxa" w:w="34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Primary use</w:t>
            </w:r>
          </w:p>
        </w:tc>
      </w:tr>
      <w:tr>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Open</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O_t</w:t>
            </w:r>
          </w:p>
        </w:tc>
        <w:tc>
          <w:tcPr>
            <w:tcW w:type="dxa" w:w="4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First traded price of the session</w:t>
            </w:r>
          </w:p>
        </w:tc>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Gap/return features</w:t>
            </w:r>
          </w:p>
        </w:tc>
      </w:tr>
      <w:tr>
        <w:tc>
          <w:tcPr>
            <w:tcW w:type="dxa" w:w="13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High</w:t>
            </w:r>
          </w:p>
        </w:tc>
        <w:tc>
          <w:tcPr>
            <w:tcW w:type="dxa" w:w="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H_t</w:t>
            </w:r>
          </w:p>
        </w:tc>
        <w:tc>
          <w:tcPr>
            <w:tcW w:type="dxa" w:w="4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Session maximum</w:t>
            </w:r>
          </w:p>
        </w:tc>
        <w:tc>
          <w:tcPr>
            <w:tcW w:type="dxa" w:w="3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Volatility, candles, ATR</w:t>
            </w:r>
          </w:p>
        </w:tc>
      </w:tr>
      <w:tr>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Low</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L_t</w:t>
            </w:r>
          </w:p>
        </w:tc>
        <w:tc>
          <w:tcPr>
            <w:tcW w:type="dxa" w:w="4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Session minimum</w:t>
            </w:r>
          </w:p>
        </w:tc>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Volatility, candles, ATR</w:t>
            </w:r>
          </w:p>
        </w:tc>
      </w:tr>
      <w:tr>
        <w:tc>
          <w:tcPr>
            <w:tcW w:type="dxa" w:w="13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Close</w:t>
            </w:r>
          </w:p>
        </w:tc>
        <w:tc>
          <w:tcPr>
            <w:tcW w:type="dxa" w:w="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C_t</w:t>
            </w:r>
          </w:p>
        </w:tc>
        <w:tc>
          <w:tcPr>
            <w:tcW w:type="dxa" w:w="4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Last traded price</w:t>
            </w:r>
          </w:p>
        </w:tc>
        <w:tc>
          <w:tcPr>
            <w:tcW w:type="dxa" w:w="3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Prediction target base</w:t>
            </w:r>
          </w:p>
        </w:tc>
      </w:tr>
      <w:tr>
        <w:tc>
          <w:tcPr>
            <w:tcW w:type="dxa" w:w="13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Adjusted Close</w:t>
            </w:r>
          </w:p>
        </w:tc>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A_t</w:t>
            </w:r>
          </w:p>
        </w:tc>
        <w:tc>
          <w:tcPr>
            <w:tcW w:type="dxa" w:w="4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Close adjusted for splits/dividends</w:t>
            </w:r>
          </w:p>
        </w:tc>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Return computation (preferred target)</w:t>
            </w:r>
          </w:p>
        </w:tc>
      </w:tr>
      <w:tr>
        <w:tc>
          <w:tcPr>
            <w:tcW w:type="dxa" w:w="13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Volume</w:t>
            </w:r>
          </w:p>
        </w:tc>
        <w:tc>
          <w:tcPr>
            <w:tcW w:type="dxa" w:w="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V_t</w:t>
            </w:r>
          </w:p>
        </w:tc>
        <w:tc>
          <w:tcPr>
            <w:tcW w:type="dxa" w:w="4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Shares traded</w:t>
            </w:r>
          </w:p>
        </w:tc>
        <w:tc>
          <w:tcPr>
            <w:tcW w:type="dxa" w:w="3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Liquidity &amp; confirmation features</w:t>
            </w:r>
          </w:p>
        </w:tc>
      </w:tr>
    </w:tbl>
    <w:p>
      <w:pPr>
        <w:spacing w:after="80"/>
      </w:pP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Why adjusted close matters:  </w:t>
      </w:r>
      <w:r>
        <w:rPr>
          <w:rFonts w:ascii="Calibri" w:cs="Calibri" w:eastAsia="Calibri" w:hAnsi="Calibri"/>
          <w:b w:val="false"/>
          <w:bCs w:val="false"/>
          <w:i w:val="false"/>
          <w:iCs w:val="false"/>
          <w:color w:val="22402F"/>
          <w:sz w:val="20"/>
          <w:szCs w:val="20"/>
        </w:rPr>
        <w:t xml:space="preserve">Raw close prices jump discontinuously on split and dividend dates, injecting false returns. All return and target calculations must use the adjusted series; using raw close is a common and disqualifying error.</w:t>
      </w:r>
    </w:p>
    <w:p>
      <w:pPr>
        <w:pStyle w:val="Heading2"/>
        <w:keepNext/>
        <w:spacing w:after="100" w:before="240"/>
      </w:pPr>
      <w:r>
        <w:rPr>
          <w:rFonts w:ascii="Calibri" w:cs="Calibri" w:eastAsia="Calibri" w:hAnsi="Calibri"/>
          <w:b/>
          <w:bCs/>
          <w:color w:val="2E6E9E"/>
          <w:sz w:val="25"/>
          <w:szCs w:val="25"/>
        </w:rPr>
        <w:t xml:space="preserve">3.2 Market indices &amp; macroeconomic indicators</w:t>
      </w:r>
    </w:p>
    <w:p>
      <w:pPr>
        <w:spacing w:after="120" w:line="276"/>
        <w:jc w:val="both"/>
      </w:pPr>
      <w:r>
        <w:rPr>
          <w:rFonts w:ascii="Calibri" w:cs="Calibri" w:eastAsia="Calibri" w:hAnsi="Calibri"/>
          <w:b w:val="false"/>
          <w:bCs w:val="false"/>
          <w:i w:val="false"/>
          <w:iCs w:val="false"/>
          <w:color w:val="222222"/>
          <w:sz w:val="21"/>
          <w:szCs w:val="21"/>
        </w:rPr>
        <w:t xml:space="preserve">These provide market context and the factors needed for systematic-risk (Beta) and regime features.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500"/>
        <w:gridCol w:w="3600"/>
        <w:gridCol w:w="3540"/>
      </w:tblGrid>
      <w:tr>
        <w:trPr>
          <w:tblHeader/>
        </w:trPr>
        <w:tc>
          <w:tcPr>
            <w:tcW w:type="dxa" w:w="25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Series</w:t>
            </w:r>
          </w:p>
        </w:tc>
        <w:tc>
          <w:tcPr>
            <w:tcW w:type="dxa" w:w="36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Example source series</w:t>
            </w:r>
          </w:p>
        </w:tc>
        <w:tc>
          <w:tcPr>
            <w:tcW w:type="dxa" w:w="35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Role in the model</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Broad equity index</w:t>
            </w:r>
          </w:p>
        </w:tc>
        <w:tc>
          <w:tcPr>
            <w:tcW w:type="dxa" w:w="3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S&amp;P 500 (^GSPC) or Nifty 50 (^NSEI)</w:t>
            </w:r>
          </w:p>
        </w:tc>
        <w:tc>
          <w:tcPr>
            <w:tcW w:type="dxa" w:w="35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Benchmark + market factor for Beta</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Volatility index</w:t>
            </w:r>
          </w:p>
        </w:tc>
        <w:tc>
          <w:tcPr>
            <w:tcW w:type="dxa" w:w="36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CBOE VIX (^VIX)</w:t>
            </w:r>
          </w:p>
        </w:tc>
        <w:tc>
          <w:tcPr>
            <w:tcW w:type="dxa" w:w="35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Fear/risk-regime feature</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Short-term interest rate</w:t>
            </w:r>
          </w:p>
        </w:tc>
        <w:tc>
          <w:tcPr>
            <w:tcW w:type="dxa" w:w="3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FRED: DGS3MO / policy rate</w:t>
            </w:r>
          </w:p>
        </w:tc>
        <w:tc>
          <w:tcPr>
            <w:tcW w:type="dxa" w:w="35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Discount-rate &amp; regime context</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10-year yield</w:t>
            </w:r>
          </w:p>
        </w:tc>
        <w:tc>
          <w:tcPr>
            <w:tcW w:type="dxa" w:w="36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FRED: DGS10</w:t>
            </w:r>
          </w:p>
        </w:tc>
        <w:tc>
          <w:tcPr>
            <w:tcW w:type="dxa" w:w="35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Term-structure / macro feature</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Inflation</w:t>
            </w:r>
          </w:p>
        </w:tc>
        <w:tc>
          <w:tcPr>
            <w:tcW w:type="dxa" w:w="3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FRED: CPIAUCSL</w:t>
            </w:r>
          </w:p>
        </w:tc>
        <w:tc>
          <w:tcPr>
            <w:tcW w:type="dxa" w:w="35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Macro regime feature</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Unemployment</w:t>
            </w:r>
          </w:p>
        </w:tc>
        <w:tc>
          <w:tcPr>
            <w:tcW w:type="dxa" w:w="36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FRED: UNRATE</w:t>
            </w:r>
          </w:p>
        </w:tc>
        <w:tc>
          <w:tcPr>
            <w:tcW w:type="dxa" w:w="35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Macro regime feature</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Sector / breadth proxy</w:t>
            </w:r>
          </w:p>
        </w:tc>
        <w:tc>
          <w:tcPr>
            <w:tcW w:type="dxa" w:w="3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Sector ETF or advance-decline</w:t>
            </w:r>
          </w:p>
        </w:tc>
        <w:tc>
          <w:tcPr>
            <w:tcW w:type="dxa" w:w="35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Cross-sectional context</w:t>
            </w:r>
          </w:p>
        </w:tc>
      </w:tr>
    </w:tbl>
    <w:p>
      <w:pPr>
        <w:pStyle w:val="Heading2"/>
        <w:keepNext/>
        <w:spacing w:after="100" w:before="240"/>
      </w:pPr>
      <w:r>
        <w:rPr>
          <w:rFonts w:ascii="Calibri" w:cs="Calibri" w:eastAsia="Calibri" w:hAnsi="Calibri"/>
          <w:b/>
          <w:bCs/>
          <w:color w:val="2E6E9E"/>
          <w:sz w:val="25"/>
          <w:szCs w:val="25"/>
        </w:rPr>
        <w:t xml:space="preserve">3.3 Textual data for sentiment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Financial news headlines and article summaries per ticker and for the broad market (company name + ticker as query).</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Business/market report headlines aggregated daily.</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Each text record must carry a timestamp so sentiment can be aligned to the trading day </w:t>
      </w:r>
      <w:r>
        <w:rPr>
          <w:rFonts w:ascii="Calibri" w:cs="Calibri" w:eastAsia="Calibri" w:hAnsi="Calibri"/>
          <w:b/>
          <w:bCs/>
          <w:i w:val="false"/>
          <w:iCs w:val="false"/>
          <w:color w:val="222222"/>
          <w:sz w:val="21"/>
          <w:szCs w:val="21"/>
        </w:rPr>
        <w:t xml:space="preserve">without look-ahead</w:t>
      </w:r>
      <w:r>
        <w:rPr>
          <w:rFonts w:ascii="Calibri" w:cs="Calibri" w:eastAsia="Calibri" w:hAnsi="Calibri"/>
          <w:b w:val="false"/>
          <w:bCs w:val="false"/>
          <w:i w:val="false"/>
          <w:iCs w:val="false"/>
          <w:color w:val="222222"/>
          <w:sz w:val="21"/>
          <w:szCs w:val="21"/>
        </w:rPr>
        <w:t xml:space="preserve"> (news after market close maps to the next session).</w:t>
      </w:r>
    </w:p>
    <w:p>
      <w:pPr>
        <w:pStyle w:val="Heading2"/>
        <w:keepNext/>
        <w:spacing w:after="100" w:before="240"/>
      </w:pPr>
      <w:r>
        <w:rPr>
          <w:rFonts w:ascii="Calibri" w:cs="Calibri" w:eastAsia="Calibri" w:hAnsi="Calibri"/>
          <w:b/>
          <w:bCs/>
          <w:color w:val="2E6E9E"/>
          <w:sz w:val="25"/>
          <w:szCs w:val="25"/>
        </w:rPr>
        <w:t xml:space="preserve">3.4 Data contract &amp; quality bar</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5600"/>
        <w:gridCol w:w="4040"/>
      </w:tblGrid>
      <w:tr>
        <w:trPr>
          <w:tblHeader/>
        </w:trPr>
        <w:tc>
          <w:tcPr>
            <w:tcW w:type="dxa" w:w="56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Requirement</w:t>
            </w:r>
          </w:p>
        </w:tc>
        <w:tc>
          <w:tcPr>
            <w:tcW w:type="dxa" w:w="40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Threshold</w:t>
            </w:r>
          </w:p>
        </w:tc>
      </w:tr>
      <w:tr>
        <w:tc>
          <w:tcPr>
            <w:tcW w:type="dxa" w:w="5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History length</w:t>
            </w:r>
          </w:p>
        </w:tc>
        <w:tc>
          <w:tcPr>
            <w:tcW w:type="dxa" w:w="4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 8 years daily per ticker</w:t>
            </w:r>
          </w:p>
        </w:tc>
      </w:tr>
      <w:tr>
        <w:tc>
          <w:tcPr>
            <w:tcW w:type="dxa" w:w="56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Universe size</w:t>
            </w:r>
          </w:p>
        </w:tc>
        <w:tc>
          <w:tcPr>
            <w:tcW w:type="dxa" w:w="4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8–15 equities + 1 benchmark index</w:t>
            </w:r>
          </w:p>
        </w:tc>
      </w:tr>
      <w:tr>
        <w:tc>
          <w:tcPr>
            <w:tcW w:type="dxa" w:w="5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Maximum tolerated missing days (post-clean)</w:t>
            </w:r>
          </w:p>
        </w:tc>
        <w:tc>
          <w:tcPr>
            <w:tcW w:type="dxa" w:w="4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0% (all gaps resolved by rule)</w:t>
            </w:r>
          </w:p>
        </w:tc>
      </w:tr>
      <w:tr>
        <w:tc>
          <w:tcPr>
            <w:tcW w:type="dxa" w:w="56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Timezone / calendar</w:t>
            </w:r>
          </w:p>
        </w:tc>
        <w:tc>
          <w:tcPr>
            <w:tcW w:type="dxa" w:w="4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Single exchange trading calendar; non-trading days excluded</w:t>
            </w:r>
          </w:p>
        </w:tc>
      </w:tr>
      <w:tr>
        <w:tc>
          <w:tcPr>
            <w:tcW w:type="dxa" w:w="5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Target definition</w:t>
            </w:r>
          </w:p>
        </w:tc>
        <w:tc>
          <w:tcPr>
            <w:tcW w:type="dxa" w:w="4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Documented and fixed before modelling (e.g. next-day adjusted close or next-day log return)</w:t>
            </w:r>
          </w:p>
        </w:tc>
      </w:tr>
      <w:tr>
        <w:tc>
          <w:tcPr>
            <w:tcW w:type="dxa" w:w="56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Reproducibility</w:t>
            </w:r>
          </w:p>
        </w:tc>
        <w:tc>
          <w:tcPr>
            <w:tcW w:type="dxa" w:w="4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 single script re-downloads and rebuilds the full dataset from scratch</w:t>
            </w:r>
          </w:p>
        </w:tc>
      </w:tr>
    </w:tbl>
    <w:p>
      <w:pPr>
        <w:spacing w:after="20" w:before="80"/>
      </w:pPr>
      <w:r>
        <w:rPr>
          <w:rFonts w:ascii="Calibri" w:cs="Calibri" w:eastAsia="Calibri" w:hAnsi="Calibri"/>
          <w:i/>
          <w:iCs/>
          <w:color w:val="444444"/>
          <w:sz w:val="18"/>
          <w:szCs w:val="18"/>
        </w:rPr>
        <w:t xml:space="preserve">Listing 3.1 — Deterministic, rerunnable ingestion from public endpoints.</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3.5  Reference ingestion (public sources, no keys needed for prices)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import yfinance as yf</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import pandas_datareader.data as web</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import pandas as pd, datetime as dt</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UNIVERSE   = ['AAPL','MSFT','JPM','XOM','JNJ','PG','NVDA','KO','CAT','HD']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BENCHMARK  = '^GSPC'</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START, END = '2015-01-01', dt.date.today().isoformat()</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equities: OHLCV + adjusted close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px = yf.download(UNIVERSE + [BENCHMARK, '^VIX'],</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start=START, end=END, auto_adjust=False)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macro from FRED (free, no key)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macro = web.DataReader(['DGS10','DGS3MO','CPIAUCSL','UNRATE'],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'fred', START, END)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px.to_parquet('data/raw/prices.parquet')</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macro.to_parquet('data/raw/macro.parquet')</w:t>
      </w:r>
    </w:p>
    <w:p>
      <w:pPr>
        <w:spacing w:after="100"/>
      </w:pPr>
    </w:p>
    <w:p>
      <w:r>
        <w:br w:type="page"/>
      </w:r>
    </w:p>
    <w:p>
      <w:pPr>
        <w:pStyle w:val="Heading1"/>
        <w:keepNext/>
        <w:spacing w:after="140" w:before="320"/>
      </w:pPr>
      <w:r>
        <w:rPr>
          <w:rFonts w:ascii="Calibri" w:cs="Calibri" w:eastAsia="Calibri" w:hAnsi="Calibri"/>
          <w:b/>
          <w:bCs/>
          <w:color w:val="1F3A5F"/>
          <w:sz w:val="30"/>
          <w:szCs w:val="30"/>
        </w:rPr>
        <w:t xml:space="preserve">4. Data Cleaning Pipeline</w:t>
      </w:r>
    </w:p>
    <w:p>
      <w:pPr>
        <w:spacing w:after="120" w:line="276"/>
        <w:jc w:val="both"/>
      </w:pPr>
      <w:r>
        <w:rPr>
          <w:rFonts w:ascii="Calibri" w:cs="Calibri" w:eastAsia="Calibri" w:hAnsi="Calibri"/>
          <w:b w:val="false"/>
          <w:bCs w:val="false"/>
          <w:i w:val="false"/>
          <w:iCs w:val="false"/>
          <w:color w:val="222222"/>
          <w:sz w:val="21"/>
          <w:szCs w:val="21"/>
        </w:rPr>
        <w:t xml:space="preserve">The pipeline is a single, ordered, idempotent function: raw multi-source data in, one tidy analysis panel out. Order matters — alignment before imputation, imputation before outlier treatment, treatment before scaling — and every step is logged so the transformation is auditable.</w:t>
      </w:r>
    </w:p>
    <w:p>
      <w:pPr>
        <w:pStyle w:val="Heading2"/>
        <w:keepNext/>
        <w:spacing w:after="100" w:before="240"/>
      </w:pPr>
      <w:r>
        <w:rPr>
          <w:rFonts w:ascii="Calibri" w:cs="Calibri" w:eastAsia="Calibri" w:hAnsi="Calibri"/>
          <w:b/>
          <w:bCs/>
          <w:color w:val="2E6E9E"/>
          <w:sz w:val="25"/>
          <w:szCs w:val="25"/>
        </w:rPr>
        <w:t xml:space="preserve">4.1 Pipeline stages</w:t>
      </w:r>
    </w:p>
    <w:p>
      <w:pPr>
        <w:pStyle w:val="Heading3"/>
        <w:keepNext/>
        <w:spacing w:after="80" w:before="180"/>
      </w:pPr>
      <w:r>
        <w:rPr>
          <w:rFonts w:ascii="Calibri" w:cs="Calibri" w:eastAsia="Calibri" w:hAnsi="Calibri"/>
          <w:b/>
          <w:bCs/>
          <w:color w:val="444444"/>
          <w:sz w:val="22"/>
          <w:szCs w:val="22"/>
        </w:rPr>
        <w:t xml:space="preserve">Stage 1 — Structural alignment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Reindex every series to the exchange trading calendar so all tickers and macro series share one date axis.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Forward-fill macro series that publish at lower frequency (monthly CPI, weekly claims) onto the daily grid, because a macro figure remains the </w:t>
      </w:r>
      <w:r>
        <w:rPr>
          <w:rFonts w:ascii="Calibri" w:cs="Calibri" w:eastAsia="Calibri" w:hAnsi="Calibri"/>
          <w:b/>
          <w:bCs/>
          <w:i w:val="false"/>
          <w:iCs w:val="false"/>
          <w:color w:val="222222"/>
          <w:sz w:val="21"/>
          <w:szCs w:val="21"/>
        </w:rPr>
        <w:t xml:space="preserve">last known value</w:t>
      </w:r>
      <w:r>
        <w:rPr>
          <w:rFonts w:ascii="Calibri" w:cs="Calibri" w:eastAsia="Calibri" w:hAnsi="Calibri"/>
          <w:b w:val="false"/>
          <w:bCs w:val="false"/>
          <w:i w:val="false"/>
          <w:iCs w:val="false"/>
          <w:color w:val="222222"/>
          <w:sz w:val="21"/>
          <w:szCs w:val="21"/>
        </w:rPr>
        <w:t xml:space="preserve"> until the next release.</w:t>
      </w:r>
    </w:p>
    <w:p>
      <w:pPr>
        <w:pStyle w:val="Heading3"/>
        <w:keepNext/>
        <w:spacing w:after="80" w:before="180"/>
      </w:pPr>
      <w:r>
        <w:rPr>
          <w:rFonts w:ascii="Calibri" w:cs="Calibri" w:eastAsia="Calibri" w:hAnsi="Calibri"/>
          <w:b/>
          <w:bCs/>
          <w:color w:val="444444"/>
          <w:sz w:val="22"/>
          <w:szCs w:val="22"/>
        </w:rPr>
        <w:t xml:space="preserve">Stage 2 — Missing-value handling</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Distinguish structural gaps (holidays — dropped) from genuine missing observations.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For price series, forward-fill single-day gaps; flag and inspect any gap longer than 3 sessions rather than blindly filling.</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Never back-fill price data — back-filling leaks future information into the past.</w:t>
      </w:r>
    </w:p>
    <w:p>
      <w:pPr>
        <w:pStyle w:val="Heading3"/>
        <w:keepNext/>
        <w:spacing w:after="80" w:before="180"/>
      </w:pPr>
      <w:r>
        <w:rPr>
          <w:rFonts w:ascii="Calibri" w:cs="Calibri" w:eastAsia="Calibri" w:hAnsi="Calibri"/>
          <w:b/>
          <w:bCs/>
          <w:color w:val="444444"/>
          <w:sz w:val="22"/>
          <w:szCs w:val="22"/>
        </w:rPr>
        <w:t xml:space="preserve">Stage 3 — Duplicate removal</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Drop exact duplicate (date, ticker) rows; when duplicates disagree, keep the vendor-adjusted record and log the conflict.</w:t>
      </w:r>
    </w:p>
    <w:p>
      <w:pPr>
        <w:pStyle w:val="Heading3"/>
        <w:keepNext/>
        <w:spacing w:after="80" w:before="180"/>
      </w:pPr>
      <w:r>
        <w:rPr>
          <w:rFonts w:ascii="Calibri" w:cs="Calibri" w:eastAsia="Calibri" w:hAnsi="Calibri"/>
          <w:b/>
          <w:bCs/>
          <w:color w:val="444444"/>
          <w:sz w:val="22"/>
          <w:szCs w:val="22"/>
        </w:rPr>
        <w:t xml:space="preserve">Stage 4 — Outlier detection &amp; treatment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Compute daily log returns; flag observations beyond a rolling z-score threshold and beyond the 1.5×IQR fence.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Cross-check flags against known corporate actions — a 20% jump on an earnings date is signal, not error, and must be kept.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Winsorise only confirmed data errors; document every value that is altered.</w:t>
      </w:r>
    </w:p>
    <w:p>
      <w:pPr>
        <w:pStyle w:val="Heading3"/>
        <w:keepNext/>
        <w:spacing w:after="80" w:before="180"/>
      </w:pPr>
      <w:r>
        <w:rPr>
          <w:rFonts w:ascii="Calibri" w:cs="Calibri" w:eastAsia="Calibri" w:hAnsi="Calibri"/>
          <w:b/>
          <w:bCs/>
          <w:color w:val="444444"/>
          <w:sz w:val="22"/>
          <w:szCs w:val="22"/>
        </w:rPr>
        <w:t xml:space="preserve">Stage 5 — Consistency validation</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Assert the OHLC invariant on every row: </w:t>
      </w:r>
      <w:r>
        <w:rPr>
          <w:rFonts w:ascii="Consolas" w:cs="Consolas" w:eastAsia="Consolas" w:hAnsi="Consolas"/>
          <w:b w:val="false"/>
          <w:bCs w:val="false"/>
          <w:i w:val="false"/>
          <w:iCs w:val="false"/>
          <w:color w:val="9C2D41"/>
          <w:sz w:val="19"/>
          <w:szCs w:val="19"/>
        </w:rPr>
        <w:t xml:space="preserve">Low ≤ Open, Close ≤ High</w:t>
      </w:r>
      <w:r>
        <w:rPr>
          <w:rFonts w:ascii="Calibri" w:cs="Calibri" w:eastAsia="Calibri" w:hAnsi="Calibri"/>
          <w:b w:val="false"/>
          <w:bCs w:val="false"/>
          <w:i w:val="false"/>
          <w:iCs w:val="false"/>
          <w:color w:val="222222"/>
          <w:sz w:val="21"/>
          <w:szCs w:val="21"/>
        </w:rPr>
        <w:t xml:space="preserve"> and </w:t>
      </w:r>
      <w:r>
        <w:rPr>
          <w:rFonts w:ascii="Consolas" w:cs="Consolas" w:eastAsia="Consolas" w:hAnsi="Consolas"/>
          <w:b w:val="false"/>
          <w:bCs w:val="false"/>
          <w:i w:val="false"/>
          <w:iCs w:val="false"/>
          <w:color w:val="9C2D41"/>
          <w:sz w:val="19"/>
          <w:szCs w:val="19"/>
        </w:rPr>
        <w:t xml:space="preserve">Low ≤ High</w:t>
      </w:r>
      <w:r>
        <w:rPr>
          <w:rFonts w:ascii="Calibri" w:cs="Calibri" w:eastAsia="Calibri" w:hAnsi="Calibri"/>
          <w:b w:val="false"/>
          <w:bCs w:val="false"/>
          <w:i w:val="false"/>
          <w:iCs w:val="false"/>
          <w:color w:val="222222"/>
          <w:sz w:val="21"/>
          <w:szCs w:val="21"/>
        </w:rPr>
        <w:t xml:space="preserve">. Rows violating it are quarantined for review.</w:t>
      </w:r>
    </w:p>
    <w:p>
      <w:pPr>
        <w:pStyle w:val="Heading2"/>
        <w:keepNext/>
        <w:spacing w:after="100" w:before="240"/>
      </w:pPr>
      <w:r>
        <w:rPr>
          <w:rFonts w:ascii="Calibri" w:cs="Calibri" w:eastAsia="Calibri" w:hAnsi="Calibri"/>
          <w:b/>
          <w:bCs/>
          <w:color w:val="2E6E9E"/>
          <w:sz w:val="25"/>
          <w:szCs w:val="25"/>
        </w:rPr>
        <w:t xml:space="preserve">4.2 Reference implementation</w:t>
      </w:r>
    </w:p>
    <w:p>
      <w:pPr>
        <w:spacing w:after="20" w:before="80"/>
      </w:pPr>
      <w:r>
        <w:rPr>
          <w:rFonts w:ascii="Calibri" w:cs="Calibri" w:eastAsia="Calibri" w:hAnsi="Calibri"/>
          <w:i/>
          <w:iCs/>
          <w:color w:val="444444"/>
          <w:sz w:val="18"/>
          <w:szCs w:val="18"/>
        </w:rPr>
        <w:t xml:space="preserve">Listing 4.1 — Idempotent cleaning stage. Every dropped/altered row is recoverable from logs.</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import numpy as np, pandas as pd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def clean_prices(df: pd.DataFrame, cal: pd.DatetimeIndex) -&gt; pd.DataFrame: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 = df.reindex(cal)                       # 1. align to trading calendar</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 = df[~df.index.duplicated(keep='last')] # 3. de-duplicate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2. impute short gaps only, never look ahead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df[['Open','High','Low','Close','Adj Close']] =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df[['Open','High','Low','Close','Adj Close']].ffill(limit=3))</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df['Volume'] = df['Volume'].fillna(0)</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5. OHLC invariant check</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bad = ((df['Low'] &gt; df[['Open','Close','High']].min(axis=1))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(df['High'] &lt; df[['Open','Close','Low']].max(axis=1)))</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df.loc[bad, :] = np.nan   # quarantine, then re-inspect</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4. flag return outliers (do NOT auto-delete)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r = np.log(df['Adj Close']).diff()</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z = (r - r.rolling(63).mean()) / r.rolling(63).std()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df['is_outlier'] = z.abs() &gt; 5</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return df.dropna(subset=['Adj Close'])</w:t>
      </w:r>
    </w:p>
    <w:p>
      <w:pPr>
        <w:spacing w:after="100"/>
      </w:pP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Audit requirement:  </w:t>
      </w:r>
      <w:r>
        <w:rPr>
          <w:rFonts w:ascii="Calibri" w:cs="Calibri" w:eastAsia="Calibri" w:hAnsi="Calibri"/>
          <w:b w:val="false"/>
          <w:bCs w:val="false"/>
          <w:i w:val="false"/>
          <w:iCs w:val="false"/>
          <w:color w:val="22402F"/>
          <w:sz w:val="20"/>
          <w:szCs w:val="20"/>
        </w:rPr>
        <w:t xml:space="preserve">The cleaning script must emit a one-page data-quality report (rows in, rows out, gaps filled, outliers flagged, invariant violations) that ships with every dataset build.</w:t>
      </w:r>
    </w:p>
    <w:p>
      <w:r>
        <w:br w:type="page"/>
      </w:r>
    </w:p>
    <w:p>
      <w:pPr>
        <w:pStyle w:val="Heading1"/>
        <w:keepNext/>
        <w:spacing w:after="140" w:before="320"/>
      </w:pPr>
      <w:r>
        <w:rPr>
          <w:rFonts w:ascii="Calibri" w:cs="Calibri" w:eastAsia="Calibri" w:hAnsi="Calibri"/>
          <w:b/>
          <w:bCs/>
          <w:color w:val="1F3A5F"/>
          <w:sz w:val="30"/>
          <w:szCs w:val="30"/>
        </w:rPr>
        <w:t xml:space="preserve">5. Feature Engineering Strategy</w:t>
      </w:r>
    </w:p>
    <w:p>
      <w:pPr>
        <w:spacing w:after="120" w:line="276"/>
        <w:jc w:val="both"/>
      </w:pPr>
      <w:r>
        <w:rPr>
          <w:rFonts w:ascii="Calibri" w:cs="Calibri" w:eastAsia="Calibri" w:hAnsi="Calibri"/>
          <w:b w:val="false"/>
          <w:bCs w:val="false"/>
          <w:i w:val="false"/>
          <w:iCs w:val="false"/>
          <w:color w:val="222222"/>
          <w:sz w:val="21"/>
          <w:szCs w:val="21"/>
        </w:rPr>
        <w:t xml:space="preserve">Features convert raw prices into signals the models can learn from. Every feature must be computable using only information available at or before time t — this is the single most important rule in the project, because a feature that peeks at the future produces excellent validation scores and worthless live behaviour.</w:t>
      </w:r>
    </w:p>
    <w:p>
      <w:pPr>
        <w:pStyle w:val="Heading2"/>
        <w:keepNext/>
        <w:spacing w:after="100" w:before="240"/>
      </w:pPr>
      <w:r>
        <w:rPr>
          <w:rFonts w:ascii="Calibri" w:cs="Calibri" w:eastAsia="Calibri" w:hAnsi="Calibri"/>
          <w:b/>
          <w:bCs/>
          <w:color w:val="2E6E9E"/>
          <w:sz w:val="25"/>
          <w:szCs w:val="25"/>
        </w:rPr>
        <w:t xml:space="preserve">5.1 Feature families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1700"/>
        <w:gridCol w:w="4200"/>
        <w:gridCol w:w="3740"/>
      </w:tblGrid>
      <w:tr>
        <w:trPr>
          <w:tblHeader/>
        </w:trPr>
        <w:tc>
          <w:tcPr>
            <w:tcW w:type="dxa" w:w="17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Family</w:t>
            </w:r>
          </w:p>
        </w:tc>
        <w:tc>
          <w:tcPr>
            <w:tcW w:type="dxa" w:w="4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Representative features</w:t>
            </w:r>
          </w:p>
        </w:tc>
        <w:tc>
          <w:tcPr>
            <w:tcW w:type="dxa" w:w="37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Rationale</w:t>
            </w:r>
          </w:p>
        </w:tc>
      </w:tr>
      <w:tr>
        <w:tc>
          <w:tcPr>
            <w:tcW w:type="dxa" w:w="17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Returns</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1-day log return, 5/10/21-day cumulative returns</w:t>
            </w:r>
          </w:p>
        </w:tc>
        <w:tc>
          <w:tcPr>
            <w:tcW w:type="dxa" w:w="37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Stationary target-adjacent signal</w:t>
            </w:r>
          </w:p>
        </w:tc>
      </w:tr>
      <w:tr>
        <w:tc>
          <w:tcPr>
            <w:tcW w:type="dxa" w:w="17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Trend</w:t>
            </w:r>
          </w:p>
        </w:tc>
        <w:tc>
          <w:tcPr>
            <w:tcW w:type="dxa" w:w="4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SMA &amp; EMA (10/20/50/200), price-to-MA ratios, MACD</w:t>
            </w:r>
          </w:p>
        </w:tc>
        <w:tc>
          <w:tcPr>
            <w:tcW w:type="dxa" w:w="37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Directional context</w:t>
            </w:r>
          </w:p>
        </w:tc>
      </w:tr>
      <w:tr>
        <w:tc>
          <w:tcPr>
            <w:tcW w:type="dxa" w:w="17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Momentum</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RSI(14), Stochastic %K/%D, ROC</w:t>
            </w:r>
          </w:p>
        </w:tc>
        <w:tc>
          <w:tcPr>
            <w:tcW w:type="dxa" w:w="37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Overbought/oversold state</w:t>
            </w:r>
          </w:p>
        </w:tc>
      </w:tr>
      <w:tr>
        <w:tc>
          <w:tcPr>
            <w:tcW w:type="dxa" w:w="17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Volatility</w:t>
            </w:r>
          </w:p>
        </w:tc>
        <w:tc>
          <w:tcPr>
            <w:tcW w:type="dxa" w:w="4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Rolling std of returns, ATR(14), Bollinger band width</w:t>
            </w:r>
          </w:p>
        </w:tc>
        <w:tc>
          <w:tcPr>
            <w:tcW w:type="dxa" w:w="37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Risk regime</w:t>
            </w:r>
          </w:p>
        </w:tc>
      </w:tr>
      <w:tr>
        <w:tc>
          <w:tcPr>
            <w:tcW w:type="dxa" w:w="17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Volume</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Volume z-score, OBV, volume/price divergence</w:t>
            </w:r>
          </w:p>
        </w:tc>
        <w:tc>
          <w:tcPr>
            <w:tcW w:type="dxa" w:w="37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Conviction behind a move</w:t>
            </w:r>
          </w:p>
        </w:tc>
      </w:tr>
      <w:tr>
        <w:tc>
          <w:tcPr>
            <w:tcW w:type="dxa" w:w="17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Calendar</w:t>
            </w:r>
          </w:p>
        </w:tc>
        <w:tc>
          <w:tcPr>
            <w:tcW w:type="dxa" w:w="4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Day-of-week, month, turn-of-month flag</w:t>
            </w:r>
          </w:p>
        </w:tc>
        <w:tc>
          <w:tcPr>
            <w:tcW w:type="dxa" w:w="37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Seasonal effects</w:t>
            </w:r>
          </w:p>
        </w:tc>
      </w:tr>
      <w:tr>
        <w:tc>
          <w:tcPr>
            <w:tcW w:type="dxa" w:w="17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Macro/market</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VIX level &amp; change, yield spread (10Y–3M), index return</w:t>
            </w:r>
          </w:p>
        </w:tc>
        <w:tc>
          <w:tcPr>
            <w:tcW w:type="dxa" w:w="37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Systematic context</w:t>
            </w:r>
          </w:p>
        </w:tc>
      </w:tr>
      <w:tr>
        <w:tc>
          <w:tcPr>
            <w:tcW w:type="dxa" w:w="17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Lagged target</w:t>
            </w:r>
          </w:p>
        </w:tc>
        <w:tc>
          <w:tcPr>
            <w:tcW w:type="dxa" w:w="4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Close lagged 1…n, lagged returns</w:t>
            </w:r>
          </w:p>
        </w:tc>
        <w:tc>
          <w:tcPr>
            <w:tcW w:type="dxa" w:w="37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Autoregressive structure</w:t>
            </w:r>
          </w:p>
        </w:tc>
      </w:tr>
      <w:tr>
        <w:tc>
          <w:tcPr>
            <w:tcW w:type="dxa" w:w="17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Sentiment</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Daily sentiment score, 3-day sentiment momentum</w:t>
            </w:r>
          </w:p>
        </w:tc>
        <w:tc>
          <w:tcPr>
            <w:tcW w:type="dxa" w:w="37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Qualitative signal (Section 8)</w:t>
            </w:r>
          </w:p>
        </w:tc>
      </w:tr>
    </w:tbl>
    <w:p>
      <w:pPr>
        <w:pStyle w:val="Heading2"/>
        <w:keepNext/>
        <w:spacing w:after="100" w:before="240"/>
      </w:pPr>
      <w:r>
        <w:rPr>
          <w:rFonts w:ascii="Calibri" w:cs="Calibri" w:eastAsia="Calibri" w:hAnsi="Calibri"/>
          <w:b/>
          <w:bCs/>
          <w:color w:val="2E6E9E"/>
          <w:sz w:val="25"/>
          <w:szCs w:val="25"/>
        </w:rPr>
        <w:t xml:space="preserve">5.2 Technical indicators — worked definitions</w:t>
      </w:r>
    </w:p>
    <w:p>
      <w:pPr>
        <w:spacing w:after="120" w:line="276"/>
        <w:jc w:val="both"/>
      </w:pPr>
      <w:r>
        <w:rPr>
          <w:rFonts w:ascii="Calibri" w:cs="Calibri" w:eastAsia="Calibri" w:hAnsi="Calibri"/>
          <w:b w:val="false"/>
          <w:bCs w:val="false"/>
          <w:i w:val="false"/>
          <w:iCs w:val="false"/>
          <w:color w:val="222222"/>
          <w:sz w:val="21"/>
          <w:szCs w:val="21"/>
        </w:rPr>
        <w:t xml:space="preserve">Two indicators the candidate must implement and be able to explain:</w:t>
      </w:r>
    </w:p>
    <w:p>
      <w:pPr>
        <w:spacing w:after="120" w:line="276"/>
        <w:jc w:val="both"/>
      </w:pPr>
      <w:r>
        <w:rPr>
          <w:rFonts w:ascii="Calibri" w:cs="Calibri" w:eastAsia="Calibri" w:hAnsi="Calibri"/>
          <w:b/>
          <w:bCs/>
          <w:i w:val="false"/>
          <w:iCs w:val="false"/>
          <w:color w:val="222222"/>
          <w:sz w:val="21"/>
          <w:szCs w:val="21"/>
        </w:rPr>
        <w:t xml:space="preserve">RSI (Relative Strength Index): </w:t>
      </w:r>
      <w:r>
        <w:rPr>
          <w:rFonts w:ascii="Calibri" w:cs="Calibri" w:eastAsia="Calibri" w:hAnsi="Calibri"/>
          <w:b w:val="false"/>
          <w:bCs w:val="false"/>
          <w:i w:val="false"/>
          <w:iCs w:val="false"/>
          <w:color w:val="222222"/>
          <w:sz w:val="21"/>
          <w:szCs w:val="21"/>
        </w:rPr>
        <w:t xml:space="preserve">RSI = 100 − 100 / (1 + RS), where RS = average gain / average loss over 14 periods. Values above 70 suggest overbought, below 30 oversold.</w:t>
      </w:r>
    </w:p>
    <w:p>
      <w:pPr>
        <w:spacing w:after="120" w:line="276"/>
        <w:jc w:val="both"/>
      </w:pPr>
      <w:r>
        <w:rPr>
          <w:rFonts w:ascii="Calibri" w:cs="Calibri" w:eastAsia="Calibri" w:hAnsi="Calibri"/>
          <w:b/>
          <w:bCs/>
          <w:i w:val="false"/>
          <w:iCs w:val="false"/>
          <w:color w:val="222222"/>
          <w:sz w:val="21"/>
          <w:szCs w:val="21"/>
        </w:rPr>
        <w:t xml:space="preserve">Bollinger Band width: </w:t>
      </w:r>
      <w:r>
        <w:rPr>
          <w:rFonts w:ascii="Calibri" w:cs="Calibri" w:eastAsia="Calibri" w:hAnsi="Calibri"/>
          <w:b w:val="false"/>
          <w:bCs w:val="false"/>
          <w:i w:val="false"/>
          <w:iCs w:val="false"/>
          <w:color w:val="222222"/>
          <w:sz w:val="21"/>
          <w:szCs w:val="21"/>
        </w:rPr>
        <w:t xml:space="preserve">(Upper − Lower) / Middle, where the bands are the 20-day SMA ± 2 rolling standard deviations. Band width is a direct, interpretable volatility feature.</w:t>
      </w:r>
    </w:p>
    <w:p>
      <w:pPr>
        <w:spacing w:after="20" w:before="80"/>
      </w:pPr>
      <w:r>
        <w:rPr>
          <w:rFonts w:ascii="Calibri" w:cs="Calibri" w:eastAsia="Calibri" w:hAnsi="Calibri"/>
          <w:i/>
          <w:iCs/>
          <w:color w:val="444444"/>
          <w:sz w:val="18"/>
          <w:szCs w:val="18"/>
        </w:rPr>
        <w:t xml:space="preserve">Listing 5.1 — All features use only past/current data. No .shift(-1) anywhere.</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def add_features(df):</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p = df['Adj Close']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df['ret1']  = np.log(p).diff()</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df['ret5']  = np.log(p).diff(5)</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for w in (10, 20, 50, 200):</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df[f'sma{w}']  = p.rolling(w).mean()</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df[f'p_sma{w}'] = p / df[f'sma{w}']</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RSI(14)</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 = p.diff()</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up, dn = d.clip(lower=0), -d.clip(upper=0)</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rs = up.rolling(14).mean() / dn.rolling(14).mean()</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df['rsi14'] = 100 - 100/(1+rs)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volatility + bands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df['vol21'] = df['ret1'].rolling(21).std()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mid, sd = p.rolling(20).mean(), p.rolling(20).std()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df['bb_width'] = (4*sd) / mid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calendar</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df['dow']   = df.index.dayofweek</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df['month'] = df.index.month</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return df.dropna()          # drop warm-up rows from rolling windows</w:t>
      </w:r>
    </w:p>
    <w:p>
      <w:pPr>
        <w:spacing w:after="100"/>
      </w:pPr>
    </w:p>
    <w:p>
      <w:pPr>
        <w:pStyle w:val="Heading2"/>
        <w:keepNext/>
        <w:spacing w:after="100" w:before="240"/>
      </w:pPr>
      <w:r>
        <w:rPr>
          <w:rFonts w:ascii="Calibri" w:cs="Calibri" w:eastAsia="Calibri" w:hAnsi="Calibri"/>
          <w:b/>
          <w:bCs/>
          <w:color w:val="2E6E9E"/>
          <w:sz w:val="25"/>
          <w:szCs w:val="25"/>
        </w:rPr>
        <w:t xml:space="preserve">5.3 Time-series sequence generation (for deep models)</w:t>
      </w:r>
    </w:p>
    <w:p>
      <w:pPr>
        <w:spacing w:after="120" w:line="276"/>
        <w:jc w:val="both"/>
      </w:pPr>
      <w:r>
        <w:rPr>
          <w:rFonts w:ascii="Calibri" w:cs="Calibri" w:eastAsia="Calibri" w:hAnsi="Calibri"/>
          <w:b w:val="false"/>
          <w:bCs w:val="false"/>
          <w:i w:val="false"/>
          <w:iCs w:val="false"/>
          <w:color w:val="222222"/>
          <w:sz w:val="21"/>
          <w:szCs w:val="21"/>
        </w:rPr>
        <w:t xml:space="preserve">Sequence models consume a sliding window of the last L days of features to predict the target. The windowing function must never let a window overlap the boundary between train and test.</w:t>
      </w:r>
    </w:p>
    <w:p>
      <w:pPr>
        <w:spacing w:after="20" w:before="80"/>
      </w:pPr>
      <w:r>
        <w:rPr>
          <w:rFonts w:ascii="Calibri" w:cs="Calibri" w:eastAsia="Calibri" w:hAnsi="Calibri"/>
          <w:i/>
          <w:iCs/>
          <w:color w:val="444444"/>
          <w:sz w:val="18"/>
          <w:szCs w:val="18"/>
        </w:rPr>
        <w:t xml:space="preserve">Listing 5.2 — Windowing for LSTM/GRU/Transformer inputs of shape (samples, L, n_features).</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def make_sequences(X, y, L=60, horizon=1):</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Xs, ys = [],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for i in range(len(X) - L - horizon + 1):</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Xs.append(X[i : i+L])              # last L days of features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ys.append(y[i + L + horizon - 1])  # target `horizon` days ahead</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return np.array(Xs), np.array(ys)</w:t>
      </w:r>
    </w:p>
    <w:p>
      <w:pPr>
        <w:spacing w:after="100"/>
      </w:pPr>
    </w:p>
    <w:p>
      <w:pPr>
        <w:pStyle w:val="Heading2"/>
        <w:keepNext/>
        <w:spacing w:after="100" w:before="240"/>
      </w:pPr>
      <w:r>
        <w:rPr>
          <w:rFonts w:ascii="Calibri" w:cs="Calibri" w:eastAsia="Calibri" w:hAnsi="Calibri"/>
          <w:b/>
          <w:bCs/>
          <w:color w:val="2E6E9E"/>
          <w:sz w:val="25"/>
          <w:szCs w:val="25"/>
        </w:rPr>
        <w:t xml:space="preserve">5.4 Scaling — the leakage trap</w:t>
      </w: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Critical:  </w:t>
      </w:r>
      <w:r>
        <w:rPr>
          <w:rFonts w:ascii="Calibri" w:cs="Calibri" w:eastAsia="Calibri" w:hAnsi="Calibri"/>
          <w:b w:val="false"/>
          <w:bCs w:val="false"/>
          <w:i w:val="false"/>
          <w:iCs w:val="false"/>
          <w:color w:val="22402F"/>
          <w:sz w:val="20"/>
          <w:szCs w:val="20"/>
        </w:rPr>
        <w:t xml:space="preserve">Fit the scaler on the TRAIN split only, then transform validation and test with those fitted parameters. Fitting a scaler on the full dataset before splitting leaks the test distribution into training and is the most common silent failure in student projects.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Use StandardScaler for tree/linear/SVR inputs; MinMaxScaler is acceptable for neural inputs.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Scale the target separately and keep the fitted scaler to invert predictions back to price space for reporting.</w:t>
      </w:r>
    </w:p>
    <w:p>
      <w:r>
        <w:br w:type="page"/>
      </w:r>
    </w:p>
    <w:p>
      <w:pPr>
        <w:pStyle w:val="Heading1"/>
        <w:keepNext/>
        <w:spacing w:after="140" w:before="320"/>
      </w:pPr>
      <w:r>
        <w:rPr>
          <w:rFonts w:ascii="Calibri" w:cs="Calibri" w:eastAsia="Calibri" w:hAnsi="Calibri"/>
          <w:b/>
          <w:bCs/>
          <w:color w:val="1F3A5F"/>
          <w:sz w:val="30"/>
          <w:szCs w:val="30"/>
        </w:rPr>
        <w:t xml:space="preserve">6. Exploratory Data Analysis</w:t>
      </w:r>
    </w:p>
    <w:p>
      <w:pPr>
        <w:spacing w:after="120" w:line="276"/>
        <w:jc w:val="both"/>
      </w:pPr>
      <w:r>
        <w:rPr>
          <w:rFonts w:ascii="Calibri" w:cs="Calibri" w:eastAsia="Calibri" w:hAnsi="Calibri"/>
          <w:b w:val="false"/>
          <w:bCs w:val="false"/>
          <w:i w:val="false"/>
          <w:iCs w:val="false"/>
          <w:color w:val="222222"/>
          <w:sz w:val="21"/>
          <w:szCs w:val="21"/>
        </w:rPr>
        <w:t xml:space="preserve">EDA is not decoration; it justifies the modelling choices that follow. Each analysis below must end in a written observation that changes a later decision (which features, which loss, which validation window).</w:t>
      </w:r>
    </w:p>
    <w:p>
      <w:pPr>
        <w:pStyle w:val="Heading2"/>
        <w:keepNext/>
        <w:spacing w:after="100" w:before="240"/>
      </w:pPr>
      <w:r>
        <w:rPr>
          <w:rFonts w:ascii="Calibri" w:cs="Calibri" w:eastAsia="Calibri" w:hAnsi="Calibri"/>
          <w:b/>
          <w:bCs/>
          <w:color w:val="2E6E9E"/>
          <w:sz w:val="25"/>
          <w:szCs w:val="25"/>
        </w:rPr>
        <w:t xml:space="preserve">6.1 Required analyses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100"/>
        <w:gridCol w:w="4100"/>
        <w:gridCol w:w="3440"/>
      </w:tblGrid>
      <w:tr>
        <w:trPr>
          <w:tblHeader/>
        </w:trPr>
        <w:tc>
          <w:tcPr>
            <w:tcW w:type="dxa" w:w="21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Analysis</w:t>
            </w:r>
          </w:p>
        </w:tc>
        <w:tc>
          <w:tcPr>
            <w:tcW w:type="dxa" w:w="41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Method</w:t>
            </w:r>
          </w:p>
        </w:tc>
        <w:tc>
          <w:tcPr>
            <w:tcW w:type="dxa" w:w="34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Decision it informs</w:t>
            </w:r>
          </w:p>
        </w:tc>
      </w:tr>
      <w:tr>
        <w:tc>
          <w:tcPr>
            <w:tcW w:type="dxa" w:w="2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Trend analysis</w:t>
            </w:r>
          </w:p>
        </w:tc>
        <w:tc>
          <w:tcPr>
            <w:tcW w:type="dxa" w:w="4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Price with 50/200-day MAs; log-scale view</w:t>
            </w:r>
          </w:p>
        </w:tc>
        <w:tc>
          <w:tcPr>
            <w:tcW w:type="dxa" w:w="3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Whether to model price or returns</w:t>
            </w:r>
          </w:p>
        </w:tc>
      </w:tr>
      <w:tr>
        <w:tc>
          <w:tcPr>
            <w:tcW w:type="dxa" w:w="21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Stationarity</w:t>
            </w:r>
          </w:p>
        </w:tc>
        <w:tc>
          <w:tcPr>
            <w:tcW w:type="dxa" w:w="41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Augmented Dickey-Fuller test on price vs. returns</w:t>
            </w:r>
          </w:p>
        </w:tc>
        <w:tc>
          <w:tcPr>
            <w:tcW w:type="dxa" w:w="3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Confirms modelling returns, not raw price</w:t>
            </w:r>
          </w:p>
        </w:tc>
      </w:tr>
      <w:tr>
        <w:tc>
          <w:tcPr>
            <w:tcW w:type="dxa" w:w="2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Correlation</w:t>
            </w:r>
          </w:p>
        </w:tc>
        <w:tc>
          <w:tcPr>
            <w:tcW w:type="dxa" w:w="4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Pearson &amp; Spearman across tickers and features</w:t>
            </w:r>
          </w:p>
        </w:tc>
        <w:tc>
          <w:tcPr>
            <w:tcW w:type="dxa" w:w="3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Feature pruning; diversification universe</w:t>
            </w:r>
          </w:p>
        </w:tc>
      </w:tr>
      <w:tr>
        <w:tc>
          <w:tcPr>
            <w:tcW w:type="dxa" w:w="21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Volatility</w:t>
            </w:r>
          </w:p>
        </w:tc>
        <w:tc>
          <w:tcPr>
            <w:tcW w:type="dxa" w:w="41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Rolling std, VIX overlay, volatility clustering</w:t>
            </w:r>
          </w:p>
        </w:tc>
        <w:tc>
          <w:tcPr>
            <w:tcW w:type="dxa" w:w="3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Risk regime features; portfolio inputs</w:t>
            </w:r>
          </w:p>
        </w:tc>
      </w:tr>
      <w:tr>
        <w:tc>
          <w:tcPr>
            <w:tcW w:type="dxa" w:w="2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Seasonality</w:t>
            </w:r>
          </w:p>
        </w:tc>
        <w:tc>
          <w:tcPr>
            <w:tcW w:type="dxa" w:w="41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Monthly/day-of-week return averages; STL decomposition</w:t>
            </w:r>
          </w:p>
        </w:tc>
        <w:tc>
          <w:tcPr>
            <w:tcW w:type="dxa" w:w="3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Calendar features</w:t>
            </w:r>
          </w:p>
        </w:tc>
      </w:tr>
      <w:tr>
        <w:tc>
          <w:tcPr>
            <w:tcW w:type="dxa" w:w="21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Distribution</w:t>
            </w:r>
          </w:p>
        </w:tc>
        <w:tc>
          <w:tcPr>
            <w:tcW w:type="dxa" w:w="41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Return histogram, QQ-plot, skew &amp; kurtosis</w:t>
            </w:r>
          </w:p>
        </w:tc>
        <w:tc>
          <w:tcPr>
            <w:tcW w:type="dxa" w:w="3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Fat-tail awareness; risk assumptions</w:t>
            </w:r>
          </w:p>
        </w:tc>
      </w:tr>
    </w:tbl>
    <w:p>
      <w:pPr>
        <w:pStyle w:val="Heading2"/>
        <w:keepNext/>
        <w:spacing w:after="100" w:before="240"/>
      </w:pPr>
      <w:r>
        <w:rPr>
          <w:rFonts w:ascii="Calibri" w:cs="Calibri" w:eastAsia="Calibri" w:hAnsi="Calibri"/>
          <w:b/>
          <w:bCs/>
          <w:color w:val="2E6E9E"/>
          <w:sz w:val="25"/>
          <w:szCs w:val="25"/>
        </w:rPr>
        <w:t xml:space="preserve">6.2 Required visualisations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Price trend charts with moving averages and volume subplot per ticker.</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Correlation heatmap of asset returns (drives the diversification argument in Section 10).</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Returns distribution histogram with a normal overlay, exposing fat tails and negative skew.</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Rolling-volatility line chart with the VIX overlaid to show co-movement.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Seasonal heatmap of average return by month × year.</w:t>
      </w:r>
    </w:p>
    <w:p>
      <w:pPr>
        <w:pStyle w:val="Heading2"/>
        <w:keepNext/>
        <w:spacing w:after="100" w:before="240"/>
      </w:pPr>
      <w:r>
        <w:rPr>
          <w:rFonts w:ascii="Calibri" w:cs="Calibri" w:eastAsia="Calibri" w:hAnsi="Calibri"/>
          <w:b/>
          <w:bCs/>
          <w:color w:val="2E6E9E"/>
          <w:sz w:val="25"/>
          <w:szCs w:val="25"/>
        </w:rPr>
        <w:t xml:space="preserve">6.3 Statistical checks to report</w:t>
      </w:r>
    </w:p>
    <w:p>
      <w:pPr>
        <w:spacing w:after="20" w:before="80"/>
      </w:pPr>
      <w:r>
        <w:rPr>
          <w:rFonts w:ascii="Calibri" w:cs="Calibri" w:eastAsia="Calibri" w:hAnsi="Calibri"/>
          <w:i/>
          <w:iCs/>
          <w:color w:val="444444"/>
          <w:sz w:val="18"/>
          <w:szCs w:val="18"/>
        </w:rPr>
        <w:t xml:space="preserve">Listing 6.1 — The ADF result is the empirical justification for forecasting returns rather than raw price.</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from statsmodels.tsa.stattools import adfuller</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from scipy.stats import skew, kurtosis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price_p  = adfuller(df['Adj Close'].dropna())[1]   # expect &gt; 0.05 (non-stationary)</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ret_p    = adfuller(df['ret1'].dropna())[1]        # expect &lt; 0.05 (stationary)</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print(f'skew={skew(df.ret1.dropna()):.2f}  kurt={kurtosis(df.ret1.dropna()):.2f}')</w:t>
      </w:r>
    </w:p>
    <w:p>
      <w:pPr>
        <w:spacing w:after="100"/>
      </w:pP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Deliverable note:  </w:t>
      </w:r>
      <w:r>
        <w:rPr>
          <w:rFonts w:ascii="Calibri" w:cs="Calibri" w:eastAsia="Calibri" w:hAnsi="Calibri"/>
          <w:b w:val="false"/>
          <w:bCs w:val="false"/>
          <w:i w:val="false"/>
          <w:iCs w:val="false"/>
          <w:color w:val="22402F"/>
          <w:sz w:val="20"/>
          <w:szCs w:val="20"/>
        </w:rPr>
        <w:t xml:space="preserve">Each EDA figure is captioned with the finding and its consequence, e.g. "Returns show excess kurtosis of 6.1 → risk metrics must not assume normality; drawdown and empirical VaR are reported alongside standard deviation."</w:t>
      </w:r>
    </w:p>
    <w:p>
      <w:r>
        <w:br w:type="page"/>
      </w:r>
    </w:p>
    <w:p>
      <w:pPr>
        <w:pStyle w:val="Heading1"/>
        <w:keepNext/>
        <w:spacing w:after="140" w:before="320"/>
      </w:pPr>
      <w:r>
        <w:rPr>
          <w:rFonts w:ascii="Calibri" w:cs="Calibri" w:eastAsia="Calibri" w:hAnsi="Calibri"/>
          <w:b/>
          <w:bCs/>
          <w:color w:val="1F3A5F"/>
          <w:sz w:val="30"/>
          <w:szCs w:val="30"/>
        </w:rPr>
        <w:t xml:space="preserve">7. Mathematical Foundations</w:t>
      </w:r>
    </w:p>
    <w:p>
      <w:pPr>
        <w:spacing w:after="120" w:line="276"/>
        <w:jc w:val="both"/>
      </w:pPr>
      <w:r>
        <w:rPr>
          <w:rFonts w:ascii="Calibri" w:cs="Calibri" w:eastAsia="Calibri" w:hAnsi="Calibri"/>
          <w:b w:val="false"/>
          <w:bCs w:val="false"/>
          <w:i w:val="false"/>
          <w:iCs w:val="false"/>
          <w:color w:val="222222"/>
          <w:sz w:val="21"/>
          <w:szCs w:val="21"/>
        </w:rPr>
        <w:t xml:space="preserve">The candidate must implement the core financial mathematics from first principles at least once, then may use libraries thereafter. Being able to reproduce a Sharpe ratio or a covariance matrix by hand is what separates an advanced submission from a wrapper around a tutorial.</w:t>
      </w:r>
    </w:p>
    <w:p>
      <w:pPr>
        <w:pStyle w:val="Heading2"/>
        <w:keepNext/>
        <w:spacing w:after="100" w:before="240"/>
      </w:pPr>
      <w:r>
        <w:rPr>
          <w:rFonts w:ascii="Calibri" w:cs="Calibri" w:eastAsia="Calibri" w:hAnsi="Calibri"/>
          <w:b/>
          <w:bCs/>
          <w:color w:val="2E6E9E"/>
          <w:sz w:val="25"/>
          <w:szCs w:val="25"/>
        </w:rPr>
        <w:t xml:space="preserve">7.1 Returns and risk</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500"/>
        <w:gridCol w:w="3900"/>
        <w:gridCol w:w="3240"/>
      </w:tblGrid>
      <w:tr>
        <w:trPr>
          <w:tblHeader/>
        </w:trPr>
        <w:tc>
          <w:tcPr>
            <w:tcW w:type="dxa" w:w="25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Quantity</w:t>
            </w:r>
          </w:p>
        </w:tc>
        <w:tc>
          <w:tcPr>
            <w:tcW w:type="dxa" w:w="39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Definition</w:t>
            </w:r>
          </w:p>
        </w:tc>
        <w:tc>
          <w:tcPr>
            <w:tcW w:type="dxa" w:w="32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Interpretation</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Simple return</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r_t = (P_t − P_{t−1}) / P_{t−1}</w:t>
            </w:r>
          </w:p>
        </w:tc>
        <w:tc>
          <w:tcPr>
            <w:tcW w:type="dxa" w:w="32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Period percentage change</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Log return</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R_t = ln(P_t / P_{t−1})</w:t>
            </w:r>
          </w:p>
        </w:tc>
        <w:tc>
          <w:tcPr>
            <w:tcW w:type="dxa" w:w="32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Time-additive; preferred for modelling</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Expected return</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μ = E[r] ≈ mean of historical returns</w:t>
            </w:r>
          </w:p>
        </w:tc>
        <w:tc>
          <w:tcPr>
            <w:tcW w:type="dxa" w:w="32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Central tendency of reward</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Variance</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σ² = E[(r − μ)²]</w:t>
            </w:r>
          </w:p>
        </w:tc>
        <w:tc>
          <w:tcPr>
            <w:tcW w:type="dxa" w:w="32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Dispersion of returns</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Std deviation (volatility)</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σ = √σ²</w:t>
            </w:r>
          </w:p>
        </w:tc>
        <w:tc>
          <w:tcPr>
            <w:tcW w:type="dxa" w:w="32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Standard risk measure</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Annualisation</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μ_ann = μ_daily·252 ; σ_ann = σ_daily·√252</w:t>
            </w:r>
          </w:p>
        </w:tc>
        <w:tc>
          <w:tcPr>
            <w:tcW w:type="dxa" w:w="32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Scale daily stats to yearly</w:t>
            </w:r>
          </w:p>
        </w:tc>
      </w:tr>
    </w:tbl>
    <w:p>
      <w:pPr>
        <w:pStyle w:val="Heading2"/>
        <w:keepNext/>
        <w:spacing w:after="100" w:before="240"/>
      </w:pPr>
      <w:r>
        <w:rPr>
          <w:rFonts w:ascii="Calibri" w:cs="Calibri" w:eastAsia="Calibri" w:hAnsi="Calibri"/>
          <w:b/>
          <w:bCs/>
          <w:color w:val="2E6E9E"/>
          <w:sz w:val="25"/>
          <w:szCs w:val="25"/>
        </w:rPr>
        <w:t xml:space="preserve">7.2 Covariance, correlation, and Beta</w:t>
      </w:r>
    </w:p>
    <w:p>
      <w:pPr>
        <w:spacing w:after="120" w:line="276"/>
        <w:jc w:val="both"/>
      </w:pPr>
      <w:r>
        <w:rPr>
          <w:rFonts w:ascii="Calibri" w:cs="Calibri" w:eastAsia="Calibri" w:hAnsi="Calibri"/>
          <w:b w:val="false"/>
          <w:bCs w:val="false"/>
          <w:i w:val="false"/>
          <w:iCs w:val="false"/>
          <w:color w:val="222222"/>
          <w:sz w:val="21"/>
          <w:szCs w:val="21"/>
        </w:rPr>
        <w:t xml:space="preserve">Covariance drives diversification; the covariance matrix Σ is the heart of portfolio optimisation.</w:t>
      </w:r>
    </w:p>
    <w:p>
      <w:pPr>
        <w:spacing w:after="120" w:line="276"/>
        <w:jc w:val="both"/>
      </w:pPr>
      <w:r>
        <w:rPr>
          <w:rFonts w:ascii="Calibri" w:cs="Calibri" w:eastAsia="Calibri" w:hAnsi="Calibri"/>
          <w:b/>
          <w:bCs/>
          <w:i w:val="false"/>
          <w:iCs w:val="false"/>
          <w:color w:val="222222"/>
          <w:sz w:val="21"/>
          <w:szCs w:val="21"/>
        </w:rPr>
        <w:t xml:space="preserve">Covariance: </w:t>
      </w:r>
      <w:r>
        <w:rPr>
          <w:rFonts w:ascii="Calibri" w:cs="Calibri" w:eastAsia="Calibri" w:hAnsi="Calibri"/>
          <w:b w:val="false"/>
          <w:bCs w:val="false"/>
          <w:i w:val="false"/>
          <w:iCs w:val="false"/>
          <w:color w:val="222222"/>
          <w:sz w:val="21"/>
          <w:szCs w:val="21"/>
        </w:rPr>
        <w:t xml:space="preserve">Cov(a,b) = E[(r_a − μ_a)(r_b − μ_b)].</w:t>
      </w:r>
    </w:p>
    <w:p>
      <w:pPr>
        <w:spacing w:after="120" w:line="276"/>
        <w:jc w:val="both"/>
      </w:pPr>
      <w:r>
        <w:rPr>
          <w:rFonts w:ascii="Calibri" w:cs="Calibri" w:eastAsia="Calibri" w:hAnsi="Calibri"/>
          <w:b/>
          <w:bCs/>
          <w:i w:val="false"/>
          <w:iCs w:val="false"/>
          <w:color w:val="222222"/>
          <w:sz w:val="21"/>
          <w:szCs w:val="21"/>
        </w:rPr>
        <w:t xml:space="preserve">Correlation: </w:t>
      </w:r>
      <w:r>
        <w:rPr>
          <w:rFonts w:ascii="Calibri" w:cs="Calibri" w:eastAsia="Calibri" w:hAnsi="Calibri"/>
          <w:b w:val="false"/>
          <w:bCs w:val="false"/>
          <w:i w:val="false"/>
          <w:iCs w:val="false"/>
          <w:color w:val="222222"/>
          <w:sz w:val="21"/>
          <w:szCs w:val="21"/>
        </w:rPr>
        <w:t xml:space="preserve">ρ = Cov(a,b) / (σ_a·σ_b), bounded in [−1, 1].</w:t>
      </w:r>
    </w:p>
    <w:p>
      <w:pPr>
        <w:spacing w:after="120" w:line="276"/>
        <w:jc w:val="both"/>
      </w:pPr>
      <w:r>
        <w:rPr>
          <w:rFonts w:ascii="Calibri" w:cs="Calibri" w:eastAsia="Calibri" w:hAnsi="Calibri"/>
          <w:b/>
          <w:bCs/>
          <w:i w:val="false"/>
          <w:iCs w:val="false"/>
          <w:color w:val="222222"/>
          <w:sz w:val="21"/>
          <w:szCs w:val="21"/>
        </w:rPr>
        <w:t xml:space="preserve">Beta: </w:t>
      </w:r>
      <w:r>
        <w:rPr>
          <w:rFonts w:ascii="Calibri" w:cs="Calibri" w:eastAsia="Calibri" w:hAnsi="Calibri"/>
          <w:b w:val="false"/>
          <w:bCs w:val="false"/>
          <w:i w:val="false"/>
          <w:iCs w:val="false"/>
          <w:color w:val="222222"/>
          <w:sz w:val="21"/>
          <w:szCs w:val="21"/>
        </w:rPr>
        <w:t xml:space="preserve">β_i = Cov(r_i, r_m) / Var(r_m), the sensitivity of asset i to the market m. Beta is the systematic-risk input required by the CAPM view and by risk reporting.</w:t>
      </w:r>
    </w:p>
    <w:p>
      <w:pPr>
        <w:pStyle w:val="Heading2"/>
        <w:keepNext/>
        <w:spacing w:after="100" w:before="240"/>
      </w:pPr>
      <w:r>
        <w:rPr>
          <w:rFonts w:ascii="Calibri" w:cs="Calibri" w:eastAsia="Calibri" w:hAnsi="Calibri"/>
          <w:b/>
          <w:bCs/>
          <w:color w:val="2E6E9E"/>
          <w:sz w:val="25"/>
          <w:szCs w:val="25"/>
        </w:rPr>
        <w:t xml:space="preserve">7.3 Portfolio-level mathematics (linear algebra)</w:t>
      </w:r>
    </w:p>
    <w:p>
      <w:pPr>
        <w:spacing w:after="120" w:line="276"/>
        <w:jc w:val="both"/>
      </w:pPr>
      <w:r>
        <w:rPr>
          <w:rFonts w:ascii="Calibri" w:cs="Calibri" w:eastAsia="Calibri" w:hAnsi="Calibri"/>
          <w:b w:val="false"/>
          <w:bCs w:val="false"/>
          <w:i w:val="false"/>
          <w:iCs w:val="false"/>
          <w:color w:val="222222"/>
          <w:sz w:val="21"/>
          <w:szCs w:val="21"/>
        </w:rPr>
        <w:t xml:space="preserve">For weights vector w, expected-return vector μ, and covariance matrix Σ:</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Portfolio expected return:  </w:t>
      </w:r>
      <w:r>
        <w:rPr>
          <w:rFonts w:ascii="Consolas" w:cs="Consolas" w:eastAsia="Consolas" w:hAnsi="Consolas"/>
          <w:b w:val="false"/>
          <w:bCs w:val="false"/>
          <w:i w:val="false"/>
          <w:iCs w:val="false"/>
          <w:color w:val="9C2D41"/>
          <w:sz w:val="19"/>
          <w:szCs w:val="19"/>
        </w:rPr>
        <w:t xml:space="preserve">μ_p = wᵀμ</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Portfolio variance:  </w:t>
      </w:r>
      <w:r>
        <w:rPr>
          <w:rFonts w:ascii="Consolas" w:cs="Consolas" w:eastAsia="Consolas" w:hAnsi="Consolas"/>
          <w:b w:val="false"/>
          <w:bCs w:val="false"/>
          <w:i w:val="false"/>
          <w:iCs w:val="false"/>
          <w:color w:val="9C2D41"/>
          <w:sz w:val="19"/>
          <w:szCs w:val="19"/>
        </w:rPr>
        <w:t xml:space="preserve">σ_p² = wᵀ Σ w</w:t>
      </w:r>
      <w:r>
        <w:rPr>
          <w:rFonts w:ascii="Calibri" w:cs="Calibri" w:eastAsia="Calibri" w:hAnsi="Calibri"/>
          <w:b w:val="false"/>
          <w:bCs w:val="false"/>
          <w:i w:val="false"/>
          <w:iCs w:val="false"/>
          <w:color w:val="222222"/>
          <w:sz w:val="21"/>
          <w:szCs w:val="21"/>
        </w:rPr>
        <w:t xml:space="preserve">  (this quadratic form is why linear algebra is unavoidable here).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Constraint:  </w:t>
      </w:r>
      <w:r>
        <w:rPr>
          <w:rFonts w:ascii="Consolas" w:cs="Consolas" w:eastAsia="Consolas" w:hAnsi="Consolas"/>
          <w:b w:val="false"/>
          <w:bCs w:val="false"/>
          <w:i w:val="false"/>
          <w:iCs w:val="false"/>
          <w:color w:val="9C2D41"/>
          <w:sz w:val="19"/>
          <w:szCs w:val="19"/>
        </w:rPr>
        <w:t xml:space="preserve">Σ wᵢ = 1</w:t>
      </w:r>
      <w:r>
        <w:rPr>
          <w:rFonts w:ascii="Calibri" w:cs="Calibri" w:eastAsia="Calibri" w:hAnsi="Calibri"/>
          <w:b w:val="false"/>
          <w:bCs w:val="false"/>
          <w:i w:val="false"/>
          <w:iCs w:val="false"/>
          <w:color w:val="222222"/>
          <w:sz w:val="21"/>
          <w:szCs w:val="21"/>
        </w:rPr>
        <w:t xml:space="preserve">  (fully invested), with optional </w:t>
      </w:r>
      <w:r>
        <w:rPr>
          <w:rFonts w:ascii="Consolas" w:cs="Consolas" w:eastAsia="Consolas" w:hAnsi="Consolas"/>
          <w:b w:val="false"/>
          <w:bCs w:val="false"/>
          <w:i w:val="false"/>
          <w:iCs w:val="false"/>
          <w:color w:val="9C2D41"/>
          <w:sz w:val="19"/>
          <w:szCs w:val="19"/>
        </w:rPr>
        <w:t xml:space="preserve">wᵢ ≥ 0</w:t>
      </w:r>
      <w:r>
        <w:rPr>
          <w:rFonts w:ascii="Calibri" w:cs="Calibri" w:eastAsia="Calibri" w:hAnsi="Calibri"/>
          <w:b w:val="false"/>
          <w:bCs w:val="false"/>
          <w:i w:val="false"/>
          <w:iCs w:val="false"/>
          <w:color w:val="222222"/>
          <w:sz w:val="21"/>
          <w:szCs w:val="21"/>
        </w:rPr>
        <w:t xml:space="preserve"> (long-only).</w:t>
      </w:r>
    </w:p>
    <w:p>
      <w:pPr>
        <w:pStyle w:val="Heading2"/>
        <w:keepNext/>
        <w:spacing w:after="100" w:before="240"/>
      </w:pPr>
      <w:r>
        <w:rPr>
          <w:rFonts w:ascii="Calibri" w:cs="Calibri" w:eastAsia="Calibri" w:hAnsi="Calibri"/>
          <w:b/>
          <w:bCs/>
          <w:color w:val="2E6E9E"/>
          <w:sz w:val="25"/>
          <w:szCs w:val="25"/>
        </w:rPr>
        <w:t xml:space="preserve">7.4 Risk-adjusted performance metrics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200"/>
        <w:gridCol w:w="3900"/>
        <w:gridCol w:w="3540"/>
      </w:tblGrid>
      <w:tr>
        <w:trPr>
          <w:tblHeader/>
        </w:trPr>
        <w:tc>
          <w:tcPr>
            <w:tcW w:type="dxa" w:w="2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Metric</w:t>
            </w:r>
          </w:p>
        </w:tc>
        <w:tc>
          <w:tcPr>
            <w:tcW w:type="dxa" w:w="39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Formula</w:t>
            </w:r>
          </w:p>
        </w:tc>
        <w:tc>
          <w:tcPr>
            <w:tcW w:type="dxa" w:w="35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What it rewards / penalises</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Sharpe ratio</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(μ_p − r_f) / σ_p</w:t>
            </w:r>
          </w:p>
        </w:tc>
        <w:tc>
          <w:tcPr>
            <w:tcW w:type="dxa" w:w="35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Excess return per unit of total risk</w:t>
            </w:r>
          </w:p>
        </w:tc>
      </w:tr>
      <w:tr>
        <w:tc>
          <w:tcPr>
            <w:tcW w:type="dxa" w:w="2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Sortino ratio</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(μ_p − r_f) / σ_downside</w:t>
            </w:r>
          </w:p>
        </w:tc>
        <w:tc>
          <w:tcPr>
            <w:tcW w:type="dxa" w:w="35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Penalises only downside volatility</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Maximum drawdown</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min_t (V_t / max_{s≤t} V_s − 1)</w:t>
            </w:r>
          </w:p>
        </w:tc>
        <w:tc>
          <w:tcPr>
            <w:tcW w:type="dxa" w:w="35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Worst peak-to-trough loss</w:t>
            </w:r>
          </w:p>
        </w:tc>
      </w:tr>
      <w:tr>
        <w:tc>
          <w:tcPr>
            <w:tcW w:type="dxa" w:w="2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Calmar ratio</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annual return / |max drawdown|</w:t>
            </w:r>
          </w:p>
        </w:tc>
        <w:tc>
          <w:tcPr>
            <w:tcW w:type="dxa" w:w="35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Return relative to worst loss</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Value at Risk (95%)</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5th percentile of return distribution</w:t>
            </w:r>
          </w:p>
        </w:tc>
        <w:tc>
          <w:tcPr>
            <w:tcW w:type="dxa" w:w="35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Plausible bad-day loss</w:t>
            </w:r>
          </w:p>
        </w:tc>
      </w:tr>
    </w:tbl>
    <w:p>
      <w:pPr>
        <w:pStyle w:val="Heading2"/>
        <w:keepNext/>
        <w:spacing w:after="100" w:before="240"/>
      </w:pPr>
      <w:r>
        <w:rPr>
          <w:rFonts w:ascii="Calibri" w:cs="Calibri" w:eastAsia="Calibri" w:hAnsi="Calibri"/>
          <w:b/>
          <w:bCs/>
          <w:color w:val="2E6E9E"/>
          <w:sz w:val="25"/>
          <w:szCs w:val="25"/>
        </w:rPr>
        <w:t xml:space="preserve">7.5 Optimisation &amp; gradient descent</w:t>
      </w:r>
    </w:p>
    <w:p>
      <w:pPr>
        <w:spacing w:after="120" w:line="276"/>
        <w:jc w:val="both"/>
      </w:pPr>
      <w:r>
        <w:rPr>
          <w:rFonts w:ascii="Calibri" w:cs="Calibri" w:eastAsia="Calibri" w:hAnsi="Calibri"/>
          <w:b w:val="false"/>
          <w:bCs w:val="false"/>
          <w:i w:val="false"/>
          <w:iCs w:val="false"/>
          <w:color w:val="222222"/>
          <w:sz w:val="21"/>
          <w:szCs w:val="21"/>
        </w:rPr>
        <w:t xml:space="preserve">Two optimisation contexts appear in this project. (1) Model training — parameters θ minimise a loss L(θ) via gradient descent, θ ← θ − η∇L(θ). (2) Portfolio construction — weights w maximise the Sharpe ratio subject to constraints, a constrained quadratic problem solved with a convex solver. The candidate implements a manual gradient-descent linear regression to internalise (1).</w:t>
      </w:r>
    </w:p>
    <w:p>
      <w:pPr>
        <w:spacing w:after="20" w:before="80"/>
      </w:pPr>
      <w:r>
        <w:rPr>
          <w:rFonts w:ascii="Calibri" w:cs="Calibri" w:eastAsia="Calibri" w:hAnsi="Calibri"/>
          <w:i/>
          <w:iCs/>
          <w:color w:val="444444"/>
          <w:sz w:val="18"/>
          <w:szCs w:val="18"/>
        </w:rPr>
        <w:t xml:space="preserve">Listing 7.1 — Manual gradient descent; converged weights must match the analytical OLS solution.</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From-scratch gradient descent — to be checked against sklearn's closed form</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def gd_linreg(X, y, lr=1e-2, epochs=2000):</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n, d = X.shape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 b = np.zeros(d), 0.0</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for _ in range(epochs):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yhat = X @ w + b</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err  = yhat - y</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   -= lr * (2/n) * (X.T @ err)      # ∂L/∂w</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b   -= lr * (2/n) * err.sum()        # ∂L/∂b</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return w, b</w:t>
      </w:r>
    </w:p>
    <w:p>
      <w:pPr>
        <w:spacing w:after="100"/>
      </w:pPr>
    </w:p>
    <w:p>
      <w:pPr>
        <w:pStyle w:val="Heading2"/>
        <w:keepNext/>
        <w:spacing w:after="100" w:before="240"/>
      </w:pPr>
      <w:r>
        <w:rPr>
          <w:rFonts w:ascii="Calibri" w:cs="Calibri" w:eastAsia="Calibri" w:hAnsi="Calibri"/>
          <w:b/>
          <w:bCs/>
          <w:color w:val="2E6E9E"/>
          <w:sz w:val="25"/>
          <w:szCs w:val="25"/>
        </w:rPr>
        <w:t xml:space="preserve">7.6 Probability &amp; statistical inference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Model returns with an empirical distribution and stress-test the (frequently wrong) normality assumption via the QQ-plot and Jarque-Bera test.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Use the </w:t>
      </w:r>
      <w:r>
        <w:rPr>
          <w:rFonts w:ascii="Calibri" w:cs="Calibri" w:eastAsia="Calibri" w:hAnsi="Calibri"/>
          <w:b/>
          <w:bCs/>
          <w:i w:val="false"/>
          <w:iCs w:val="false"/>
          <w:color w:val="222222"/>
          <w:sz w:val="21"/>
          <w:szCs w:val="21"/>
        </w:rPr>
        <w:t xml:space="preserve">t-distribution</w:t>
      </w:r>
      <w:r>
        <w:rPr>
          <w:rFonts w:ascii="Calibri" w:cs="Calibri" w:eastAsia="Calibri" w:hAnsi="Calibri"/>
          <w:b w:val="false"/>
          <w:bCs w:val="false"/>
          <w:i w:val="false"/>
          <w:iCs w:val="false"/>
          <w:color w:val="222222"/>
          <w:sz w:val="21"/>
          <w:szCs w:val="21"/>
        </w:rPr>
        <w:t xml:space="preserve"> for fat tails when computing parametric VaR.</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Report confidence intervals on backtested Sharpe ratios via block bootstrap to avoid overstating significance.</w:t>
      </w:r>
    </w:p>
    <w:p>
      <w:r>
        <w:br w:type="page"/>
      </w:r>
    </w:p>
    <w:p>
      <w:pPr>
        <w:pStyle w:val="Heading1"/>
        <w:keepNext/>
        <w:spacing w:after="140" w:before="320"/>
      </w:pPr>
      <w:r>
        <w:rPr>
          <w:rFonts w:ascii="Calibri" w:cs="Calibri" w:eastAsia="Calibri" w:hAnsi="Calibri"/>
          <w:b/>
          <w:bCs/>
          <w:color w:val="1F3A5F"/>
          <w:sz w:val="30"/>
          <w:szCs w:val="30"/>
        </w:rPr>
        <w:t xml:space="preserve">8. Machine Learning Workflow</w:t>
      </w:r>
    </w:p>
    <w:p>
      <w:pPr>
        <w:spacing w:after="120" w:line="276"/>
        <w:jc w:val="both"/>
      </w:pPr>
      <w:r>
        <w:rPr>
          <w:rFonts w:ascii="Calibri" w:cs="Calibri" w:eastAsia="Calibri" w:hAnsi="Calibri"/>
          <w:b w:val="false"/>
          <w:bCs w:val="false"/>
          <w:i w:val="false"/>
          <w:iCs w:val="false"/>
          <w:color w:val="222222"/>
          <w:sz w:val="21"/>
          <w:szCs w:val="21"/>
        </w:rPr>
        <w:t xml:space="preserve">Four classical regressors form the baseline against which deep models are judged. All four consume the same engineered feature table and are validated under the same chronological protocol, so any performance difference is attributable to the model, not the data pipeline.</w:t>
      </w:r>
    </w:p>
    <w:p>
      <w:pPr>
        <w:pStyle w:val="Heading2"/>
        <w:keepNext/>
        <w:spacing w:after="100" w:before="240"/>
      </w:pPr>
      <w:r>
        <w:rPr>
          <w:rFonts w:ascii="Calibri" w:cs="Calibri" w:eastAsia="Calibri" w:hAnsi="Calibri"/>
          <w:b/>
          <w:bCs/>
          <w:color w:val="2E6E9E"/>
          <w:sz w:val="25"/>
          <w:szCs w:val="25"/>
        </w:rPr>
        <w:t xml:space="preserve">8.1 Models and why each is included</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400"/>
        <w:gridCol w:w="3800"/>
        <w:gridCol w:w="3440"/>
      </w:tblGrid>
      <w:tr>
        <w:trPr>
          <w:tblHeader/>
        </w:trPr>
        <w:tc>
          <w:tcPr>
            <w:tcW w:type="dxa" w:w="24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Model</w:t>
            </w:r>
          </w:p>
        </w:tc>
        <w:tc>
          <w:tcPr>
            <w:tcW w:type="dxa" w:w="38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Role</w:t>
            </w:r>
          </w:p>
        </w:tc>
        <w:tc>
          <w:tcPr>
            <w:tcW w:type="dxa" w:w="34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Key hyperparameters to tune</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Linear Regression</w:t>
            </w:r>
          </w:p>
        </w:tc>
        <w:tc>
          <w:tcPr>
            <w:tcW w:type="dxa" w:w="38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Transparent baseline; sanity floor</w:t>
            </w:r>
          </w:p>
        </w:tc>
        <w:tc>
          <w:tcPr>
            <w:tcW w:type="dxa" w:w="3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Regularisation (Ridge/Lasso α)</w:t>
            </w:r>
          </w:p>
        </w:tc>
      </w:tr>
      <w:tr>
        <w:tc>
          <w:tcPr>
            <w:tcW w:type="dxa" w:w="2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Random Forest Regressor</w:t>
            </w:r>
          </w:p>
        </w:tc>
        <w:tc>
          <w:tcPr>
            <w:tcW w:type="dxa" w:w="38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Non-linear, robust, gives feature importance</w:t>
            </w:r>
          </w:p>
        </w:tc>
        <w:tc>
          <w:tcPr>
            <w:tcW w:type="dxa" w:w="3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n_estimators, max_depth, min_samples_leaf</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XGBoost Regressor</w:t>
            </w:r>
          </w:p>
        </w:tc>
        <w:tc>
          <w:tcPr>
            <w:tcW w:type="dxa" w:w="38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Usually strongest tabular model</w:t>
            </w:r>
          </w:p>
        </w:tc>
        <w:tc>
          <w:tcPr>
            <w:tcW w:type="dxa" w:w="3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learning_rate, max_depth, subsample, n_estimators</w:t>
            </w:r>
          </w:p>
        </w:tc>
      </w:tr>
      <w:tr>
        <w:tc>
          <w:tcPr>
            <w:tcW w:type="dxa" w:w="2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Support Vector Regression</w:t>
            </w:r>
          </w:p>
        </w:tc>
        <w:tc>
          <w:tcPr>
            <w:tcW w:type="dxa" w:w="38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Kernel-based non-linear benchmark</w:t>
            </w:r>
          </w:p>
        </w:tc>
        <w:tc>
          <w:tcPr>
            <w:tcW w:type="dxa" w:w="3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 epsilon, gamma, kernel</w:t>
            </w:r>
          </w:p>
        </w:tc>
      </w:tr>
    </w:tbl>
    <w:p>
      <w:pPr>
        <w:pStyle w:val="Heading2"/>
        <w:keepNext/>
        <w:spacing w:after="100" w:before="240"/>
      </w:pPr>
      <w:r>
        <w:rPr>
          <w:rFonts w:ascii="Calibri" w:cs="Calibri" w:eastAsia="Calibri" w:hAnsi="Calibri"/>
          <w:b/>
          <w:bCs/>
          <w:color w:val="2E6E9E"/>
          <w:sz w:val="25"/>
          <w:szCs w:val="25"/>
        </w:rPr>
        <w:t xml:space="preserve">8.2 Validation protocol — no shuffling, ever</w:t>
      </w: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Non-negotiable:  </w:t>
      </w:r>
      <w:r>
        <w:rPr>
          <w:rFonts w:ascii="Calibri" w:cs="Calibri" w:eastAsia="Calibri" w:hAnsi="Calibri"/>
          <w:b w:val="false"/>
          <w:bCs w:val="false"/>
          <w:i w:val="false"/>
          <w:iCs w:val="false"/>
          <w:color w:val="22402F"/>
          <w:sz w:val="20"/>
          <w:szCs w:val="20"/>
        </w:rPr>
        <w:t xml:space="preserve">Time-series data must be split chronologically. Standard k-fold shuffling mixes future into past and invalidates the entire evaluation. Use scikit-learn's TimeSeriesSplit (expanding window) or a manual walk-forward loop.</w:t>
      </w:r>
    </w:p>
    <w:p>
      <w:pPr>
        <w:spacing w:after="20" w:before="80"/>
      </w:pPr>
      <w:r>
        <w:rPr>
          <w:rFonts w:ascii="Calibri" w:cs="Calibri" w:eastAsia="Calibri" w:hAnsi="Calibri"/>
          <w:i/>
          <w:iCs/>
          <w:color w:val="444444"/>
          <w:sz w:val="18"/>
          <w:szCs w:val="18"/>
        </w:rPr>
        <w:t xml:space="preserve">Listing 8.1 — Expanding-window cross-validation; the scaler is refit inside every fold.</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from sklearn.model_selection import TimeSeriesSplit</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from sklearn.metrics import mean_squared_error, mean_absolute_error, r2_score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import numpy as np</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tscv = TimeSeriesSplit(n_splits=5)         # expanding-window walk-forward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for tr_idx, te_idx in tscv.split(X):</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Xtr, Xte = X[tr_idx], X[te_idx]</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ytr, yte = y[tr_idx], y[te_idx]</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scaler = StandardScaler().fit(Xtr)     # FIT ON TRAIN ONLY</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model.fit(scaler.transform(Xtr), ytr)</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pred = model.predict(scaler.transform(Xte))</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 accumulate fold metrics ...</w:t>
      </w:r>
    </w:p>
    <w:p>
      <w:pPr>
        <w:spacing w:after="100"/>
      </w:pPr>
    </w:p>
    <w:p>
      <w:pPr>
        <w:pStyle w:val="Heading2"/>
        <w:keepNext/>
        <w:spacing w:after="100" w:before="240"/>
      </w:pPr>
      <w:r>
        <w:rPr>
          <w:rFonts w:ascii="Calibri" w:cs="Calibri" w:eastAsia="Calibri" w:hAnsi="Calibri"/>
          <w:b/>
          <w:bCs/>
          <w:color w:val="2E6E9E"/>
          <w:sz w:val="25"/>
          <w:szCs w:val="25"/>
        </w:rPr>
        <w:t xml:space="preserve">8.3 Evaluation metrics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1900"/>
        <w:gridCol w:w="3900"/>
        <w:gridCol w:w="3840"/>
      </w:tblGrid>
      <w:tr>
        <w:trPr>
          <w:tblHeader/>
        </w:trPr>
        <w:tc>
          <w:tcPr>
            <w:tcW w:type="dxa" w:w="19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Metric</w:t>
            </w:r>
          </w:p>
        </w:tc>
        <w:tc>
          <w:tcPr>
            <w:tcW w:type="dxa" w:w="39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Formula (n samples)</w:t>
            </w:r>
          </w:p>
        </w:tc>
        <w:tc>
          <w:tcPr>
            <w:tcW w:type="dxa" w:w="38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Reads as</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RMSE</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√(Σ(yᵢ − ŷᵢ)² / n)</w:t>
            </w:r>
          </w:p>
        </w:tc>
        <w:tc>
          <w:tcPr>
            <w:tcW w:type="dxa" w:w="3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Typical error in price units; penalises large misses</w:t>
            </w:r>
          </w:p>
        </w:tc>
      </w:tr>
      <w:tr>
        <w:tc>
          <w:tcPr>
            <w:tcW w:type="dxa" w:w="1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MAE</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Σ|yᵢ − ŷᵢ| / n</w:t>
            </w:r>
          </w:p>
        </w:tc>
        <w:tc>
          <w:tcPr>
            <w:tcW w:type="dxa" w:w="38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Average absolute error; robust to outliers</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MAPE</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(100/n)·Σ|(yᵢ − ŷᵢ)/yᵢ|</w:t>
            </w:r>
          </w:p>
        </w:tc>
        <w:tc>
          <w:tcPr>
            <w:tcW w:type="dxa" w:w="3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Percentage error; scale-free comparison</w:t>
            </w:r>
          </w:p>
        </w:tc>
      </w:tr>
      <w:tr>
        <w:tc>
          <w:tcPr>
            <w:tcW w:type="dxa" w:w="1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R² score</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1 − SS_res / SS_tot</w:t>
            </w:r>
          </w:p>
        </w:tc>
        <w:tc>
          <w:tcPr>
            <w:tcW w:type="dxa" w:w="38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Fraction of variance explained</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Directional accuracy</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 of days sign(Δŷ) = sign(Δy)</w:t>
            </w:r>
          </w:p>
        </w:tc>
        <w:tc>
          <w:tcPr>
            <w:tcW w:type="dxa" w:w="3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Whether the model calls the direction right</w:t>
            </w:r>
          </w:p>
        </w:tc>
      </w:tr>
    </w:tbl>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Add a real baseline:  </w:t>
      </w:r>
      <w:r>
        <w:rPr>
          <w:rFonts w:ascii="Calibri" w:cs="Calibri" w:eastAsia="Calibri" w:hAnsi="Calibri"/>
          <w:b w:val="false"/>
          <w:bCs w:val="false"/>
          <w:i w:val="false"/>
          <w:iCs w:val="false"/>
          <w:color w:val="22402F"/>
          <w:sz w:val="20"/>
          <w:szCs w:val="20"/>
        </w:rPr>
        <w:t xml:space="preserve">Every model is compared against a naive random-walk predictor (tomorrow = today). A model that cannot beat the random walk on MAE and directional accuracy is reported as a failure — this honesty is graded.</w:t>
      </w:r>
    </w:p>
    <w:p>
      <w:r>
        <w:br w:type="page"/>
      </w:r>
    </w:p>
    <w:p>
      <w:pPr>
        <w:pStyle w:val="Heading1"/>
        <w:keepNext/>
        <w:spacing w:after="140" w:before="320"/>
      </w:pPr>
      <w:r>
        <w:rPr>
          <w:rFonts w:ascii="Calibri" w:cs="Calibri" w:eastAsia="Calibri" w:hAnsi="Calibri"/>
          <w:b/>
          <w:bCs/>
          <w:color w:val="1F3A5F"/>
          <w:sz w:val="30"/>
          <w:szCs w:val="30"/>
        </w:rPr>
        <w:t xml:space="preserve">9. Deep Learning Architecture</w:t>
      </w:r>
    </w:p>
    <w:p>
      <w:pPr>
        <w:spacing w:after="120" w:line="276"/>
        <w:jc w:val="both"/>
      </w:pPr>
      <w:r>
        <w:rPr>
          <w:rFonts w:ascii="Calibri" w:cs="Calibri" w:eastAsia="Calibri" w:hAnsi="Calibri"/>
          <w:b w:val="false"/>
          <w:bCs w:val="false"/>
          <w:i w:val="false"/>
          <w:iCs w:val="false"/>
          <w:color w:val="222222"/>
          <w:sz w:val="21"/>
          <w:szCs w:val="21"/>
        </w:rPr>
        <w:t xml:space="preserve">Four sequence architectures are implemented, each consuming the (samples, L, n_features) windows from Listing 5.2. All are trained with early stopping on a chronological validation split and diagnosed with train-vs-validation loss curves.</w:t>
      </w:r>
    </w:p>
    <w:p>
      <w:pPr>
        <w:pStyle w:val="Heading2"/>
        <w:keepNext/>
        <w:spacing w:after="100" w:before="240"/>
      </w:pPr>
      <w:r>
        <w:rPr>
          <w:rFonts w:ascii="Calibri" w:cs="Calibri" w:eastAsia="Calibri" w:hAnsi="Calibri"/>
          <w:b/>
          <w:bCs/>
          <w:color w:val="2E6E9E"/>
          <w:sz w:val="25"/>
          <w:szCs w:val="25"/>
        </w:rPr>
        <w:t xml:space="preserve">9.1 Architectures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200"/>
        <w:gridCol w:w="4200"/>
        <w:gridCol w:w="3240"/>
      </w:tblGrid>
      <w:tr>
        <w:trPr>
          <w:tblHeader/>
        </w:trPr>
        <w:tc>
          <w:tcPr>
            <w:tcW w:type="dxa" w:w="2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Architecture</w:t>
            </w:r>
          </w:p>
        </w:tc>
        <w:tc>
          <w:tcPr>
            <w:tcW w:type="dxa" w:w="4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Why it fits time series</w:t>
            </w:r>
          </w:p>
        </w:tc>
        <w:tc>
          <w:tcPr>
            <w:tcW w:type="dxa" w:w="32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Core layers</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LSTM</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Gated memory captures long dependencies without vanishing gradients</w:t>
            </w:r>
          </w:p>
        </w:tc>
        <w:tc>
          <w:tcPr>
            <w:tcW w:type="dxa" w:w="32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LSTM → Dropout → LSTM → Dense</w:t>
            </w:r>
          </w:p>
        </w:tc>
      </w:tr>
      <w:tr>
        <w:tc>
          <w:tcPr>
            <w:tcW w:type="dxa" w:w="2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GRU</w:t>
            </w:r>
          </w:p>
        </w:tc>
        <w:tc>
          <w:tcPr>
            <w:tcW w:type="dxa" w:w="4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Fewer gates than LSTM; faster, often comparable</w:t>
            </w:r>
          </w:p>
        </w:tc>
        <w:tc>
          <w:tcPr>
            <w:tcW w:type="dxa" w:w="32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GRU → Dropout → GRU → Dense</w:t>
            </w:r>
          </w:p>
        </w:tc>
      </w:tr>
      <w:tr>
        <w:tc>
          <w:tcPr>
            <w:tcW w:type="dxa" w:w="2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Bidirectional LSTM</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Reads the window forward and backward for richer context</w:t>
            </w:r>
          </w:p>
        </w:tc>
        <w:tc>
          <w:tcPr>
            <w:tcW w:type="dxa" w:w="32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Bi-LSTM → Dropout → Dense</w:t>
            </w:r>
          </w:p>
        </w:tc>
      </w:tr>
      <w:tr>
        <w:tc>
          <w:tcPr>
            <w:tcW w:type="dxa" w:w="2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Transformer (encoder)</w:t>
            </w:r>
          </w:p>
        </w:tc>
        <w:tc>
          <w:tcPr>
            <w:tcW w:type="dxa" w:w="4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Self-attention weighs all timesteps directly; no recurrence</w:t>
            </w:r>
          </w:p>
        </w:tc>
        <w:tc>
          <w:tcPr>
            <w:tcW w:type="dxa" w:w="32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Positional enc. → Multi-head attention → FFN → Dense</w:t>
            </w:r>
          </w:p>
        </w:tc>
      </w:tr>
    </w:tbl>
    <w:p>
      <w:pPr>
        <w:pStyle w:val="Heading2"/>
        <w:keepNext/>
        <w:spacing w:after="100" w:before="240"/>
      </w:pPr>
      <w:r>
        <w:rPr>
          <w:rFonts w:ascii="Calibri" w:cs="Calibri" w:eastAsia="Calibri" w:hAnsi="Calibri"/>
          <w:b/>
          <w:bCs/>
          <w:color w:val="2E6E9E"/>
          <w:sz w:val="25"/>
          <w:szCs w:val="25"/>
        </w:rPr>
        <w:t xml:space="preserve">9.2 Reference LSTM</w:t>
      </w:r>
    </w:p>
    <w:p>
      <w:pPr>
        <w:spacing w:after="20" w:before="80"/>
      </w:pPr>
      <w:r>
        <w:rPr>
          <w:rFonts w:ascii="Calibri" w:cs="Calibri" w:eastAsia="Calibri" w:hAnsi="Calibri"/>
          <w:i/>
          <w:iCs/>
          <w:color w:val="444444"/>
          <w:sz w:val="18"/>
          <w:szCs w:val="18"/>
        </w:rPr>
        <w:t xml:space="preserve">Listing 9.1 — shuffle=False preserves temporal order; Huber loss tempers the effect of return outliers.</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import tensorflow as tf</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from tensorflow.keras import layers, models, callbacks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def build_lstm(L, n_features):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m = models.Sequential([</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layers.Input((L, n_features)),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layers.LSTM(64, return_sequences=True),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layers.Dropout(0.2),</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layers.LSTM(32),</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layers.Dropout(0.2),</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layers.Dense(16, activation='relu'),</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layers.Dense(1)                       # regression head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m.compile(optimizer=tf.keras.optimizers.Adam(1e-3),</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loss='huber', metrics=['mae'])   # Huber = robust to return spikes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return m</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es = callbacks.EarlyStopping(patience=12, restore_best_weights=True)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hist = model.fit(Xtr, ytr, validation_data=(Xval, yval),</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epochs=200, batch_size=64, callbacks=[es], shuffle=False)</w:t>
      </w:r>
    </w:p>
    <w:p>
      <w:pPr>
        <w:spacing w:after="100"/>
      </w:pPr>
    </w:p>
    <w:p>
      <w:pPr>
        <w:pStyle w:val="Heading2"/>
        <w:keepNext/>
        <w:spacing w:after="100" w:before="240"/>
      </w:pPr>
      <w:r>
        <w:rPr>
          <w:rFonts w:ascii="Calibri" w:cs="Calibri" w:eastAsia="Calibri" w:hAnsi="Calibri"/>
          <w:b/>
          <w:bCs/>
          <w:color w:val="2E6E9E"/>
          <w:sz w:val="25"/>
          <w:szCs w:val="25"/>
        </w:rPr>
        <w:t xml:space="preserve">9.3 Transformer block (self-attention)</w:t>
      </w:r>
    </w:p>
    <w:p>
      <w:pPr>
        <w:spacing w:after="20" w:before="80"/>
      </w:pPr>
      <w:r>
        <w:rPr>
          <w:rFonts w:ascii="Calibri" w:cs="Calibri" w:eastAsia="Calibri" w:hAnsi="Calibri"/>
          <w:i/>
          <w:iCs/>
          <w:color w:val="444444"/>
          <w:sz w:val="18"/>
          <w:szCs w:val="18"/>
        </w:rPr>
        <w:t xml:space="preserve">Listing 9.2 — A single encoder block; stack 2–3 with sinusoidal positional encoding on the input.</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def transformer_block(x, heads=4, key_dim=32, ff=64, drop=0.1):</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a = layers.MultiHeadAttention(heads, key_dim)(x, x)</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a = layers.Dropout(drop)(a)</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x = layers.LayerNormalization()(x + a)          # residual + norm</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f = layers.Dense(ff, activation='relu')(x)</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f = layers.Dense(x.shape[-1])(f)</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return layers.LayerNormalization()(x + f)       # residual + norm</w:t>
      </w:r>
    </w:p>
    <w:p>
      <w:pPr>
        <w:spacing w:after="100"/>
      </w:pPr>
    </w:p>
    <w:p>
      <w:pPr>
        <w:pStyle w:val="Heading2"/>
        <w:keepNext/>
        <w:spacing w:after="100" w:before="240"/>
      </w:pPr>
      <w:r>
        <w:rPr>
          <w:rFonts w:ascii="Calibri" w:cs="Calibri" w:eastAsia="Calibri" w:hAnsi="Calibri"/>
          <w:b/>
          <w:bCs/>
          <w:color w:val="2E6E9E"/>
          <w:sz w:val="25"/>
          <w:szCs w:val="25"/>
        </w:rPr>
        <w:t xml:space="preserve">9.4 Training discipline &amp; anti-overfitting</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Chronological train / validation / test = 70 / 15 / 15, never shuffled.</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Dropout, early stopping, and (optionally) L2 weight decay to control variance.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Plot train-vs-validation loss for every model; a widening gap is reported as overfitting, not hidden.</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Fix all random seeds (numpy, tensorflow, python) so results are reproducible.</w:t>
      </w:r>
    </w:p>
    <w:p>
      <w:pPr>
        <w:pStyle w:val="Heading2"/>
        <w:keepNext/>
        <w:spacing w:after="100" w:before="240"/>
      </w:pPr>
      <w:r>
        <w:rPr>
          <w:rFonts w:ascii="Calibri" w:cs="Calibri" w:eastAsia="Calibri" w:hAnsi="Calibri"/>
          <w:b/>
          <w:bCs/>
          <w:color w:val="2E6E9E"/>
          <w:sz w:val="25"/>
          <w:szCs w:val="25"/>
        </w:rPr>
        <w:t xml:space="preserve">9.5 ML vs. DL comparison (the headline result)</w:t>
      </w:r>
    </w:p>
    <w:p>
      <w:pPr>
        <w:spacing w:after="120" w:line="276"/>
        <w:jc w:val="both"/>
      </w:pPr>
      <w:r>
        <w:rPr>
          <w:rFonts w:ascii="Calibri" w:cs="Calibri" w:eastAsia="Calibri" w:hAnsi="Calibri"/>
          <w:b w:val="false"/>
          <w:bCs w:val="false"/>
          <w:i w:val="false"/>
          <w:iCs w:val="false"/>
          <w:color w:val="222222"/>
          <w:sz w:val="21"/>
          <w:szCs w:val="21"/>
        </w:rPr>
        <w:t xml:space="preserve">The project's central empirical table places all eight models side by side on the identical held-out test window. This is the comparison the reviewer looks for first.</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3040"/>
        <w:gridCol w:w="1360"/>
        <w:gridCol w:w="1320"/>
        <w:gridCol w:w="1360"/>
        <w:gridCol w:w="1080"/>
        <w:gridCol w:w="1480"/>
      </w:tblGrid>
      <w:tr>
        <w:trPr>
          <w:tblHeader/>
        </w:trPr>
        <w:tc>
          <w:tcPr>
            <w:tcW w:type="dxa" w:w="30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Model</w:t>
            </w:r>
          </w:p>
        </w:tc>
        <w:tc>
          <w:tcPr>
            <w:tcW w:type="dxa" w:w="136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RMSE</w:t>
            </w:r>
          </w:p>
        </w:tc>
        <w:tc>
          <w:tcPr>
            <w:tcW w:type="dxa" w:w="132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MAE</w:t>
            </w:r>
          </w:p>
        </w:tc>
        <w:tc>
          <w:tcPr>
            <w:tcW w:type="dxa" w:w="136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MAPE</w:t>
            </w:r>
          </w:p>
        </w:tc>
        <w:tc>
          <w:tcPr>
            <w:tcW w:type="dxa" w:w="108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R²</w:t>
            </w:r>
          </w:p>
        </w:tc>
        <w:tc>
          <w:tcPr>
            <w:tcW w:type="dxa" w:w="148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Dir. Acc.</w:t>
            </w:r>
          </w:p>
        </w:tc>
      </w:tr>
      <w:tr>
        <w:tc>
          <w:tcPr>
            <w:tcW w:type="dxa" w:w="3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Naive random walk (baseline)</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w:t>
            </w:r>
          </w:p>
        </w:tc>
        <w:tc>
          <w:tcPr>
            <w:tcW w:type="dxa" w:w="132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w:t>
            </w:r>
          </w:p>
        </w:tc>
        <w:tc>
          <w:tcPr>
            <w:tcW w:type="dxa" w:w="10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w:t>
            </w:r>
          </w:p>
        </w:tc>
        <w:tc>
          <w:tcPr>
            <w:tcW w:type="dxa" w:w="14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~50%</w:t>
            </w:r>
          </w:p>
        </w:tc>
      </w:tr>
      <w:tr>
        <w:tc>
          <w:tcPr>
            <w:tcW w:type="dxa" w:w="3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Linear / Ridge Regression</w:t>
            </w:r>
          </w:p>
        </w:tc>
        <w:tc>
          <w:tcPr>
            <w:tcW w:type="dxa" w:w="136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2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6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08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48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r>
      <w:tr>
        <w:tc>
          <w:tcPr>
            <w:tcW w:type="dxa" w:w="3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Random Forest</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2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0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4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r>
      <w:tr>
        <w:tc>
          <w:tcPr>
            <w:tcW w:type="dxa" w:w="3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XGBoost</w:t>
            </w:r>
          </w:p>
        </w:tc>
        <w:tc>
          <w:tcPr>
            <w:tcW w:type="dxa" w:w="136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2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6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08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48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r>
      <w:tr>
        <w:tc>
          <w:tcPr>
            <w:tcW w:type="dxa" w:w="3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SVR</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2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0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4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r>
      <w:tr>
        <w:tc>
          <w:tcPr>
            <w:tcW w:type="dxa" w:w="3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LSTM</w:t>
            </w:r>
          </w:p>
        </w:tc>
        <w:tc>
          <w:tcPr>
            <w:tcW w:type="dxa" w:w="136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2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6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08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48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r>
      <w:tr>
        <w:tc>
          <w:tcPr>
            <w:tcW w:type="dxa" w:w="3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GRU</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2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0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4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r>
      <w:tr>
        <w:tc>
          <w:tcPr>
            <w:tcW w:type="dxa" w:w="30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Bidirectional LSTM</w:t>
            </w:r>
          </w:p>
        </w:tc>
        <w:tc>
          <w:tcPr>
            <w:tcW w:type="dxa" w:w="136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2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6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08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48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r>
      <w:tr>
        <w:tc>
          <w:tcPr>
            <w:tcW w:type="dxa" w:w="30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Transformer</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2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36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0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c>
          <w:tcPr>
            <w:tcW w:type="dxa" w:w="148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to fill</w:t>
            </w:r>
          </w:p>
        </w:tc>
      </w:tr>
    </w:tbl>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Interpretation is graded, not just the numbers:  </w:t>
      </w:r>
      <w:r>
        <w:rPr>
          <w:rFonts w:ascii="Calibri" w:cs="Calibri" w:eastAsia="Calibri" w:hAnsi="Calibri"/>
          <w:b w:val="false"/>
          <w:bCs w:val="false"/>
          <w:i w:val="false"/>
          <w:iCs w:val="false"/>
          <w:color w:val="22402F"/>
          <w:sz w:val="20"/>
          <w:szCs w:val="20"/>
        </w:rPr>
        <w:t xml:space="preserve">The candidate must explain WHY the winning model wins on this data — e.g. tree models often edge out deep nets on modest daily datasets — rather than assuming deep learning is automatically superior.</w:t>
      </w:r>
    </w:p>
    <w:p>
      <w:r>
        <w:br w:type="page"/>
      </w:r>
    </w:p>
    <w:p>
      <w:pPr>
        <w:pStyle w:val="Heading1"/>
        <w:keepNext/>
        <w:spacing w:after="140" w:before="320"/>
      </w:pPr>
      <w:r>
        <w:rPr>
          <w:rFonts w:ascii="Calibri" w:cs="Calibri" w:eastAsia="Calibri" w:hAnsi="Calibri"/>
          <w:b/>
          <w:bCs/>
          <w:color w:val="1F3A5F"/>
          <w:sz w:val="30"/>
          <w:szCs w:val="30"/>
        </w:rPr>
        <w:t xml:space="preserve">10. Sentiment Analysis Module</w:t>
      </w:r>
    </w:p>
    <w:p>
      <w:pPr>
        <w:spacing w:after="120" w:line="276"/>
        <w:jc w:val="both"/>
      </w:pPr>
      <w:r>
        <w:rPr>
          <w:rFonts w:ascii="Calibri" w:cs="Calibri" w:eastAsia="Calibri" w:hAnsi="Calibri"/>
          <w:b w:val="false"/>
          <w:bCs w:val="false"/>
          <w:i w:val="false"/>
          <w:iCs w:val="false"/>
          <w:color w:val="222222"/>
          <w:sz w:val="21"/>
          <w:szCs w:val="21"/>
        </w:rPr>
        <w:t xml:space="preserve">Financial text carries information that price history alone misses — earnings tone, guidance, macro surprises. This module converts headlines and article summaries into a daily numeric sentiment signal aligned to each trading day, then tests whether that signal measurably improves forecasting.</w:t>
      </w:r>
    </w:p>
    <w:p>
      <w:pPr>
        <w:pStyle w:val="Heading2"/>
        <w:keepNext/>
        <w:spacing w:after="100" w:before="240"/>
      </w:pPr>
      <w:r>
        <w:rPr>
          <w:rFonts w:ascii="Calibri" w:cs="Calibri" w:eastAsia="Calibri" w:hAnsi="Calibri"/>
          <w:b/>
          <w:bCs/>
          <w:color w:val="2E6E9E"/>
          <w:sz w:val="25"/>
          <w:szCs w:val="25"/>
        </w:rPr>
        <w:t xml:space="preserve">10.1 Pipeline</w:t>
      </w:r>
    </w:p>
    <w:p>
      <w:pPr>
        <w:pStyle w:val="ListParagraph"/>
        <w:numPr>
          <w:ilvl w:val="0"/>
          <w:numId w:val="4"/>
        </w:numPr>
        <w:spacing w:after="70" w:line="264"/>
      </w:pPr>
      <w:r>
        <w:rPr>
          <w:rFonts w:ascii="Calibri" w:cs="Calibri" w:eastAsia="Calibri" w:hAnsi="Calibri"/>
          <w:b w:val="false"/>
          <w:bCs w:val="false"/>
          <w:i w:val="false"/>
          <w:iCs w:val="false"/>
          <w:color w:val="222222"/>
          <w:sz w:val="21"/>
          <w:szCs w:val="21"/>
        </w:rPr>
        <w:t xml:space="preserve">Ingest headlines/summaries per ticker and for the broad market, each with a timestamp.</w:t>
      </w:r>
    </w:p>
    <w:p>
      <w:pPr>
        <w:pStyle w:val="ListParagraph"/>
        <w:numPr>
          <w:ilvl w:val="0"/>
          <w:numId w:val="4"/>
        </w:numPr>
        <w:spacing w:after="70" w:line="264"/>
      </w:pPr>
      <w:r>
        <w:rPr>
          <w:rFonts w:ascii="Calibri" w:cs="Calibri" w:eastAsia="Calibri" w:hAnsi="Calibri"/>
          <w:b w:val="false"/>
          <w:bCs w:val="false"/>
          <w:i w:val="false"/>
          <w:iCs w:val="false"/>
          <w:color w:val="222222"/>
          <w:sz w:val="21"/>
          <w:szCs w:val="21"/>
        </w:rPr>
        <w:t xml:space="preserve">Clean text: lowercase, strip tickers/URLs, expand common finance abbreviations, remove boilerplate.</w:t>
      </w:r>
    </w:p>
    <w:p>
      <w:pPr>
        <w:pStyle w:val="ListParagraph"/>
        <w:numPr>
          <w:ilvl w:val="0"/>
          <w:numId w:val="4"/>
        </w:numPr>
        <w:spacing w:after="70" w:line="264"/>
      </w:pPr>
      <w:r>
        <w:rPr>
          <w:rFonts w:ascii="Calibri" w:cs="Calibri" w:eastAsia="Calibri" w:hAnsi="Calibri"/>
          <w:b w:val="false"/>
          <w:bCs w:val="false"/>
          <w:i w:val="false"/>
          <w:iCs w:val="false"/>
          <w:color w:val="222222"/>
          <w:sz w:val="21"/>
          <w:szCs w:val="21"/>
        </w:rPr>
        <w:t xml:space="preserve">Score each item with a finance-tuned model (FinBERT) and, as a lightweight comparison, a lexicon scorer (VADER).</w:t>
      </w:r>
    </w:p>
    <w:p>
      <w:pPr>
        <w:pStyle w:val="ListParagraph"/>
        <w:numPr>
          <w:ilvl w:val="0"/>
          <w:numId w:val="4"/>
        </w:numPr>
        <w:spacing w:after="70" w:line="264"/>
      </w:pPr>
      <w:r>
        <w:rPr>
          <w:rFonts w:ascii="Calibri" w:cs="Calibri" w:eastAsia="Calibri" w:hAnsi="Calibri"/>
          <w:b w:val="false"/>
          <w:bCs w:val="false"/>
          <w:i w:val="false"/>
          <w:iCs w:val="false"/>
          <w:color w:val="222222"/>
          <w:sz w:val="21"/>
          <w:szCs w:val="21"/>
        </w:rPr>
        <w:t xml:space="preserve">Aggregate to a daily score per asset (mean polarity, weighted by article count); map after-close news to the next session to avoid look-ahead.</w:t>
      </w:r>
    </w:p>
    <w:p>
      <w:pPr>
        <w:pStyle w:val="ListParagraph"/>
        <w:numPr>
          <w:ilvl w:val="0"/>
          <w:numId w:val="4"/>
        </w:numPr>
        <w:spacing w:after="70" w:line="264"/>
      </w:pPr>
      <w:r>
        <w:rPr>
          <w:rFonts w:ascii="Calibri" w:cs="Calibri" w:eastAsia="Calibri" w:hAnsi="Calibri"/>
          <w:b w:val="false"/>
          <w:bCs w:val="false"/>
          <w:i w:val="false"/>
          <w:iCs w:val="false"/>
          <w:color w:val="222222"/>
          <w:sz w:val="21"/>
          <w:szCs w:val="21"/>
        </w:rPr>
        <w:t xml:space="preserve">Derive features: daily sentiment, 3-day sentiment momentum, news-volume spike flag.</w:t>
      </w:r>
    </w:p>
    <w:p>
      <w:pPr>
        <w:pStyle w:val="Heading2"/>
        <w:keepNext/>
        <w:spacing w:after="100" w:before="240"/>
      </w:pPr>
      <w:r>
        <w:rPr>
          <w:rFonts w:ascii="Calibri" w:cs="Calibri" w:eastAsia="Calibri" w:hAnsi="Calibri"/>
          <w:b/>
          <w:bCs/>
          <w:color w:val="2E6E9E"/>
          <w:sz w:val="25"/>
          <w:szCs w:val="25"/>
        </w:rPr>
        <w:t xml:space="preserve">10.2 Scoring with FinBERT</w:t>
      </w:r>
    </w:p>
    <w:p>
      <w:pPr>
        <w:spacing w:after="20" w:before="80"/>
      </w:pPr>
      <w:r>
        <w:rPr>
          <w:rFonts w:ascii="Calibri" w:cs="Calibri" w:eastAsia="Calibri" w:hAnsi="Calibri"/>
          <w:i/>
          <w:iCs/>
          <w:color w:val="444444"/>
          <w:sz w:val="18"/>
          <w:szCs w:val="18"/>
        </w:rPr>
        <w:t xml:space="preserve">Listing 10.1 — FinBERT is domain-tuned; a generic sentiment model mislabels finance text ("debt falls" is positive).</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from transformers import pipeline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import pandas as pd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finbert = pipeline('sentiment-analysis',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model='ProsusAI/finbert', truncation=True)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def score_headlines(df_news):        # df_news: [timestamp, ticker, text]</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out = finbert(df_news['text'].tolist())</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m = {'positive': 1, 'neutral': 0, 'negative': -1}</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df_news['polarity'] = [m[o['label']] * o['score'] for o in out]</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daily = (df_news.set_index('timestamp')</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.groupby(['ticker', pd.Grouper(freq='D')])['polarity']</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.mean().rename('sentiment'))</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return daily.reset_index()</w:t>
      </w:r>
    </w:p>
    <w:p>
      <w:pPr>
        <w:spacing w:after="100"/>
      </w:pPr>
    </w:p>
    <w:p>
      <w:pPr>
        <w:pStyle w:val="Heading2"/>
        <w:keepNext/>
        <w:spacing w:after="100" w:before="240"/>
      </w:pPr>
      <w:r>
        <w:rPr>
          <w:rFonts w:ascii="Calibri" w:cs="Calibri" w:eastAsia="Calibri" w:hAnsi="Calibri"/>
          <w:b/>
          <w:bCs/>
          <w:color w:val="2E6E9E"/>
          <w:sz w:val="25"/>
          <w:szCs w:val="25"/>
        </w:rPr>
        <w:t xml:space="preserve">10.3 Market-mood indicator &amp; integration</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A market-mood index aggregates sentiment across the universe into one daily gauge (bullish / neutral / bearish) shown on the dashboard.</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Integration test: train the best forecaster </w:t>
      </w:r>
      <w:r>
        <w:rPr>
          <w:rFonts w:ascii="Calibri" w:cs="Calibri" w:eastAsia="Calibri" w:hAnsi="Calibri"/>
          <w:b/>
          <w:bCs/>
          <w:i w:val="false"/>
          <w:iCs w:val="false"/>
          <w:color w:val="222222"/>
          <w:sz w:val="21"/>
          <w:szCs w:val="21"/>
        </w:rPr>
        <w:t xml:space="preserve">with</w:t>
      </w:r>
      <w:r>
        <w:rPr>
          <w:rFonts w:ascii="Calibri" w:cs="Calibri" w:eastAsia="Calibri" w:hAnsi="Calibri"/>
          <w:b w:val="false"/>
          <w:bCs w:val="false"/>
          <w:i w:val="false"/>
          <w:iCs w:val="false"/>
          <w:color w:val="222222"/>
          <w:sz w:val="21"/>
          <w:szCs w:val="21"/>
        </w:rPr>
        <w:t xml:space="preserve"> and </w:t>
      </w:r>
      <w:r>
        <w:rPr>
          <w:rFonts w:ascii="Calibri" w:cs="Calibri" w:eastAsia="Calibri" w:hAnsi="Calibri"/>
          <w:b/>
          <w:bCs/>
          <w:i w:val="false"/>
          <w:iCs w:val="false"/>
          <w:color w:val="222222"/>
          <w:sz w:val="21"/>
          <w:szCs w:val="21"/>
        </w:rPr>
        <w:t xml:space="preserve">without</w:t>
      </w:r>
      <w:r>
        <w:rPr>
          <w:rFonts w:ascii="Calibri" w:cs="Calibri" w:eastAsia="Calibri" w:hAnsi="Calibri"/>
          <w:b w:val="false"/>
          <w:bCs w:val="false"/>
          <w:i w:val="false"/>
          <w:iCs w:val="false"/>
          <w:color w:val="222222"/>
          <w:sz w:val="21"/>
          <w:szCs w:val="21"/>
        </w:rPr>
        <w:t xml:space="preserve"> sentiment features and report the change in MAE and directional accuracy. The candidate must state honestly whether sentiment helped on this dataset.</w:t>
      </w: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Look-ahead guard:  </w:t>
      </w:r>
      <w:r>
        <w:rPr>
          <w:rFonts w:ascii="Calibri" w:cs="Calibri" w:eastAsia="Calibri" w:hAnsi="Calibri"/>
          <w:b w:val="false"/>
          <w:bCs w:val="false"/>
          <w:i w:val="false"/>
          <w:iCs w:val="false"/>
          <w:color w:val="22402F"/>
          <w:sz w:val="20"/>
          <w:szCs w:val="20"/>
        </w:rPr>
        <w:t xml:space="preserve">News published at 18:00 cannot inform a forecast for that same 16:00 close. The timestamp-to-session mapping is the correctness crux of this entire module.</w:t>
      </w:r>
    </w:p>
    <w:p>
      <w:r>
        <w:br w:type="page"/>
      </w:r>
    </w:p>
    <w:p>
      <w:pPr>
        <w:pStyle w:val="Heading1"/>
        <w:keepNext/>
        <w:spacing w:after="140" w:before="320"/>
      </w:pPr>
      <w:r>
        <w:rPr>
          <w:rFonts w:ascii="Calibri" w:cs="Calibri" w:eastAsia="Calibri" w:hAnsi="Calibri"/>
          <w:b/>
          <w:bCs/>
          <w:color w:val="1F3A5F"/>
          <w:sz w:val="30"/>
          <w:szCs w:val="30"/>
        </w:rPr>
        <w:t xml:space="preserve">11. Portfolio Optimization Methodology</w:t>
      </w:r>
    </w:p>
    <w:p>
      <w:pPr>
        <w:spacing w:after="120" w:line="276"/>
        <w:jc w:val="both"/>
      </w:pPr>
      <w:r>
        <w:rPr>
          <w:rFonts w:ascii="Calibri" w:cs="Calibri" w:eastAsia="Calibri" w:hAnsi="Calibri"/>
          <w:b w:val="false"/>
          <w:bCs w:val="false"/>
          <w:i w:val="false"/>
          <w:iCs w:val="false"/>
          <w:color w:val="222222"/>
          <w:sz w:val="21"/>
          <w:szCs w:val="21"/>
        </w:rPr>
        <w:t xml:space="preserve">Forecasts and risk estimates are converted into an allocation using Modern Portfolio Theory (Markowitz). The goal is the weight vector that maximises risk-adjusted return, visualised on the efficient frontier.</w:t>
      </w:r>
    </w:p>
    <w:p>
      <w:pPr>
        <w:pStyle w:val="Heading2"/>
        <w:keepNext/>
        <w:spacing w:after="100" w:before="240"/>
      </w:pPr>
      <w:r>
        <w:rPr>
          <w:rFonts w:ascii="Calibri" w:cs="Calibri" w:eastAsia="Calibri" w:hAnsi="Calibri"/>
          <w:b/>
          <w:bCs/>
          <w:color w:val="2E6E9E"/>
          <w:sz w:val="25"/>
          <w:szCs w:val="25"/>
        </w:rPr>
        <w:t xml:space="preserve">11.1 The optimisation problem</w:t>
      </w:r>
    </w:p>
    <w:p>
      <w:pPr>
        <w:spacing w:after="120" w:line="276"/>
        <w:jc w:val="both"/>
      </w:pPr>
      <w:r>
        <w:rPr>
          <w:rFonts w:ascii="Calibri" w:cs="Calibri" w:eastAsia="Calibri" w:hAnsi="Calibri"/>
          <w:b w:val="false"/>
          <w:bCs w:val="false"/>
          <w:i w:val="false"/>
          <w:iCs w:val="false"/>
          <w:color w:val="222222"/>
          <w:sz w:val="21"/>
          <w:szCs w:val="21"/>
        </w:rPr>
        <w:t xml:space="preserve">Given expected returns μ and covariance Σ, mean-variance optimisation finds weights w that either minimise variance for a target return, or maximise the Sharpe ratio directly:</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Maximise  </w:t>
      </w:r>
      <w:r>
        <w:rPr>
          <w:rFonts w:ascii="Consolas" w:cs="Consolas" w:eastAsia="Consolas" w:hAnsi="Consolas"/>
          <w:b w:val="false"/>
          <w:bCs w:val="false"/>
          <w:i w:val="false"/>
          <w:iCs w:val="false"/>
          <w:color w:val="9C2D41"/>
          <w:sz w:val="19"/>
          <w:szCs w:val="19"/>
        </w:rPr>
        <w:t xml:space="preserve">(wᵀμ − r_f) / √(wᵀΣw)</w:t>
      </w:r>
      <w:r>
        <w:rPr>
          <w:rFonts w:ascii="Calibri" w:cs="Calibri" w:eastAsia="Calibri" w:hAnsi="Calibri"/>
          <w:b w:val="false"/>
          <w:bCs w:val="false"/>
          <w:i w:val="false"/>
          <w:iCs w:val="false"/>
          <w:color w:val="222222"/>
          <w:sz w:val="21"/>
          <w:szCs w:val="21"/>
        </w:rPr>
        <w:t xml:space="preserve">  subject to  </w:t>
      </w:r>
      <w:r>
        <w:rPr>
          <w:rFonts w:ascii="Consolas" w:cs="Consolas" w:eastAsia="Consolas" w:hAnsi="Consolas"/>
          <w:b w:val="false"/>
          <w:bCs w:val="false"/>
          <w:i w:val="false"/>
          <w:iCs w:val="false"/>
          <w:color w:val="9C2D41"/>
          <w:sz w:val="19"/>
          <w:szCs w:val="19"/>
        </w:rPr>
        <w:t xml:space="preserve">Σwᵢ = 1</w:t>
      </w:r>
      <w:r>
        <w:rPr>
          <w:rFonts w:ascii="Calibri" w:cs="Calibri" w:eastAsia="Calibri" w:hAnsi="Calibri"/>
          <w:b w:val="false"/>
          <w:bCs w:val="false"/>
          <w:i w:val="false"/>
          <w:iCs w:val="false"/>
          <w:color w:val="222222"/>
          <w:sz w:val="21"/>
          <w:szCs w:val="21"/>
        </w:rPr>
        <w:t xml:space="preserve">,  </w:t>
      </w:r>
      <w:r>
        <w:rPr>
          <w:rFonts w:ascii="Consolas" w:cs="Consolas" w:eastAsia="Consolas" w:hAnsi="Consolas"/>
          <w:b w:val="false"/>
          <w:bCs w:val="false"/>
          <w:i w:val="false"/>
          <w:iCs w:val="false"/>
          <w:color w:val="9C2D41"/>
          <w:sz w:val="19"/>
          <w:szCs w:val="19"/>
        </w:rPr>
        <w:t xml:space="preserve">wᵢ ≥ 0</w:t>
      </w:r>
      <w:r>
        <w:rPr>
          <w:rFonts w:ascii="Calibri" w:cs="Calibri" w:eastAsia="Calibri" w:hAnsi="Calibri"/>
          <w:b w:val="false"/>
          <w:bCs w:val="false"/>
          <w:i w:val="false"/>
          <w:iCs w:val="false"/>
          <w:color w:val="222222"/>
          <w:sz w:val="21"/>
          <w:szCs w:val="21"/>
        </w:rPr>
        <w:t xml:space="preserve">  (long-only).</w:t>
      </w:r>
    </w:p>
    <w:p>
      <w:pPr>
        <w:spacing w:after="120" w:line="276"/>
        <w:jc w:val="both"/>
      </w:pPr>
      <w:r>
        <w:rPr>
          <w:rFonts w:ascii="Calibri" w:cs="Calibri" w:eastAsia="Calibri" w:hAnsi="Calibri"/>
          <w:b w:val="false"/>
          <w:bCs w:val="false"/>
          <w:i w:val="false"/>
          <w:iCs w:val="false"/>
          <w:color w:val="222222"/>
          <w:sz w:val="21"/>
          <w:szCs w:val="21"/>
        </w:rPr>
        <w:t xml:space="preserve">Expected returns may be taken from historical means, from the forecasting models (a forward-looking μ), or a blend — the candidate must document which and justify it.</w:t>
      </w:r>
    </w:p>
    <w:p>
      <w:pPr>
        <w:pStyle w:val="Heading2"/>
        <w:keepNext/>
        <w:spacing w:after="100" w:before="240"/>
      </w:pPr>
      <w:r>
        <w:rPr>
          <w:rFonts w:ascii="Calibri" w:cs="Calibri" w:eastAsia="Calibri" w:hAnsi="Calibri"/>
          <w:b/>
          <w:bCs/>
          <w:color w:val="2E6E9E"/>
          <w:sz w:val="25"/>
          <w:szCs w:val="25"/>
        </w:rPr>
        <w:t xml:space="preserve">11.2 Efficient frontier</w:t>
      </w:r>
    </w:p>
    <w:p>
      <w:pPr>
        <w:spacing w:after="120" w:line="276"/>
        <w:jc w:val="both"/>
      </w:pPr>
      <w:r>
        <w:rPr>
          <w:rFonts w:ascii="Calibri" w:cs="Calibri" w:eastAsia="Calibri" w:hAnsi="Calibri"/>
          <w:b w:val="false"/>
          <w:bCs w:val="false"/>
          <w:i w:val="false"/>
          <w:iCs w:val="false"/>
          <w:color w:val="222222"/>
          <w:sz w:val="21"/>
          <w:szCs w:val="21"/>
        </w:rPr>
        <w:t xml:space="preserve">The efficient frontier is the set of portfolios offering the highest expected return for each level of risk. Two portfolios are highlighted: the minimum-variance portfolio and the maximum-Sharpe (tangency) portfolio.</w:t>
      </w:r>
    </w:p>
    <w:p>
      <w:pPr>
        <w:spacing w:after="20" w:before="80"/>
      </w:pPr>
      <w:r>
        <w:rPr>
          <w:rFonts w:ascii="Calibri" w:cs="Calibri" w:eastAsia="Calibri" w:hAnsi="Calibri"/>
          <w:i/>
          <w:iCs/>
          <w:color w:val="444444"/>
          <w:sz w:val="18"/>
          <w:szCs w:val="18"/>
        </w:rPr>
        <w:t xml:space="preserve">Listing 11.1 — Ledoit-Wolf shrinkage stabilises the covariance matrix, avoiding the extreme weights raw Σ produces.</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from pypfopt import EfficientFrontier, expected_returns, risk_models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mu = expected_returns.mean_historical_return(prices)   # or model-implied mu</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S  = risk_models.CovarianceShrinkage(prices).ledoit_wolf()  # stable covariance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ef = EfficientFrontier(mu, S, weight_bounds=(0, 1))    # long-only</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weights = ef.max_sharpe(risk_free_rate=0.04)</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clean   = ef.clean_weights()</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mu_p, sig_p, sharpe = ef.portfolio_performance(risk_free_rate=0.04)</w:t>
      </w:r>
    </w:p>
    <w:p>
      <w:pPr>
        <w:spacing w:after="100"/>
      </w:pPr>
    </w:p>
    <w:p>
      <w:pPr>
        <w:pStyle w:val="Heading2"/>
        <w:keepNext/>
        <w:spacing w:after="100" w:before="240"/>
      </w:pPr>
      <w:r>
        <w:rPr>
          <w:rFonts w:ascii="Calibri" w:cs="Calibri" w:eastAsia="Calibri" w:hAnsi="Calibri"/>
          <w:b/>
          <w:bCs/>
          <w:color w:val="2E6E9E"/>
          <w:sz w:val="25"/>
          <w:szCs w:val="25"/>
        </w:rPr>
        <w:t xml:space="preserve">11.3 Monte Carlo cross-check</w:t>
      </w:r>
    </w:p>
    <w:p>
      <w:pPr>
        <w:spacing w:after="120" w:line="276"/>
        <w:jc w:val="both"/>
      </w:pPr>
      <w:r>
        <w:rPr>
          <w:rFonts w:ascii="Calibri" w:cs="Calibri" w:eastAsia="Calibri" w:hAnsi="Calibri"/>
          <w:b w:val="false"/>
          <w:bCs w:val="false"/>
          <w:i w:val="false"/>
          <w:iCs w:val="false"/>
          <w:color w:val="222222"/>
          <w:sz w:val="21"/>
          <w:szCs w:val="21"/>
        </w:rPr>
        <w:t xml:space="preserve">As an independent check on the solver, simulate 20,000 random long-only portfolios, plot their risk/return cloud, and confirm the analytical efficient frontier traces the cloud's upper-left edge. This validates the optimiser and produces the frontier chart for the dashboard.</w:t>
      </w:r>
    </w:p>
    <w:p>
      <w:pPr>
        <w:pStyle w:val="Heading2"/>
        <w:keepNext/>
        <w:spacing w:after="100" w:before="240"/>
      </w:pPr>
      <w:r>
        <w:rPr>
          <w:rFonts w:ascii="Calibri" w:cs="Calibri" w:eastAsia="Calibri" w:hAnsi="Calibri"/>
          <w:b/>
          <w:bCs/>
          <w:color w:val="2E6E9E"/>
          <w:sz w:val="25"/>
          <w:szCs w:val="25"/>
        </w:rPr>
        <w:t xml:space="preserve">11.4 Risk-adjusted construction</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Report Sharpe, Sortino, annualised volatility, Beta, and maximum drawdown for the chosen portfolio.</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Impose sensible constraints: per-asset cap (e.g. ≤ 30%) to prevent concentration; optional sector caps.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Backtest the optimised weights on the out-of-sample window and compare against an equal-weight and a benchmark buy-and-hold portfolio.</w:t>
      </w:r>
    </w:p>
    <w:p>
      <w:r>
        <w:br w:type="page"/>
      </w:r>
    </w:p>
    <w:p>
      <w:pPr>
        <w:pStyle w:val="Heading1"/>
        <w:keepNext/>
        <w:spacing w:after="140" w:before="320"/>
      </w:pPr>
      <w:r>
        <w:rPr>
          <w:rFonts w:ascii="Calibri" w:cs="Calibri" w:eastAsia="Calibri" w:hAnsi="Calibri"/>
          <w:b/>
          <w:bCs/>
          <w:color w:val="1F3A5F"/>
          <w:sz w:val="30"/>
          <w:szCs w:val="30"/>
        </w:rPr>
        <w:t xml:space="preserve">12. AI Recommendation System</w:t>
      </w:r>
    </w:p>
    <w:p>
      <w:pPr>
        <w:spacing w:after="120" w:line="276"/>
        <w:jc w:val="both"/>
      </w:pPr>
      <w:r>
        <w:rPr>
          <w:rFonts w:ascii="Calibri" w:cs="Calibri" w:eastAsia="Calibri" w:hAnsi="Calibri"/>
          <w:b w:val="false"/>
          <w:bCs w:val="false"/>
          <w:i w:val="false"/>
          <w:iCs w:val="false"/>
          <w:color w:val="222222"/>
          <w:sz w:val="21"/>
          <w:szCs w:val="21"/>
        </w:rPr>
        <w:t xml:space="preserve">The recommendation layer turns model output into plain-language guidance. It is deliberately rule-based and transparent — every recommendation must be explainable, because an unexplained "SELL" is useless to a user and impossible to grade.</w:t>
      </w:r>
    </w:p>
    <w:p>
      <w:pPr>
        <w:pStyle w:val="Heading2"/>
        <w:keepNext/>
        <w:spacing w:after="100" w:before="240"/>
      </w:pPr>
      <w:r>
        <w:rPr>
          <w:rFonts w:ascii="Calibri" w:cs="Calibri" w:eastAsia="Calibri" w:hAnsi="Calibri"/>
          <w:b/>
          <w:bCs/>
          <w:color w:val="2E6E9E"/>
          <w:sz w:val="25"/>
          <w:szCs w:val="25"/>
        </w:rPr>
        <w:t xml:space="preserve">12.1 Signal fusion</w:t>
      </w:r>
    </w:p>
    <w:p>
      <w:pPr>
        <w:spacing w:after="120" w:line="276"/>
        <w:jc w:val="both"/>
      </w:pPr>
      <w:r>
        <w:rPr>
          <w:rFonts w:ascii="Calibri" w:cs="Calibri" w:eastAsia="Calibri" w:hAnsi="Calibri"/>
          <w:b w:val="false"/>
          <w:bCs w:val="false"/>
          <w:i w:val="false"/>
          <w:iCs w:val="false"/>
          <w:color w:val="222222"/>
          <w:sz w:val="21"/>
          <w:szCs w:val="21"/>
        </w:rPr>
        <w:t xml:space="preserve">Each asset receives a composite score blending three normalised sub-signals: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600"/>
        <w:gridCol w:w="4200"/>
        <w:gridCol w:w="2840"/>
      </w:tblGrid>
      <w:tr>
        <w:trPr>
          <w:tblHeader/>
        </w:trPr>
        <w:tc>
          <w:tcPr>
            <w:tcW w:type="dxa" w:w="26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Sub-signal</w:t>
            </w:r>
          </w:p>
        </w:tc>
        <w:tc>
          <w:tcPr>
            <w:tcW w:type="dxa" w:w="4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Source</w:t>
            </w:r>
          </w:p>
        </w:tc>
        <w:tc>
          <w:tcPr>
            <w:tcW w:type="dxa" w:w="28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Direction</w:t>
            </w:r>
          </w:p>
        </w:tc>
      </w:tr>
      <w:tr>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Forecast signal</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Predicted forward return from the best model</w:t>
            </w:r>
          </w:p>
        </w:tc>
        <w:tc>
          <w:tcPr>
            <w:tcW w:type="dxa" w:w="2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Higher = more bullish</w:t>
            </w:r>
          </w:p>
        </w:tc>
      </w:tr>
      <w:tr>
        <w:tc>
          <w:tcPr>
            <w:tcW w:type="dxa" w:w="26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Sentiment signal</w:t>
            </w:r>
          </w:p>
        </w:tc>
        <w:tc>
          <w:tcPr>
            <w:tcW w:type="dxa" w:w="4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Daily sentiment score (Section 10)</w:t>
            </w:r>
          </w:p>
        </w:tc>
        <w:tc>
          <w:tcPr>
            <w:tcW w:type="dxa" w:w="28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Higher = more bullish</w:t>
            </w:r>
          </w:p>
        </w:tc>
      </w:tr>
      <w:tr>
        <w:tc>
          <w:tcPr>
            <w:tcW w:type="dxa" w:w="26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Risk signal</w:t>
            </w:r>
          </w:p>
        </w:tc>
        <w:tc>
          <w:tcPr>
            <w:tcW w:type="dxa" w:w="4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Volatility / drawdown / Beta</w:t>
            </w:r>
          </w:p>
        </w:tc>
        <w:tc>
          <w:tcPr>
            <w:tcW w:type="dxa" w:w="2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Higher risk = discount the score</w:t>
            </w:r>
          </w:p>
        </w:tc>
      </w:tr>
    </w:tbl>
    <w:p>
      <w:pPr>
        <w:spacing w:after="120" w:line="276"/>
        <w:jc w:val="both"/>
      </w:pPr>
      <w:r>
        <w:rPr>
          <w:rFonts w:ascii="Calibri" w:cs="Calibri" w:eastAsia="Calibri" w:hAnsi="Calibri"/>
          <w:b w:val="false"/>
          <w:bCs w:val="false"/>
          <w:i w:val="false"/>
          <w:iCs w:val="false"/>
          <w:color w:val="222222"/>
          <w:sz w:val="21"/>
          <w:szCs w:val="21"/>
        </w:rPr>
        <w:t xml:space="preserve">Composite = w₁·forecast + w₂·sentiment − w₃·risk, with weights documented and adjustable in the dashboard.</w:t>
      </w:r>
    </w:p>
    <w:p>
      <w:pPr>
        <w:pStyle w:val="Heading2"/>
        <w:keepNext/>
        <w:spacing w:after="100" w:before="240"/>
      </w:pPr>
      <w:r>
        <w:rPr>
          <w:rFonts w:ascii="Calibri" w:cs="Calibri" w:eastAsia="Calibri" w:hAnsi="Calibri"/>
          <w:b/>
          <w:bCs/>
          <w:color w:val="2E6E9E"/>
          <w:sz w:val="25"/>
          <w:szCs w:val="25"/>
        </w:rPr>
        <w:t xml:space="preserve">12.2 Decision rules</w:t>
      </w:r>
    </w:p>
    <w:p>
      <w:pPr>
        <w:spacing w:after="20" w:before="80"/>
      </w:pPr>
      <w:r>
        <w:rPr>
          <w:rFonts w:ascii="Calibri" w:cs="Calibri" w:eastAsia="Calibri" w:hAnsi="Calibri"/>
          <w:i/>
          <w:iCs/>
          <w:color w:val="444444"/>
          <w:sz w:val="18"/>
          <w:szCs w:val="18"/>
        </w:rPr>
        <w:t xml:space="preserve">Listing 12.1 — Transparent thresholds with a no-trade band to avoid churning on noise.</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def recommend(score, low, high):</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if score &gt;= high:  return 'BUY'</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if score &lt;= low:   return 'SELL'</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return 'HOLD'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Rebalancing: compare current vs. target (max-Sharpe) weights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def rebalance(current_w, target_w, band=0.05):</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actions = {}</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for a in target_w:</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drift = target_w[a] - current_w.get(a, 0)</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if abs(drift) &gt; band:</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actions[a] = ('INCREASE' if drift &gt; 0 else 'REDUCE', round(drift, 3))</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return actions</w:t>
      </w:r>
    </w:p>
    <w:p>
      <w:pPr>
        <w:spacing w:after="100"/>
      </w:pPr>
    </w:p>
    <w:p>
      <w:pPr>
        <w:pStyle w:val="Heading2"/>
        <w:keepNext/>
        <w:spacing w:after="100" w:before="240"/>
      </w:pPr>
      <w:r>
        <w:rPr>
          <w:rFonts w:ascii="Calibri" w:cs="Calibri" w:eastAsia="Calibri" w:hAnsi="Calibri"/>
          <w:b/>
          <w:bCs/>
          <w:color w:val="2E6E9E"/>
          <w:sz w:val="25"/>
          <w:szCs w:val="25"/>
        </w:rPr>
        <w:t xml:space="preserve">12.3 Output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Per-asset BUY / HOLD / SELL with the contributing sub-scores shown, so the user sees the "why."</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Portfolio rebalancing table: current weight, target weight, suggested action, and drift.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A mandatory, prominent disclaimer that outputs are educational research, not financial advice.</w:t>
      </w:r>
    </w:p>
    <w:p>
      <w:r>
        <w:br w:type="page"/>
      </w:r>
    </w:p>
    <w:p>
      <w:pPr>
        <w:pStyle w:val="Heading1"/>
        <w:keepNext/>
        <w:spacing w:after="140" w:before="320"/>
      </w:pPr>
      <w:r>
        <w:rPr>
          <w:rFonts w:ascii="Calibri" w:cs="Calibri" w:eastAsia="Calibri" w:hAnsi="Calibri"/>
          <w:b/>
          <w:bCs/>
          <w:color w:val="1F3A5F"/>
          <w:sz w:val="30"/>
          <w:szCs w:val="30"/>
        </w:rPr>
        <w:t xml:space="preserve">13. Dashboard &amp; Presentation Layer</w:t>
      </w:r>
    </w:p>
    <w:p>
      <w:pPr>
        <w:spacing w:after="120" w:line="276"/>
        <w:jc w:val="both"/>
      </w:pPr>
      <w:r>
        <w:rPr>
          <w:rFonts w:ascii="Calibri" w:cs="Calibri" w:eastAsia="Calibri" w:hAnsi="Calibri"/>
          <w:b w:val="false"/>
          <w:bCs w:val="false"/>
          <w:i w:val="false"/>
          <w:iCs w:val="false"/>
          <w:color w:val="222222"/>
          <w:sz w:val="21"/>
          <w:szCs w:val="21"/>
        </w:rPr>
        <w:t xml:space="preserve">A single Streamlit application ties the system together for a non-technical reviewer. It reads pre-computed model outputs and cached data so it loads in seconds rather than retraining on each visit.</w:t>
      </w:r>
    </w:p>
    <w:p>
      <w:pPr>
        <w:pStyle w:val="Heading2"/>
        <w:keepNext/>
        <w:spacing w:after="100" w:before="240"/>
      </w:pPr>
      <w:r>
        <w:rPr>
          <w:rFonts w:ascii="Calibri" w:cs="Calibri" w:eastAsia="Calibri" w:hAnsi="Calibri"/>
          <w:b/>
          <w:bCs/>
          <w:color w:val="2E6E9E"/>
          <w:sz w:val="25"/>
          <w:szCs w:val="25"/>
        </w:rPr>
        <w:t xml:space="preserve">13.1 Required panels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500"/>
        <w:gridCol w:w="7140"/>
      </w:tblGrid>
      <w:tr>
        <w:trPr>
          <w:tblHeader/>
        </w:trPr>
        <w:tc>
          <w:tcPr>
            <w:tcW w:type="dxa" w:w="25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Panel</w:t>
            </w:r>
          </w:p>
        </w:tc>
        <w:tc>
          <w:tcPr>
            <w:tcW w:type="dxa" w:w="71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Contents</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Overview</w:t>
            </w:r>
          </w:p>
        </w:tc>
        <w:tc>
          <w:tcPr>
            <w:tcW w:type="dxa" w:w="71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Universe snapshot, market-mood gauge, headline metrics</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Price &amp; prediction</w:t>
            </w:r>
          </w:p>
        </w:tc>
        <w:tc>
          <w:tcPr>
            <w:tcW w:type="dxa" w:w="71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Historical price with the model's forecast overlaid and a confidence band</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Model comparison</w:t>
            </w:r>
          </w:p>
        </w:tc>
        <w:tc>
          <w:tcPr>
            <w:tcW w:type="dxa" w:w="71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The eight-model metrics table and a bar chart of RMSE/MAE</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Portfolio analytics</w:t>
            </w:r>
          </w:p>
        </w:tc>
        <w:tc>
          <w:tcPr>
            <w:tcW w:type="dxa" w:w="71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Efficient frontier, chosen weights (pie), Sharpe/Sortino/vol/Beta</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Risk dashboard</w:t>
            </w:r>
          </w:p>
        </w:tc>
        <w:tc>
          <w:tcPr>
            <w:tcW w:type="dxa" w:w="71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Drawdown curve, rolling volatility, correlation heatmap, VaR</w:t>
            </w:r>
          </w:p>
        </w:tc>
      </w:tr>
      <w:tr>
        <w:tc>
          <w:tcPr>
            <w:tcW w:type="dxa" w:w="25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Sentiment</w:t>
            </w:r>
          </w:p>
        </w:tc>
        <w:tc>
          <w:tcPr>
            <w:tcW w:type="dxa" w:w="71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Per-ticker sentiment timeline and current market mood</w:t>
            </w:r>
          </w:p>
        </w:tc>
      </w:tr>
      <w:tr>
        <w:tc>
          <w:tcPr>
            <w:tcW w:type="dxa" w:w="25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Recommendations</w:t>
            </w:r>
          </w:p>
        </w:tc>
        <w:tc>
          <w:tcPr>
            <w:tcW w:type="dxa" w:w="71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BUY/HOLD/SELL table and the rebalancing plan</w:t>
            </w:r>
          </w:p>
        </w:tc>
      </w:tr>
    </w:tbl>
    <w:p>
      <w:pPr>
        <w:pStyle w:val="Heading2"/>
        <w:keepNext/>
        <w:spacing w:after="100" w:before="240"/>
      </w:pPr>
      <w:r>
        <w:rPr>
          <w:rFonts w:ascii="Calibri" w:cs="Calibri" w:eastAsia="Calibri" w:hAnsi="Calibri"/>
          <w:b/>
          <w:bCs/>
          <w:color w:val="2E6E9E"/>
          <w:sz w:val="25"/>
          <w:szCs w:val="25"/>
        </w:rPr>
        <w:t xml:space="preserve">13.2 Engineering standards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Interactive charts (Plotly) with hover detail; controls to pick ticker, horizon, and risk-free rate.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Heavy computation cached (</w:t>
      </w:r>
      <w:r>
        <w:rPr>
          <w:rFonts w:ascii="Consolas" w:cs="Consolas" w:eastAsia="Consolas" w:hAnsi="Consolas"/>
          <w:b w:val="false"/>
          <w:bCs w:val="false"/>
          <w:i w:val="false"/>
          <w:iCs w:val="false"/>
          <w:color w:val="9C2D41"/>
          <w:sz w:val="19"/>
          <w:szCs w:val="19"/>
        </w:rPr>
        <w:t xml:space="preserve">@st.cache_data</w:t>
      </w:r>
      <w:r>
        <w:rPr>
          <w:rFonts w:ascii="Calibri" w:cs="Calibri" w:eastAsia="Calibri" w:hAnsi="Calibri"/>
          <w:b w:val="false"/>
          <w:bCs w:val="false"/>
          <w:i w:val="false"/>
          <w:iCs w:val="false"/>
          <w:color w:val="222222"/>
          <w:sz w:val="21"/>
          <w:szCs w:val="21"/>
        </w:rPr>
        <w:t xml:space="preserve">); the app never retrains models on load.</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Clear, persistent "educational, not financial advice" disclaimer on every page.</w:t>
      </w:r>
    </w:p>
    <w:p>
      <w:r>
        <w:br w:type="page"/>
      </w:r>
    </w:p>
    <w:p>
      <w:pPr>
        <w:pStyle w:val="Heading1"/>
        <w:keepNext/>
        <w:spacing w:after="140" w:before="320"/>
      </w:pPr>
      <w:r>
        <w:rPr>
          <w:rFonts w:ascii="Calibri" w:cs="Calibri" w:eastAsia="Calibri" w:hAnsi="Calibri"/>
          <w:b/>
          <w:bCs/>
          <w:color w:val="1F3A5F"/>
          <w:sz w:val="30"/>
          <w:szCs w:val="30"/>
        </w:rPr>
        <w:t xml:space="preserve">14. Evaluation Metrics &amp; Acceptance Criteria</w:t>
      </w:r>
    </w:p>
    <w:p>
      <w:pPr>
        <w:pStyle w:val="Heading2"/>
        <w:keepNext/>
        <w:spacing w:after="100" w:before="240"/>
      </w:pPr>
      <w:r>
        <w:rPr>
          <w:rFonts w:ascii="Calibri" w:cs="Calibri" w:eastAsia="Calibri" w:hAnsi="Calibri"/>
          <w:b/>
          <w:bCs/>
          <w:color w:val="2E6E9E"/>
          <w:sz w:val="25"/>
          <w:szCs w:val="25"/>
        </w:rPr>
        <w:t xml:space="preserve">14.1 Metric summary by module</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1900"/>
        <w:gridCol w:w="3900"/>
        <w:gridCol w:w="3840"/>
      </w:tblGrid>
      <w:tr>
        <w:trPr>
          <w:tblHeader/>
        </w:trPr>
        <w:tc>
          <w:tcPr>
            <w:tcW w:type="dxa" w:w="19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Module</w:t>
            </w:r>
          </w:p>
        </w:tc>
        <w:tc>
          <w:tcPr>
            <w:tcW w:type="dxa" w:w="39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Metrics</w:t>
            </w:r>
          </w:p>
        </w:tc>
        <w:tc>
          <w:tcPr>
            <w:tcW w:type="dxa" w:w="38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Acceptance bar</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Forecasting</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RMSE, MAE, MAPE, R², directional accuracy</w:t>
            </w:r>
          </w:p>
        </w:tc>
        <w:tc>
          <w:tcPr>
            <w:tcW w:type="dxa" w:w="3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Best model beats naive random walk on MAE &amp; direction</w:t>
            </w:r>
          </w:p>
        </w:tc>
      </w:tr>
      <w:tr>
        <w:tc>
          <w:tcPr>
            <w:tcW w:type="dxa" w:w="1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Sentiment integration</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Δ MAE and Δ directional accuracy with vs. without</w:t>
            </w:r>
          </w:p>
        </w:tc>
        <w:tc>
          <w:tcPr>
            <w:tcW w:type="dxa" w:w="38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Effect measured and honestly reported (positive or not)</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Portfolio</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Sharpe, Sortino, volatility, max drawdown, Beta</w:t>
            </w:r>
          </w:p>
        </w:tc>
        <w:tc>
          <w:tcPr>
            <w:tcW w:type="dxa" w:w="3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Optimised Sharpe &gt; equal-weight over the test window</w:t>
            </w:r>
          </w:p>
        </w:tc>
      </w:tr>
      <w:tr>
        <w:tc>
          <w:tcPr>
            <w:tcW w:type="dxa" w:w="1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Recommendations</w:t>
            </w:r>
          </w:p>
        </w:tc>
        <w:tc>
          <w:tcPr>
            <w:tcW w:type="dxa" w:w="3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Backtested hit-rate vs. buy-and-hold</w:t>
            </w:r>
          </w:p>
        </w:tc>
        <w:tc>
          <w:tcPr>
            <w:tcW w:type="dxa" w:w="38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Documented, with transparent contributing signals</w:t>
            </w:r>
          </w:p>
        </w:tc>
      </w:tr>
      <w:tr>
        <w:tc>
          <w:tcPr>
            <w:tcW w:type="dxa" w:w="1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System</w:t>
            </w:r>
          </w:p>
        </w:tc>
        <w:tc>
          <w:tcPr>
            <w:tcW w:type="dxa" w:w="3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Reproducibility, code quality, dashboard clarity</w:t>
            </w:r>
          </w:p>
        </w:tc>
        <w:tc>
          <w:tcPr>
            <w:tcW w:type="dxa" w:w="3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Full rebuild from one command; clean repo</w:t>
            </w:r>
          </w:p>
        </w:tc>
      </w:tr>
    </w:tbl>
    <w:p>
      <w:pPr>
        <w:pStyle w:val="Heading2"/>
        <w:keepNext/>
        <w:spacing w:after="100" w:before="240"/>
      </w:pPr>
      <w:r>
        <w:rPr>
          <w:rFonts w:ascii="Calibri" w:cs="Calibri" w:eastAsia="Calibri" w:hAnsi="Calibri"/>
          <w:b/>
          <w:bCs/>
          <w:color w:val="2E6E9E"/>
          <w:sz w:val="25"/>
          <w:szCs w:val="25"/>
        </w:rPr>
        <w:t xml:space="preserve">14.2 Definition of Done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One command rebuilds the dataset; one command retrains and re-evaluates all models; the dashboard launches and reads cached outputs.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The eight-model comparison table is fully populated on a genuine held-out window with no leakage.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The optimised portfolio is backtested against equal-weight and benchmark baselines.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A written report (10–15 pages) explains methodology, results, limitations, and honest failure analysis.</w:t>
      </w: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Grading philosophy:  </w:t>
      </w:r>
      <w:r>
        <w:rPr>
          <w:rFonts w:ascii="Calibri" w:cs="Calibri" w:eastAsia="Calibri" w:hAnsi="Calibri"/>
          <w:b w:val="false"/>
          <w:bCs w:val="false"/>
          <w:i w:val="false"/>
          <w:iCs w:val="false"/>
          <w:color w:val="22402F"/>
          <w:sz w:val="20"/>
          <w:szCs w:val="20"/>
        </w:rPr>
        <w:t xml:space="preserve">A modest, correct, leakage-free result with honest analysis scores higher than an impressive-looking result built on a subtle look-ahead bug. Integrity of methodology is the top-weighted criterion.</w:t>
      </w:r>
    </w:p>
    <w:p>
      <w:r>
        <w:br w:type="page"/>
      </w:r>
    </w:p>
    <w:p>
      <w:pPr>
        <w:pStyle w:val="Heading1"/>
        <w:keepNext/>
        <w:spacing w:after="140" w:before="320"/>
      </w:pPr>
      <w:r>
        <w:rPr>
          <w:rFonts w:ascii="Calibri" w:cs="Calibri" w:eastAsia="Calibri" w:hAnsi="Calibri"/>
          <w:b/>
          <w:bCs/>
          <w:color w:val="1F3A5F"/>
          <w:sz w:val="30"/>
          <w:szCs w:val="30"/>
        </w:rPr>
        <w:t xml:space="preserve">15. System Design &amp; Architecture</w:t>
      </w:r>
    </w:p>
    <w:p>
      <w:pPr>
        <w:spacing w:after="120" w:line="276"/>
        <w:jc w:val="both"/>
      </w:pPr>
      <w:r>
        <w:rPr>
          <w:rFonts w:ascii="Calibri" w:cs="Calibri" w:eastAsia="Calibri" w:hAnsi="Calibri"/>
          <w:b w:val="false"/>
          <w:bCs w:val="false"/>
          <w:i w:val="false"/>
          <w:iCs w:val="false"/>
          <w:color w:val="222222"/>
          <w:sz w:val="21"/>
          <w:szCs w:val="21"/>
        </w:rPr>
        <w:t xml:space="preserve">The system is layered so that each concern is independently testable. Data flows one way: raw sources → cleaned panel → features → models → portfolio &amp; recommendations → dashboard. No layer reaches back into an earlier one at runtime.</w:t>
      </w:r>
    </w:p>
    <w:p>
      <w:pPr>
        <w:pStyle w:val="Heading2"/>
        <w:keepNext/>
        <w:spacing w:after="100" w:before="240"/>
      </w:pPr>
      <w:r>
        <w:rPr>
          <w:rFonts w:ascii="Calibri" w:cs="Calibri" w:eastAsia="Calibri" w:hAnsi="Calibri"/>
          <w:b/>
          <w:bCs/>
          <w:color w:val="2E6E9E"/>
          <w:sz w:val="25"/>
          <w:szCs w:val="25"/>
        </w:rPr>
        <w:t xml:space="preserve">15.1 Layered architecture</w:t>
      </w:r>
    </w:p>
    <w:p>
      <w:pPr>
        <w:pBdr>
          <w:left w:val="single" w:color="2E6E9E" w:sz="20" w:space="8"/>
        </w:pBdr>
        <w:shd w:fill="F4F7FB" w:color="auto" w:val="clear"/>
        <w:spacing w:after="60" w:line="260"/>
      </w:pPr>
      <w:r>
        <w:rPr>
          <w:rFonts w:ascii="Calibri" w:cs="Calibri" w:eastAsia="Calibri" w:hAnsi="Calibri"/>
          <w:b/>
          <w:bCs/>
          <w:color w:val="1F3A5F"/>
          <w:sz w:val="21"/>
          <w:szCs w:val="21"/>
        </w:rPr>
        <w:t xml:space="preserve">Layer 1 · Ingestion  —  </w:t>
      </w:r>
      <w:r>
        <w:rPr>
          <w:rFonts w:ascii="Calibri" w:cs="Calibri" w:eastAsia="Calibri" w:hAnsi="Calibri"/>
          <w:color w:val="333333"/>
          <w:sz w:val="20"/>
          <w:szCs w:val="20"/>
        </w:rPr>
        <w:t xml:space="preserve">yfinance, FRED, news API → raw parquet in data/raw/</w:t>
      </w:r>
    </w:p>
    <w:p>
      <w:pPr>
        <w:pBdr>
          <w:left w:val="single" w:color="2E6E9E" w:sz="20" w:space="8"/>
        </w:pBdr>
        <w:shd w:fill="F4F7FB" w:color="auto" w:val="clear"/>
        <w:spacing w:after="60" w:line="260"/>
      </w:pPr>
      <w:r>
        <w:rPr>
          <w:rFonts w:ascii="Calibri" w:cs="Calibri" w:eastAsia="Calibri" w:hAnsi="Calibri"/>
          <w:b/>
          <w:bCs/>
          <w:color w:val="1F3A5F"/>
          <w:sz w:val="21"/>
          <w:szCs w:val="21"/>
        </w:rPr>
        <w:t xml:space="preserve">Layer 2 · Processing  —  </w:t>
      </w:r>
      <w:r>
        <w:rPr>
          <w:rFonts w:ascii="Calibri" w:cs="Calibri" w:eastAsia="Calibri" w:hAnsi="Calibri"/>
          <w:color w:val="333333"/>
          <w:sz w:val="20"/>
          <w:szCs w:val="20"/>
        </w:rPr>
        <w:t xml:space="preserve">cleaning + feature engineering → data/processed/ tidy panel</w:t>
      </w:r>
    </w:p>
    <w:p>
      <w:pPr>
        <w:pBdr>
          <w:left w:val="single" w:color="2E6E9E" w:sz="20" w:space="8"/>
        </w:pBdr>
        <w:shd w:fill="F4F7FB" w:color="auto" w:val="clear"/>
        <w:spacing w:after="60" w:line="260"/>
      </w:pPr>
      <w:r>
        <w:rPr>
          <w:rFonts w:ascii="Calibri" w:cs="Calibri" w:eastAsia="Calibri" w:hAnsi="Calibri"/>
          <w:b/>
          <w:bCs/>
          <w:color w:val="1F3A5F"/>
          <w:sz w:val="21"/>
          <w:szCs w:val="21"/>
        </w:rPr>
        <w:t xml:space="preserve">Layer 3 · Modelling  —  </w:t>
      </w:r>
      <w:r>
        <w:rPr>
          <w:rFonts w:ascii="Calibri" w:cs="Calibri" w:eastAsia="Calibri" w:hAnsi="Calibri"/>
          <w:color w:val="333333"/>
          <w:sz w:val="20"/>
          <w:szCs w:val="20"/>
        </w:rPr>
        <w:t xml:space="preserve">ML + DL training, TimeSeriesSplit, saved model artifacts in models/</w:t>
      </w:r>
    </w:p>
    <w:p>
      <w:pPr>
        <w:pBdr>
          <w:left w:val="single" w:color="2E6E9E" w:sz="20" w:space="8"/>
        </w:pBdr>
        <w:shd w:fill="F4F7FB" w:color="auto" w:val="clear"/>
        <w:spacing w:after="60" w:line="260"/>
      </w:pPr>
      <w:r>
        <w:rPr>
          <w:rFonts w:ascii="Calibri" w:cs="Calibri" w:eastAsia="Calibri" w:hAnsi="Calibri"/>
          <w:b/>
          <w:bCs/>
          <w:color w:val="1F3A5F"/>
          <w:sz w:val="21"/>
          <w:szCs w:val="21"/>
        </w:rPr>
        <w:t xml:space="preserve">Layer 4 · Sentiment  —  </w:t>
      </w:r>
      <w:r>
        <w:rPr>
          <w:rFonts w:ascii="Calibri" w:cs="Calibri" w:eastAsia="Calibri" w:hAnsi="Calibri"/>
          <w:color w:val="333333"/>
          <w:sz w:val="20"/>
          <w:szCs w:val="20"/>
        </w:rPr>
        <w:t xml:space="preserve">FinBERT scoring → daily sentiment features merged into the panel</w:t>
      </w:r>
    </w:p>
    <w:p>
      <w:pPr>
        <w:pBdr>
          <w:left w:val="single" w:color="2E6E9E" w:sz="20" w:space="8"/>
        </w:pBdr>
        <w:shd w:fill="F4F7FB" w:color="auto" w:val="clear"/>
        <w:spacing w:after="60" w:line="260"/>
      </w:pPr>
      <w:r>
        <w:rPr>
          <w:rFonts w:ascii="Calibri" w:cs="Calibri" w:eastAsia="Calibri" w:hAnsi="Calibri"/>
          <w:b/>
          <w:bCs/>
          <w:color w:val="1F3A5F"/>
          <w:sz w:val="21"/>
          <w:szCs w:val="21"/>
        </w:rPr>
        <w:t xml:space="preserve">Layer 5 · Optimisation  —  </w:t>
      </w:r>
      <w:r>
        <w:rPr>
          <w:rFonts w:ascii="Calibri" w:cs="Calibri" w:eastAsia="Calibri" w:hAnsi="Calibri"/>
          <w:color w:val="333333"/>
          <w:sz w:val="20"/>
          <w:szCs w:val="20"/>
        </w:rPr>
        <w:t xml:space="preserve">MPT efficient frontier + max-Sharpe weights</w:t>
      </w:r>
    </w:p>
    <w:p>
      <w:pPr>
        <w:pBdr>
          <w:left w:val="single" w:color="2E6E9E" w:sz="20" w:space="8"/>
        </w:pBdr>
        <w:shd w:fill="F4F7FB" w:color="auto" w:val="clear"/>
        <w:spacing w:after="60" w:line="260"/>
      </w:pPr>
      <w:r>
        <w:rPr>
          <w:rFonts w:ascii="Calibri" w:cs="Calibri" w:eastAsia="Calibri" w:hAnsi="Calibri"/>
          <w:b/>
          <w:bCs/>
          <w:color w:val="1F3A5F"/>
          <w:sz w:val="21"/>
          <w:szCs w:val="21"/>
        </w:rPr>
        <w:t xml:space="preserve">Layer 6 · Recommendation  —  </w:t>
      </w:r>
      <w:r>
        <w:rPr>
          <w:rFonts w:ascii="Calibri" w:cs="Calibri" w:eastAsia="Calibri" w:hAnsi="Calibri"/>
          <w:color w:val="333333"/>
          <w:sz w:val="20"/>
          <w:szCs w:val="20"/>
        </w:rPr>
        <w:t xml:space="preserve">signal fusion → BUY/HOLD/SELL + rebalancing</w:t>
      </w:r>
    </w:p>
    <w:p>
      <w:pPr>
        <w:pBdr>
          <w:left w:val="single" w:color="2E6E9E" w:sz="20" w:space="8"/>
        </w:pBdr>
        <w:shd w:fill="F4F7FB" w:color="auto" w:val="clear"/>
        <w:spacing w:after="60" w:line="260"/>
      </w:pPr>
      <w:r>
        <w:rPr>
          <w:rFonts w:ascii="Calibri" w:cs="Calibri" w:eastAsia="Calibri" w:hAnsi="Calibri"/>
          <w:b/>
          <w:bCs/>
          <w:color w:val="1F3A5F"/>
          <w:sz w:val="21"/>
          <w:szCs w:val="21"/>
        </w:rPr>
        <w:t xml:space="preserve">Layer 7 · Presentation  —  </w:t>
      </w:r>
      <w:r>
        <w:rPr>
          <w:rFonts w:ascii="Calibri" w:cs="Calibri" w:eastAsia="Calibri" w:hAnsi="Calibri"/>
          <w:color w:val="333333"/>
          <w:sz w:val="20"/>
          <w:szCs w:val="20"/>
        </w:rPr>
        <w:t xml:space="preserve">Streamlit dashboard reading cached outputs</w:t>
      </w:r>
    </w:p>
    <w:p>
      <w:pPr>
        <w:pStyle w:val="Heading2"/>
        <w:keepNext/>
        <w:spacing w:after="100" w:before="240"/>
      </w:pPr>
      <w:r>
        <w:rPr>
          <w:rFonts w:ascii="Calibri" w:cs="Calibri" w:eastAsia="Calibri" w:hAnsi="Calibri"/>
          <w:b/>
          <w:bCs/>
          <w:color w:val="2E6E9E"/>
          <w:sz w:val="25"/>
          <w:szCs w:val="25"/>
        </w:rPr>
        <w:t xml:space="preserve">15.2 Repository structure</w:t>
      </w:r>
    </w:p>
    <w:p>
      <w:pPr>
        <w:spacing w:after="20" w:before="80"/>
      </w:pPr>
      <w:r>
        <w:rPr>
          <w:rFonts w:ascii="Calibri" w:cs="Calibri" w:eastAsia="Calibri" w:hAnsi="Calibri"/>
          <w:i/>
          <w:iCs/>
          <w:color w:val="444444"/>
          <w:sz w:val="18"/>
          <w:szCs w:val="18"/>
        </w:rPr>
        <w:t xml:space="preserve">Listing 15.1 — Clean separation; config-driven so no magic numbers are buried in code.</w:t>
      </w:r>
    </w:p>
    <w:p>
      <w:pPr>
        <w:pBdr>
          <w:top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stock-ai-system/</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data/</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raw/                # downloaded, immutable</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processed/          # cleaned panel + features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src/</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ingest.py           # Section 3</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clean.py            # Section 4</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features.py         # Section 5</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models_ml.py        # Section 8</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models_dl.py        # Section 9</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sentiment.py        # Section 10</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portfolio.py        # Section 11</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 recommend.py        # Section 12</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models/                 # saved artifacts (.keras, .pkl)</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notebooks/              # EDA (Section 6)</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dashboard/app.py        # Section 13</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reports/                # figures + written report</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requirements.txt        # pinned versions</w:t>
      </w:r>
    </w:p>
    <w:p>
      <w:pPr>
        <w:pBdr>
          <w:left w:val="single" w:color="2E6E9E" w:sz="18" w:space="6"/>
        </w:pBdr>
        <w:shd w:fill="F4F5F7" w:color="auto" w:val="clear"/>
        <w:spacing w:after="0" w:line="240"/>
      </w:pPr>
      <w:r>
        <w:rPr>
          <w:rFonts w:ascii="Consolas" w:cs="Consolas" w:eastAsia="Consolas" w:hAnsi="Consolas"/>
          <w:color w:val="1A2B3C"/>
          <w:sz w:val="18"/>
          <w:szCs w:val="18"/>
        </w:rPr>
        <w:t xml:space="preserve">├── config.yaml             # universe, dates, split ratios, seeds</w:t>
      </w:r>
    </w:p>
    <w:p>
      <w:pPr>
        <w:pBdr>
          <w:bottom w:val="single" w:color="C9D4E0" w:sz="2" w:space="4"/>
          <w:left w:val="single" w:color="2E6E9E" w:sz="18" w:space="6"/>
        </w:pBdr>
        <w:shd w:fill="F4F5F7" w:color="auto" w:val="clear"/>
        <w:spacing w:after="0" w:line="240"/>
      </w:pPr>
      <w:r>
        <w:rPr>
          <w:rFonts w:ascii="Consolas" w:cs="Consolas" w:eastAsia="Consolas" w:hAnsi="Consolas"/>
          <w:color w:val="1A2B3C"/>
          <w:sz w:val="18"/>
          <w:szCs w:val="18"/>
        </w:rPr>
        <w:t xml:space="preserve">└── README.md</w:t>
      </w:r>
    </w:p>
    <w:p>
      <w:pPr>
        <w:spacing w:after="100"/>
      </w:pPr>
    </w:p>
    <w:p>
      <w:pPr>
        <w:pStyle w:val="Heading2"/>
        <w:keepNext/>
        <w:spacing w:after="100" w:before="240"/>
      </w:pPr>
      <w:r>
        <w:rPr>
          <w:rFonts w:ascii="Calibri" w:cs="Calibri" w:eastAsia="Calibri" w:hAnsi="Calibri"/>
          <w:b/>
          <w:bCs/>
          <w:color w:val="2E6E9E"/>
          <w:sz w:val="25"/>
          <w:szCs w:val="25"/>
        </w:rPr>
        <w:t xml:space="preserve">15.3 Reproducibility &amp; configuration</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A single </w:t>
      </w:r>
      <w:r>
        <w:rPr>
          <w:rFonts w:ascii="Consolas" w:cs="Consolas" w:eastAsia="Consolas" w:hAnsi="Consolas"/>
          <w:b w:val="false"/>
          <w:bCs w:val="false"/>
          <w:i w:val="false"/>
          <w:iCs w:val="false"/>
          <w:color w:val="9C2D41"/>
          <w:sz w:val="19"/>
          <w:szCs w:val="19"/>
        </w:rPr>
        <w:t xml:space="preserve">config.yaml</w:t>
      </w:r>
      <w:r>
        <w:rPr>
          <w:rFonts w:ascii="Calibri" w:cs="Calibri" w:eastAsia="Calibri" w:hAnsi="Calibri"/>
          <w:b w:val="false"/>
          <w:bCs w:val="false"/>
          <w:i w:val="false"/>
          <w:iCs w:val="false"/>
          <w:color w:val="222222"/>
          <w:sz w:val="21"/>
          <w:szCs w:val="21"/>
        </w:rPr>
        <w:t xml:space="preserve"> holds the universe, date range, split ratios, sequence length, and random seed.</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Pinned </w:t>
      </w:r>
      <w:r>
        <w:rPr>
          <w:rFonts w:ascii="Consolas" w:cs="Consolas" w:eastAsia="Consolas" w:hAnsi="Consolas"/>
          <w:b w:val="false"/>
          <w:bCs w:val="false"/>
          <w:i w:val="false"/>
          <w:iCs w:val="false"/>
          <w:color w:val="9C2D41"/>
          <w:sz w:val="19"/>
          <w:szCs w:val="19"/>
        </w:rPr>
        <w:t xml:space="preserve">requirements.txt</w:t>
      </w:r>
      <w:r>
        <w:rPr>
          <w:rFonts w:ascii="Calibri" w:cs="Calibri" w:eastAsia="Calibri" w:hAnsi="Calibri"/>
          <w:b w:val="false"/>
          <w:bCs w:val="false"/>
          <w:i w:val="false"/>
          <w:iCs w:val="false"/>
          <w:color w:val="222222"/>
          <w:sz w:val="21"/>
          <w:szCs w:val="21"/>
        </w:rPr>
        <w:t xml:space="preserve"> so the environment is exactly recreatable.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All randomness seeded; the same command produces the same numbers on any machine.</w:t>
      </w:r>
    </w:p>
    <w:p>
      <w:r>
        <w:br w:type="page"/>
      </w:r>
    </w:p>
    <w:p>
      <w:pPr>
        <w:pStyle w:val="Heading1"/>
        <w:keepNext/>
        <w:spacing w:after="140" w:before="320"/>
      </w:pPr>
      <w:r>
        <w:rPr>
          <w:rFonts w:ascii="Calibri" w:cs="Calibri" w:eastAsia="Calibri" w:hAnsi="Calibri"/>
          <w:b/>
          <w:bCs/>
          <w:color w:val="1F3A5F"/>
          <w:sz w:val="30"/>
          <w:szCs w:val="30"/>
        </w:rPr>
        <w:t xml:space="preserve">16. Development Roadmap (4 Weeks, One Person)</w:t>
      </w:r>
    </w:p>
    <w:p>
      <w:pPr>
        <w:spacing w:after="120" w:line="276"/>
        <w:jc w:val="both"/>
      </w:pPr>
      <w:r>
        <w:rPr>
          <w:rFonts w:ascii="Calibri" w:cs="Calibri" w:eastAsia="Calibri" w:hAnsi="Calibri"/>
          <w:b w:val="false"/>
          <w:bCs w:val="false"/>
          <w:i w:val="false"/>
          <w:iCs w:val="false"/>
          <w:color w:val="222222"/>
          <w:sz w:val="21"/>
          <w:szCs w:val="21"/>
        </w:rPr>
        <w:t xml:space="preserve">The plan assumes roughly 25–30 focused hours per week. Each week ends with a concrete, demonstrable artifact so progress is verifiable and slippage is caught early. Weeks build strictly on one another — the pipeline is done before modelling, modelling before optimisation.</w:t>
      </w:r>
    </w:p>
    <w:p>
      <w:pPr>
        <w:shd w:fill="1F3A5F" w:color="auto" w:val="clear"/>
        <w:spacing w:after="80" w:before="200"/>
      </w:pPr>
      <w:r>
        <w:rPr>
          <w:rFonts w:ascii="Calibri" w:cs="Calibri" w:eastAsia="Calibri" w:hAnsi="Calibri"/>
          <w:b/>
          <w:bCs/>
          <w:color w:val="FFFFFF"/>
          <w:sz w:val="24"/>
          <w:szCs w:val="24"/>
        </w:rPr>
        <w:t xml:space="preserve">  Week 1  </w:t>
      </w:r>
      <w:r>
        <w:rPr>
          <w:rFonts w:ascii="Calibri" w:cs="Calibri" w:eastAsia="Calibri" w:hAnsi="Calibri"/>
          <w:i/>
          <w:iCs/>
          <w:color w:val="CFE0F0"/>
          <w:sz w:val="19"/>
          <w:szCs w:val="19"/>
        </w:rPr>
        <w:t xml:space="preserve">  Data foundation &amp; EDA</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Set up the repo, config, and pinned environment; write the ingestion script (Section 3).</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Build and log the cleaning pipeline; produce the data-quality report (Section 4).</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Implement the full feature set and sequence windowing (Section 5).</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Complete EDA with ADF/stationarity, correlation heatmap, volatility and distribution analysis (Section 6).</w:t>
      </w:r>
    </w:p>
    <w:p>
      <w:pPr>
        <w:spacing w:after="120" w:line="276"/>
        <w:jc w:val="both"/>
      </w:pPr>
      <w:r>
        <w:rPr>
          <w:rFonts w:ascii="Calibri" w:cs="Calibri" w:eastAsia="Calibri" w:hAnsi="Calibri"/>
          <w:b/>
          <w:bCs/>
          <w:i w:val="false"/>
          <w:iCs w:val="false"/>
          <w:color w:val="222222"/>
          <w:sz w:val="21"/>
          <w:szCs w:val="21"/>
        </w:rPr>
        <w:t xml:space="preserve">End-of-week artifact: </w:t>
      </w:r>
      <w:r>
        <w:rPr>
          <w:rFonts w:ascii="Calibri" w:cs="Calibri" w:eastAsia="Calibri" w:hAnsi="Calibri"/>
          <w:b w:val="false"/>
          <w:bCs w:val="false"/>
          <w:i w:val="false"/>
          <w:iCs w:val="false"/>
          <w:color w:val="222222"/>
          <w:sz w:val="21"/>
          <w:szCs w:val="21"/>
        </w:rPr>
        <w:t xml:space="preserve">a clean, feature-rich processed panel + an EDA notebook with captioned findings.</w:t>
      </w:r>
    </w:p>
    <w:p>
      <w:pPr>
        <w:shd w:fill="1F3A5F" w:color="auto" w:val="clear"/>
        <w:spacing w:after="80" w:before="200"/>
      </w:pPr>
      <w:r>
        <w:rPr>
          <w:rFonts w:ascii="Calibri" w:cs="Calibri" w:eastAsia="Calibri" w:hAnsi="Calibri"/>
          <w:b/>
          <w:bCs/>
          <w:color w:val="FFFFFF"/>
          <w:sz w:val="24"/>
          <w:szCs w:val="24"/>
        </w:rPr>
        <w:t xml:space="preserve">  Week 2  </w:t>
      </w:r>
      <w:r>
        <w:rPr>
          <w:rFonts w:ascii="Calibri" w:cs="Calibri" w:eastAsia="Calibri" w:hAnsi="Calibri"/>
          <w:i/>
          <w:iCs/>
          <w:color w:val="CFE0F0"/>
          <w:sz w:val="19"/>
          <w:szCs w:val="19"/>
        </w:rPr>
        <w:t xml:space="preserve">  Mathematics &amp; classical ML</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Implement financial maths from scratch: returns, covariance, Beta, Sharpe, drawdown; verify against libraries (Section 7).</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Build the manual gradient-descent regression and confirm it matches OLS.</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Train and tune Linear/Ridge, Random Forest, XGBoost, SVR under TimeSeriesSplit (Section 8).</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Establish the naive random-walk baseline and record all four ML models' metrics.</w:t>
      </w:r>
    </w:p>
    <w:p>
      <w:pPr>
        <w:spacing w:after="120" w:line="276"/>
        <w:jc w:val="both"/>
      </w:pPr>
      <w:r>
        <w:rPr>
          <w:rFonts w:ascii="Calibri" w:cs="Calibri" w:eastAsia="Calibri" w:hAnsi="Calibri"/>
          <w:b/>
          <w:bCs/>
          <w:i w:val="false"/>
          <w:iCs w:val="false"/>
          <w:color w:val="222222"/>
          <w:sz w:val="21"/>
          <w:szCs w:val="21"/>
        </w:rPr>
        <w:t xml:space="preserve">End-of-week artifact: </w:t>
      </w:r>
      <w:r>
        <w:rPr>
          <w:rFonts w:ascii="Calibri" w:cs="Calibri" w:eastAsia="Calibri" w:hAnsi="Calibri"/>
          <w:b w:val="false"/>
          <w:bCs w:val="false"/>
          <w:i w:val="false"/>
          <w:iCs w:val="false"/>
          <w:color w:val="222222"/>
          <w:sz w:val="21"/>
          <w:szCs w:val="21"/>
        </w:rPr>
        <w:t xml:space="preserve">a validated ML leaderboard vs. the baseline, plus a verified financial-metrics module.</w:t>
      </w:r>
    </w:p>
    <w:p>
      <w:pPr>
        <w:shd w:fill="1F3A5F" w:color="auto" w:val="clear"/>
        <w:spacing w:after="80" w:before="200"/>
      </w:pPr>
      <w:r>
        <w:rPr>
          <w:rFonts w:ascii="Calibri" w:cs="Calibri" w:eastAsia="Calibri" w:hAnsi="Calibri"/>
          <w:b/>
          <w:bCs/>
          <w:color w:val="FFFFFF"/>
          <w:sz w:val="24"/>
          <w:szCs w:val="24"/>
        </w:rPr>
        <w:t xml:space="preserve">  Week 3  </w:t>
      </w:r>
      <w:r>
        <w:rPr>
          <w:rFonts w:ascii="Calibri" w:cs="Calibri" w:eastAsia="Calibri" w:hAnsi="Calibri"/>
          <w:i/>
          <w:iCs/>
          <w:color w:val="CFE0F0"/>
          <w:sz w:val="19"/>
          <w:szCs w:val="19"/>
        </w:rPr>
        <w:t xml:space="preserve">  Deep learning &amp; sentiment</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Build LSTM, GRU, BiLSTM, and Transformer models with early stopping (Section 9).</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Produce loss curves and diagnose over/underfitting; complete the eight-model comparison table.</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Build the sentiment pipeline with FinBERT, aligned to sessions without look-ahead (Section 10).</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Run the with/without-sentiment experiment and report the measured effect.</w:t>
      </w:r>
    </w:p>
    <w:p>
      <w:pPr>
        <w:spacing w:after="120" w:line="276"/>
        <w:jc w:val="both"/>
      </w:pPr>
      <w:r>
        <w:rPr>
          <w:rFonts w:ascii="Calibri" w:cs="Calibri" w:eastAsia="Calibri" w:hAnsi="Calibri"/>
          <w:b/>
          <w:bCs/>
          <w:i w:val="false"/>
          <w:iCs w:val="false"/>
          <w:color w:val="222222"/>
          <w:sz w:val="21"/>
          <w:szCs w:val="21"/>
        </w:rPr>
        <w:t xml:space="preserve">End-of-week artifact: </w:t>
      </w:r>
      <w:r>
        <w:rPr>
          <w:rFonts w:ascii="Calibri" w:cs="Calibri" w:eastAsia="Calibri" w:hAnsi="Calibri"/>
          <w:b w:val="false"/>
          <w:bCs w:val="false"/>
          <w:i w:val="false"/>
          <w:iCs w:val="false"/>
          <w:color w:val="222222"/>
          <w:sz w:val="21"/>
          <w:szCs w:val="21"/>
        </w:rPr>
        <w:t xml:space="preserve">the complete ML-vs-DL comparison and a quantified sentiment-impact result.</w:t>
      </w:r>
    </w:p>
    <w:p>
      <w:pPr>
        <w:shd w:fill="1F3A5F" w:color="auto" w:val="clear"/>
        <w:spacing w:after="80" w:before="200"/>
      </w:pPr>
      <w:r>
        <w:rPr>
          <w:rFonts w:ascii="Calibri" w:cs="Calibri" w:eastAsia="Calibri" w:hAnsi="Calibri"/>
          <w:b/>
          <w:bCs/>
          <w:color w:val="FFFFFF"/>
          <w:sz w:val="24"/>
          <w:szCs w:val="24"/>
        </w:rPr>
        <w:t xml:space="preserve">  Week 4  </w:t>
      </w:r>
      <w:r>
        <w:rPr>
          <w:rFonts w:ascii="Calibri" w:cs="Calibri" w:eastAsia="Calibri" w:hAnsi="Calibri"/>
          <w:i/>
          <w:iCs/>
          <w:color w:val="CFE0F0"/>
          <w:sz w:val="19"/>
          <w:szCs w:val="19"/>
        </w:rPr>
        <w:t xml:space="preserve">  Optimisation, recommendations, dashboard &amp; report</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Implement MPT: efficient frontier, max-Sharpe weights, Monte Carlo cross-check, backtest vs. baselines (Section 11).</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Build the transparent recommendation and rebalancing engine (Section 12).</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Assemble the Streamlit dashboard reading cached outputs (Section 13).</w:t>
      </w:r>
    </w:p>
    <w:p>
      <w:pPr>
        <w:pStyle w:val="ListParagraph"/>
        <w:numPr>
          <w:ilvl w:val="0"/>
          <w:numId w:val="5"/>
        </w:numPr>
        <w:spacing w:after="70" w:line="264"/>
      </w:pPr>
      <w:r>
        <w:rPr>
          <w:rFonts w:ascii="Calibri" w:cs="Calibri" w:eastAsia="Calibri" w:hAnsi="Calibri"/>
          <w:b w:val="false"/>
          <w:bCs w:val="false"/>
          <w:i w:val="false"/>
          <w:iCs w:val="false"/>
          <w:color w:val="222222"/>
          <w:sz w:val="21"/>
          <w:szCs w:val="21"/>
        </w:rPr>
        <w:t xml:space="preserve">Write the 10–15 page report with honest limitations; finalise README and reproducibility check (Section 14).</w:t>
      </w:r>
    </w:p>
    <w:p>
      <w:pPr>
        <w:spacing w:after="120" w:line="276"/>
        <w:jc w:val="both"/>
      </w:pPr>
      <w:r>
        <w:rPr>
          <w:rFonts w:ascii="Calibri" w:cs="Calibri" w:eastAsia="Calibri" w:hAnsi="Calibri"/>
          <w:b/>
          <w:bCs/>
          <w:i w:val="false"/>
          <w:iCs w:val="false"/>
          <w:color w:val="222222"/>
          <w:sz w:val="21"/>
          <w:szCs w:val="21"/>
        </w:rPr>
        <w:t xml:space="preserve">End-of-week artifact: </w:t>
      </w:r>
      <w:r>
        <w:rPr>
          <w:rFonts w:ascii="Calibri" w:cs="Calibri" w:eastAsia="Calibri" w:hAnsi="Calibri"/>
          <w:b w:val="false"/>
          <w:bCs w:val="false"/>
          <w:i w:val="false"/>
          <w:iCs w:val="false"/>
          <w:color w:val="222222"/>
          <w:sz w:val="21"/>
          <w:szCs w:val="21"/>
        </w:rPr>
        <w:t xml:space="preserve">the full end-to-end system, dashboard, and written report — the final submission.</w:t>
      </w:r>
    </w:p>
    <w:p>
      <w:pPr>
        <w:spacing w:after="60"/>
      </w:pPr>
    </w:p>
    <w:p>
      <w:pPr>
        <w:pStyle w:val="Heading2"/>
        <w:keepNext/>
        <w:spacing w:after="100" w:before="240"/>
      </w:pPr>
      <w:r>
        <w:rPr>
          <w:rFonts w:ascii="Calibri" w:cs="Calibri" w:eastAsia="Calibri" w:hAnsi="Calibri"/>
          <w:b/>
          <w:bCs/>
          <w:color w:val="2E6E9E"/>
          <w:sz w:val="25"/>
          <w:szCs w:val="25"/>
        </w:rPr>
        <w:t xml:space="preserve">16.1 Timeline at a glance</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900"/>
        <w:gridCol w:w="3400"/>
        <w:gridCol w:w="5340"/>
      </w:tblGrid>
      <w:tr>
        <w:trPr>
          <w:tblHeader/>
        </w:trPr>
        <w:tc>
          <w:tcPr>
            <w:tcW w:type="dxa" w:w="9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Week</w:t>
            </w:r>
          </w:p>
        </w:tc>
        <w:tc>
          <w:tcPr>
            <w:tcW w:type="dxa" w:w="34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Theme</w:t>
            </w:r>
          </w:p>
        </w:tc>
        <w:tc>
          <w:tcPr>
            <w:tcW w:type="dxa" w:w="53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Primary deliverable</w:t>
            </w:r>
          </w:p>
        </w:tc>
      </w:tr>
      <w:tr>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1</w:t>
            </w:r>
          </w:p>
        </w:tc>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Data &amp; EDA</w:t>
            </w:r>
          </w:p>
        </w:tc>
        <w:tc>
          <w:tcPr>
            <w:tcW w:type="dxa" w:w="53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Processed panel + EDA findings</w:t>
            </w:r>
          </w:p>
        </w:tc>
      </w:tr>
      <w:tr>
        <w:tc>
          <w:tcPr>
            <w:tcW w:type="dxa" w:w="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2</w:t>
            </w:r>
          </w:p>
        </w:tc>
        <w:tc>
          <w:tcPr>
            <w:tcW w:type="dxa" w:w="3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Maths &amp; classical ML</w:t>
            </w:r>
          </w:p>
        </w:tc>
        <w:tc>
          <w:tcPr>
            <w:tcW w:type="dxa" w:w="53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ML leaderboard vs. baseline</w:t>
            </w:r>
          </w:p>
        </w:tc>
      </w:tr>
      <w:tr>
        <w:tc>
          <w:tcPr>
            <w:tcW w:type="dxa" w:w="9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3</w:t>
            </w:r>
          </w:p>
        </w:tc>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Deep learning &amp; sentiment</w:t>
            </w:r>
          </w:p>
        </w:tc>
        <w:tc>
          <w:tcPr>
            <w:tcW w:type="dxa" w:w="53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8-model comparison + sentiment impact</w:t>
            </w:r>
          </w:p>
        </w:tc>
      </w:tr>
      <w:tr>
        <w:tc>
          <w:tcPr>
            <w:tcW w:type="dxa" w:w="9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4</w:t>
            </w:r>
          </w:p>
        </w:tc>
        <w:tc>
          <w:tcPr>
            <w:tcW w:type="dxa" w:w="3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Optimisation &amp; delivery</w:t>
            </w:r>
          </w:p>
        </w:tc>
        <w:tc>
          <w:tcPr>
            <w:tcW w:type="dxa" w:w="53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Dashboard + report + reproducible repo</w:t>
            </w:r>
          </w:p>
        </w:tc>
      </w:tr>
    </w:tbl>
    <w:p>
      <w:r>
        <w:br w:type="page"/>
      </w:r>
    </w:p>
    <w:p>
      <w:pPr>
        <w:pStyle w:val="Heading1"/>
        <w:keepNext/>
        <w:spacing w:after="140" w:before="320"/>
      </w:pPr>
      <w:r>
        <w:rPr>
          <w:rFonts w:ascii="Calibri" w:cs="Calibri" w:eastAsia="Calibri" w:hAnsi="Calibri"/>
          <w:b/>
          <w:bCs/>
          <w:color w:val="1F3A5F"/>
          <w:sz w:val="30"/>
          <w:szCs w:val="30"/>
        </w:rPr>
        <w:t xml:space="preserve">17. Future Enhancements</w:t>
      </w:r>
    </w:p>
    <w:p>
      <w:pPr>
        <w:spacing w:after="120" w:line="276"/>
        <w:jc w:val="both"/>
      </w:pPr>
      <w:r>
        <w:rPr>
          <w:rFonts w:ascii="Calibri" w:cs="Calibri" w:eastAsia="Calibri" w:hAnsi="Calibri"/>
          <w:b w:val="false"/>
          <w:bCs w:val="false"/>
          <w:i w:val="false"/>
          <w:iCs w:val="false"/>
          <w:color w:val="222222"/>
          <w:sz w:val="21"/>
          <w:szCs w:val="21"/>
        </w:rPr>
        <w:t xml:space="preserve">Beyond the four-week baseline, these extensions raise the system toward research- or production-grade. They are documented as a roadmap, not required for submission.</w:t>
      </w:r>
    </w:p>
    <w:p>
      <w:pPr>
        <w:pStyle w:val="Heading3"/>
        <w:keepNext/>
        <w:spacing w:after="80" w:before="180"/>
      </w:pPr>
      <w:r>
        <w:rPr>
          <w:rFonts w:ascii="Calibri" w:cs="Calibri" w:eastAsia="Calibri" w:hAnsi="Calibri"/>
          <w:b/>
          <w:bCs/>
          <w:color w:val="444444"/>
          <w:sz w:val="22"/>
          <w:szCs w:val="22"/>
        </w:rPr>
        <w:t xml:space="preserve">Modelling</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Probabilistic forecasting (quantile regression, DeepAR) to output prediction intervals, not just point estimates.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Attention-based multivariate models (Temporal Fusion Transformer) that jointly model the whole universe.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Reinforcement-learning allocation agents (e.g. PPO) as an alternative to static MPT.</w:t>
      </w:r>
    </w:p>
    <w:p>
      <w:pPr>
        <w:pStyle w:val="Heading3"/>
        <w:keepNext/>
        <w:spacing w:after="80" w:before="180"/>
      </w:pPr>
      <w:r>
        <w:rPr>
          <w:rFonts w:ascii="Calibri" w:cs="Calibri" w:eastAsia="Calibri" w:hAnsi="Calibri"/>
          <w:b/>
          <w:bCs/>
          <w:color w:val="444444"/>
          <w:sz w:val="22"/>
          <w:szCs w:val="22"/>
        </w:rPr>
        <w:t xml:space="preserve">Data &amp; signal</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Alternative data: earnings-call transcripts, options-implied volatility, order-book features.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Real-time streaming ingestion and automated daily retraining.</w:t>
      </w:r>
    </w:p>
    <w:p>
      <w:pPr>
        <w:pStyle w:val="Heading3"/>
        <w:keepNext/>
        <w:spacing w:after="80" w:before="180"/>
      </w:pPr>
      <w:r>
        <w:rPr>
          <w:rFonts w:ascii="Calibri" w:cs="Calibri" w:eastAsia="Calibri" w:hAnsi="Calibri"/>
          <w:b/>
          <w:bCs/>
          <w:color w:val="444444"/>
          <w:sz w:val="22"/>
          <w:szCs w:val="22"/>
        </w:rPr>
        <w:t xml:space="preserve">Portfolio &amp; risk</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Black-Litterman blending of model views with market equilibrium; risk-parity and CVaR optimisation.</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Transaction-cost and slippage modelling in the backtest for realism.</w:t>
      </w:r>
    </w:p>
    <w:p>
      <w:pPr>
        <w:pStyle w:val="Heading3"/>
        <w:keepNext/>
        <w:spacing w:after="80" w:before="180"/>
      </w:pPr>
      <w:r>
        <w:rPr>
          <w:rFonts w:ascii="Calibri" w:cs="Calibri" w:eastAsia="Calibri" w:hAnsi="Calibri"/>
          <w:b/>
          <w:bCs/>
          <w:color w:val="444444"/>
          <w:sz w:val="22"/>
          <w:szCs w:val="22"/>
        </w:rPr>
        <w:t xml:space="preserve">Engineering &amp; MLOps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Experiment tracking (MLflow), model registry, and drift monitoring.</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Containerisation (Docker) and CI so the whole pipeline runs on a schedule.</w:t>
      </w:r>
    </w:p>
    <w:p>
      <w:r>
        <w:br w:type="page"/>
      </w:r>
    </w:p>
    <w:p>
      <w:pPr>
        <w:pStyle w:val="Heading1"/>
        <w:keepNext/>
        <w:spacing w:after="140" w:before="320"/>
      </w:pPr>
      <w:r>
        <w:rPr>
          <w:rFonts w:ascii="Calibri" w:cs="Calibri" w:eastAsia="Calibri" w:hAnsi="Calibri"/>
          <w:b/>
          <w:bCs/>
          <w:color w:val="1F3A5F"/>
          <w:sz w:val="30"/>
          <w:szCs w:val="30"/>
        </w:rPr>
        <w:t xml:space="preserve">18. Tools &amp; Technologies Required</w:t>
      </w:r>
    </w:p>
    <w:p>
      <w:pPr>
        <w:spacing w:after="120" w:line="276"/>
        <w:jc w:val="both"/>
      </w:pPr>
      <w:r>
        <w:rPr>
          <w:rFonts w:ascii="Calibri" w:cs="Calibri" w:eastAsia="Calibri" w:hAnsi="Calibri"/>
          <w:b w:val="false"/>
          <w:bCs w:val="false"/>
          <w:i w:val="false"/>
          <w:iCs w:val="false"/>
          <w:color w:val="222222"/>
          <w:sz w:val="21"/>
          <w:szCs w:val="21"/>
        </w:rPr>
        <w:t xml:space="preserve">Everything below is open-source or offers a free tier sufficient for this project. No paid infrastructure is required to complete the baseline.</w:t>
      </w:r>
    </w:p>
    <w:p>
      <w:pPr>
        <w:pStyle w:val="Heading2"/>
        <w:keepNext/>
        <w:spacing w:after="100" w:before="240"/>
      </w:pPr>
      <w:r>
        <w:rPr>
          <w:rFonts w:ascii="Calibri" w:cs="Calibri" w:eastAsia="Calibri" w:hAnsi="Calibri"/>
          <w:b/>
          <w:bCs/>
          <w:color w:val="2E6E9E"/>
          <w:sz w:val="25"/>
          <w:szCs w:val="25"/>
        </w:rPr>
        <w:t xml:space="preserve">18.1 Core stack</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2400"/>
        <w:gridCol w:w="3400"/>
        <w:gridCol w:w="3840"/>
      </w:tblGrid>
      <w:tr>
        <w:trPr>
          <w:tblHeader/>
        </w:trPr>
        <w:tc>
          <w:tcPr>
            <w:tcW w:type="dxa" w:w="24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Category</w:t>
            </w:r>
          </w:p>
        </w:tc>
        <w:tc>
          <w:tcPr>
            <w:tcW w:type="dxa" w:w="34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Tools</w:t>
            </w:r>
          </w:p>
        </w:tc>
        <w:tc>
          <w:tcPr>
            <w:tcW w:type="dxa" w:w="38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Purpose</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Language &amp; runtime</w:t>
            </w:r>
          </w:p>
        </w:tc>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Python 3.11+</w:t>
            </w:r>
          </w:p>
        </w:tc>
        <w:tc>
          <w:tcPr>
            <w:tcW w:type="dxa" w:w="3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Primary implementation language</w:t>
            </w:r>
          </w:p>
        </w:tc>
      </w:tr>
      <w:tr>
        <w:tc>
          <w:tcPr>
            <w:tcW w:type="dxa" w:w="2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Environment</w:t>
            </w:r>
          </w:p>
        </w:tc>
        <w:tc>
          <w:tcPr>
            <w:tcW w:type="dxa" w:w="3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conda / venv, pip, Jupyter</w:t>
            </w:r>
          </w:p>
        </w:tc>
        <w:tc>
          <w:tcPr>
            <w:tcW w:type="dxa" w:w="38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Isolation, notebooks, reproducibility</w:t>
            </w:r>
          </w:p>
        </w:tc>
      </w:tr>
      <w:tr>
        <w:tc>
          <w:tcPr>
            <w:tcW w:type="dxa" w:w="2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Version control</w:t>
            </w:r>
          </w:p>
        </w:tc>
        <w:tc>
          <w:tcPr>
            <w:tcW w:type="dxa" w:w="34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Git + GitHub/GitLab</w:t>
            </w:r>
          </w:p>
        </w:tc>
        <w:tc>
          <w:tcPr>
            <w:tcW w:type="dxa" w:w="38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Source control &amp; submission</w:t>
            </w:r>
          </w:p>
        </w:tc>
      </w:tr>
      <w:tr>
        <w:tc>
          <w:tcPr>
            <w:tcW w:type="dxa" w:w="2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IDE</w:t>
            </w:r>
          </w:p>
        </w:tc>
        <w:tc>
          <w:tcPr>
            <w:tcW w:type="dxa" w:w="34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VS Code or PyCharm</w:t>
            </w:r>
          </w:p>
        </w:tc>
        <w:tc>
          <w:tcPr>
            <w:tcW w:type="dxa" w:w="38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Development</w:t>
            </w:r>
          </w:p>
        </w:tc>
      </w:tr>
    </w:tbl>
    <w:p>
      <w:pPr>
        <w:pStyle w:val="Heading2"/>
        <w:keepNext/>
        <w:spacing w:after="100" w:before="240"/>
      </w:pPr>
      <w:r>
        <w:rPr>
          <w:rFonts w:ascii="Calibri" w:cs="Calibri" w:eastAsia="Calibri" w:hAnsi="Calibri"/>
          <w:b/>
          <w:bCs/>
          <w:color w:val="2E6E9E"/>
          <w:sz w:val="25"/>
          <w:szCs w:val="25"/>
        </w:rPr>
        <w:t xml:space="preserve">18.2 Data &amp; numerical libraries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3200"/>
        <w:gridCol w:w="6440"/>
      </w:tblGrid>
      <w:tr>
        <w:trPr>
          <w:tblHeader/>
        </w:trPr>
        <w:tc>
          <w:tcPr>
            <w:tcW w:type="dxa" w:w="3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Library</w:t>
            </w:r>
          </w:p>
        </w:tc>
        <w:tc>
          <w:tcPr>
            <w:tcW w:type="dxa" w:w="64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Role</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pandas, NumPy</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Data wrangling, cleaning, vectorised computation</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yfinance, pandas-datareader</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Market prices and FRED macro data (free, no key for prices)</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requests / newsapi-python / finnhub</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Financial news ingestion for sentiment</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SciPy, statsmodels</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Statistics, ADF test, time-series decomposition</w:t>
            </w:r>
          </w:p>
        </w:tc>
      </w:tr>
    </w:tbl>
    <w:p>
      <w:pPr>
        <w:pStyle w:val="Heading2"/>
        <w:keepNext/>
        <w:spacing w:after="100" w:before="240"/>
      </w:pPr>
      <w:r>
        <w:rPr>
          <w:rFonts w:ascii="Calibri" w:cs="Calibri" w:eastAsia="Calibri" w:hAnsi="Calibri"/>
          <w:b/>
          <w:bCs/>
          <w:color w:val="2E6E9E"/>
          <w:sz w:val="25"/>
          <w:szCs w:val="25"/>
        </w:rPr>
        <w:t xml:space="preserve">18.3 Modelling libraries</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3200"/>
        <w:gridCol w:w="6440"/>
      </w:tblGrid>
      <w:tr>
        <w:trPr>
          <w:tblHeader/>
        </w:trPr>
        <w:tc>
          <w:tcPr>
            <w:tcW w:type="dxa" w:w="3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Library</w:t>
            </w:r>
          </w:p>
        </w:tc>
        <w:tc>
          <w:tcPr>
            <w:tcW w:type="dxa" w:w="64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Role</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scikit-learn</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Linear/Ridge, Random Forest, SVR, scaling, TimeSeriesSplit, metrics</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XGBoost</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Gradient-boosted regression</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TensorFlow / Keras (or PyTorch)</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LSTM, GRU, BiLSTM, Transformer</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Hugging Face Transformers</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FinBERT sentiment scoring</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NLTK / VADER</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Lightweight lexicon sentiment baseline</w:t>
            </w:r>
          </w:p>
        </w:tc>
      </w:tr>
    </w:tbl>
    <w:p>
      <w:pPr>
        <w:pStyle w:val="Heading2"/>
        <w:keepNext/>
        <w:spacing w:after="100" w:before="240"/>
      </w:pPr>
      <w:r>
        <w:rPr>
          <w:rFonts w:ascii="Calibri" w:cs="Calibri" w:eastAsia="Calibri" w:hAnsi="Calibri"/>
          <w:b/>
          <w:bCs/>
          <w:color w:val="2E6E9E"/>
          <w:sz w:val="25"/>
          <w:szCs w:val="25"/>
        </w:rPr>
        <w:t xml:space="preserve">18.4 Finance, visualisation &amp; delivery</w:t>
      </w:r>
    </w:p>
    <w:tbl>
      <w:tblPr>
        <w:tblW w:type="dxa" w:w="9640"/>
        <w:tblBorders>
          <w:top w:val="single" w:color="C9D4E0" w:sz="4"/>
          <w:left w:val="single" w:color="C9D4E0" w:sz="4"/>
          <w:bottom w:val="single" w:color="C9D4E0" w:sz="4"/>
          <w:right w:val="single" w:color="C9D4E0" w:sz="4"/>
          <w:insideH w:val="single" w:color="C9D4E0" w:sz="2"/>
          <w:insideV w:val="single" w:color="C9D4E0" w:sz="2"/>
        </w:tblBorders>
      </w:tblPr>
      <w:tblGrid>
        <w:gridCol w:w="3200"/>
        <w:gridCol w:w="6440"/>
      </w:tblGrid>
      <w:tr>
        <w:trPr>
          <w:tblHeader/>
        </w:trPr>
        <w:tc>
          <w:tcPr>
            <w:tcW w:type="dxa" w:w="320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Library</w:t>
            </w:r>
          </w:p>
        </w:tc>
        <w:tc>
          <w:tcPr>
            <w:tcW w:type="dxa" w:w="6440"/>
            <w:shd w:fill="1F3A5F"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Role</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PyPortfolioOpt / cvxpy</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Efficient frontier, mean-variance optimisation</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matplotlib, seaborn, Plotly</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Static and interactive charts</w:t>
            </w:r>
          </w:p>
        </w:tc>
      </w:tr>
      <w:tr>
        <w:tc>
          <w:tcPr>
            <w:tcW w:type="dxa" w:w="320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Streamlit</w:t>
            </w:r>
          </w:p>
        </w:tc>
        <w:tc>
          <w:tcPr>
            <w:tcW w:type="dxa" w:w="6440"/>
            <w:shd w:fill="FFFFFF"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Interactive dashboard</w:t>
            </w:r>
          </w:p>
        </w:tc>
      </w:tr>
      <w:tr>
        <w:tc>
          <w:tcPr>
            <w:tcW w:type="dxa" w:w="320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PyYAML, joblib</w:t>
            </w:r>
          </w:p>
        </w:tc>
        <w:tc>
          <w:tcPr>
            <w:tcW w:type="dxa" w:w="6440"/>
            <w:shd w:fill="EEF3F8" w:color="auto" w:val="clear"/>
            <w:tcMar>
              <w:top w:type="dxa" w:w="60"/>
              <w:left w:type="dxa" w:w="100"/>
              <w:bottom w:type="dxa" w:w="60"/>
              <w:right w:type="dxa" w:w="100"/>
            </w:tcMar>
          </w:tcPr>
          <w:p>
            <w:pPr>
              <w:spacing w:after="0" w:line="252"/>
              <w:jc w:val="left"/>
            </w:pPr>
            <w:r>
              <w:rPr>
                <w:rFonts w:ascii="Calibri" w:cs="Calibri" w:eastAsia="Calibri" w:hAnsi="Calibri"/>
                <w:b w:val="false"/>
                <w:bCs w:val="false"/>
                <w:color w:val="222222"/>
                <w:sz w:val="18"/>
                <w:szCs w:val="18"/>
              </w:rPr>
              <w:t xml:space="preserve">Config management and artifact persistence</w:t>
            </w:r>
          </w:p>
        </w:tc>
      </w:tr>
    </w:tbl>
    <w:p>
      <w:pPr>
        <w:pStyle w:val="Heading2"/>
        <w:keepNext/>
        <w:spacing w:after="100" w:before="240"/>
      </w:pPr>
      <w:r>
        <w:rPr>
          <w:rFonts w:ascii="Calibri" w:cs="Calibri" w:eastAsia="Calibri" w:hAnsi="Calibri"/>
          <w:b/>
          <w:bCs/>
          <w:color w:val="2E6E9E"/>
          <w:sz w:val="25"/>
          <w:szCs w:val="25"/>
        </w:rPr>
        <w:t xml:space="preserve">18.5 Data sources (public)</w:t>
      </w:r>
    </w:p>
    <w:p>
      <w:pPr>
        <w:pStyle w:val="ListParagraph"/>
        <w:numPr>
          <w:ilvl w:val="0"/>
          <w:numId w:val="2"/>
        </w:numPr>
        <w:spacing w:after="60" w:line="264"/>
      </w:pPr>
      <w:r>
        <w:rPr>
          <w:rFonts w:ascii="Calibri" w:cs="Calibri" w:eastAsia="Calibri" w:hAnsi="Calibri"/>
          <w:b/>
          <w:bCs/>
          <w:i w:val="false"/>
          <w:iCs w:val="false"/>
          <w:color w:val="222222"/>
          <w:sz w:val="21"/>
          <w:szCs w:val="21"/>
        </w:rPr>
        <w:t xml:space="preserve">Yahoo Finance</w:t>
      </w:r>
      <w:r>
        <w:rPr>
          <w:rFonts w:ascii="Calibri" w:cs="Calibri" w:eastAsia="Calibri" w:hAnsi="Calibri"/>
          <w:b w:val="false"/>
          <w:bCs w:val="false"/>
          <w:i w:val="false"/>
          <w:iCs w:val="false"/>
          <w:color w:val="222222"/>
          <w:sz w:val="21"/>
          <w:szCs w:val="21"/>
        </w:rPr>
        <w:t xml:space="preserve"> (via yfinance) — daily OHLCV and adjusted close.</w:t>
      </w:r>
    </w:p>
    <w:p>
      <w:pPr>
        <w:pStyle w:val="ListParagraph"/>
        <w:numPr>
          <w:ilvl w:val="0"/>
          <w:numId w:val="2"/>
        </w:numPr>
        <w:spacing w:after="60" w:line="264"/>
      </w:pPr>
      <w:r>
        <w:rPr>
          <w:rFonts w:ascii="Calibri" w:cs="Calibri" w:eastAsia="Calibri" w:hAnsi="Calibri"/>
          <w:b/>
          <w:bCs/>
          <w:i w:val="false"/>
          <w:iCs w:val="false"/>
          <w:color w:val="222222"/>
          <w:sz w:val="21"/>
          <w:szCs w:val="21"/>
        </w:rPr>
        <w:t xml:space="preserve">FRED</w:t>
      </w:r>
      <w:r>
        <w:rPr>
          <w:rFonts w:ascii="Calibri" w:cs="Calibri" w:eastAsia="Calibri" w:hAnsi="Calibri"/>
          <w:b w:val="false"/>
          <w:bCs w:val="false"/>
          <w:i w:val="false"/>
          <w:iCs w:val="false"/>
          <w:color w:val="222222"/>
          <w:sz w:val="21"/>
          <w:szCs w:val="21"/>
        </w:rPr>
        <w:t xml:space="preserve"> (Federal Reserve Economic Data) — interest rates, CPI, unemployment; free API key.</w:t>
      </w:r>
    </w:p>
    <w:p>
      <w:pPr>
        <w:pStyle w:val="ListParagraph"/>
        <w:numPr>
          <w:ilvl w:val="0"/>
          <w:numId w:val="2"/>
        </w:numPr>
        <w:spacing w:after="60" w:line="264"/>
      </w:pPr>
      <w:r>
        <w:rPr>
          <w:rFonts w:ascii="Calibri" w:cs="Calibri" w:eastAsia="Calibri" w:hAnsi="Calibri"/>
          <w:b/>
          <w:bCs/>
          <w:i w:val="false"/>
          <w:iCs w:val="false"/>
          <w:color w:val="222222"/>
          <w:sz w:val="21"/>
          <w:szCs w:val="21"/>
        </w:rPr>
        <w:t xml:space="preserve">A news API</w:t>
      </w:r>
      <w:r>
        <w:rPr>
          <w:rFonts w:ascii="Calibri" w:cs="Calibri" w:eastAsia="Calibri" w:hAnsi="Calibri"/>
          <w:b w:val="false"/>
          <w:bCs w:val="false"/>
          <w:i w:val="false"/>
          <w:iCs w:val="false"/>
          <w:color w:val="222222"/>
          <w:sz w:val="21"/>
          <w:szCs w:val="21"/>
        </w:rPr>
        <w:t xml:space="preserve"> (NewsAPI, Finnhub, or GNews free tier) — headlines and summaries for sentiment.</w:t>
      </w:r>
    </w:p>
    <w:p>
      <w:pPr>
        <w:pBdr>
          <w:left w:val="single" w:color="0B6E4F" w:sz="20" w:space="8"/>
        </w:pBdr>
        <w:shd w:fill="EAF3EE" w:color="auto" w:val="clear"/>
        <w:spacing w:after="140" w:before="100" w:line="268"/>
      </w:pPr>
      <w:r>
        <w:rPr>
          <w:rFonts w:ascii="Calibri" w:cs="Calibri" w:eastAsia="Calibri" w:hAnsi="Calibri"/>
          <w:b/>
          <w:bCs/>
          <w:color w:val="0B6E4F"/>
          <w:sz w:val="20"/>
          <w:szCs w:val="20"/>
        </w:rPr>
        <w:t xml:space="preserve">Hardware note:  </w:t>
      </w:r>
      <w:r>
        <w:rPr>
          <w:rFonts w:ascii="Calibri" w:cs="Calibri" w:eastAsia="Calibri" w:hAnsi="Calibri"/>
          <w:b w:val="false"/>
          <w:bCs w:val="false"/>
          <w:i w:val="false"/>
          <w:iCs w:val="false"/>
          <w:color w:val="22402F"/>
          <w:sz w:val="20"/>
          <w:szCs w:val="20"/>
        </w:rPr>
        <w:t xml:space="preserve">The baseline trains comfortably on a standard laptop CPU. A free Google Colab / Kaggle GPU session is optional and only speeds up the deep-learning experiments.</w:t>
      </w:r>
    </w:p>
    <w:p>
      <w:r>
        <w:br w:type="page"/>
      </w:r>
    </w:p>
    <w:p>
      <w:pPr>
        <w:pStyle w:val="Heading1"/>
        <w:keepNext/>
        <w:spacing w:after="140" w:before="320"/>
      </w:pPr>
      <w:r>
        <w:rPr>
          <w:rFonts w:ascii="Calibri" w:cs="Calibri" w:eastAsia="Calibri" w:hAnsi="Calibri"/>
          <w:b/>
          <w:bCs/>
          <w:color w:val="1F3A5F"/>
          <w:sz w:val="30"/>
          <w:szCs w:val="30"/>
        </w:rPr>
        <w:t xml:space="preserve">19. Deliverables Checklist</w:t>
      </w:r>
    </w:p>
    <w:p>
      <w:pPr>
        <w:spacing w:after="120" w:line="276"/>
        <w:jc w:val="both"/>
      </w:pPr>
      <w:r>
        <w:rPr>
          <w:rFonts w:ascii="Calibri" w:cs="Calibri" w:eastAsia="Calibri" w:hAnsi="Calibri"/>
          <w:b w:val="false"/>
          <w:bCs w:val="false"/>
          <w:i w:val="false"/>
          <w:iCs w:val="false"/>
          <w:color w:val="222222"/>
          <w:sz w:val="21"/>
          <w:szCs w:val="21"/>
        </w:rPr>
        <w:t xml:space="preserve">The final submission to Northgate Quantitative Research comprises: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Git repository with the layered structure of Listing 15.1 and pinned requirements.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Deterministic ingestion + cleaning scripts and a data-quality report.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Feature engineering and sequence-generation modules with no look-ahead.</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EDA notebook with captioned, decision-linked findings.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From-scratch financial-maths module verified against libraries.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Four tuned ML models and four DL models with the populated eight-model comparison table.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Sentiment pipeline and the quantified with/without-sentiment result.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Efficient-frontier optimisation, max-Sharpe weights, and a baseline-relative backtest.</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Transparent recommendation and rebalancing engine.</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Streamlit dashboard with all seven panels.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10–15 page written report with methodology, results, limitations, and honest failure analysis.</w:t>
      </w:r>
    </w:p>
    <w:p>
      <w:pPr>
        <w:pStyle w:val="ListParagraph"/>
        <w:numPr>
          <w:ilvl w:val="0"/>
          <w:numId w:val="2"/>
        </w:numPr>
        <w:spacing w:after="60" w:line="264"/>
      </w:pPr>
      <w:r>
        <w:rPr>
          <w:rFonts w:ascii="Calibri" w:cs="Calibri" w:eastAsia="Calibri" w:hAnsi="Calibri"/>
          <w:b w:val="false"/>
          <w:bCs w:val="false"/>
          <w:i w:val="false"/>
          <w:iCs w:val="false"/>
          <w:color w:val="222222"/>
          <w:sz w:val="21"/>
          <w:szCs w:val="21"/>
        </w:rPr>
        <w:t xml:space="preserve">README with one-command rebuild instructions.</w:t>
      </w:r>
    </w:p>
    <w:p>
      <w:pPr>
        <w:pBdr>
          <w:bottom w:val="single" w:color="C9D4E0" w:sz="6" w:space="1"/>
        </w:pBdr>
        <w:spacing w:after="120" w:before="60"/>
      </w:pPr>
    </w:p>
    <w:p>
      <w:pPr>
        <w:spacing w:after="80" w:before="200"/>
        <w:jc w:val="center"/>
      </w:pPr>
      <w:r>
        <w:rPr>
          <w:rFonts w:ascii="Calibri" w:cs="Calibri" w:eastAsia="Calibri" w:hAnsi="Calibri"/>
          <w:b/>
          <w:bCs/>
          <w:color w:val="1F3A5F"/>
          <w:sz w:val="22"/>
          <w:szCs w:val="22"/>
        </w:rPr>
        <w:t xml:space="preserve">End of Product Requirements Document</w:t>
      </w:r>
    </w:p>
    <w:p>
      <w:pPr>
        <w:spacing w:after="40"/>
        <w:jc w:val="center"/>
      </w:pPr>
      <w:r>
        <w:rPr>
          <w:rFonts w:ascii="Calibri" w:cs="Calibri" w:eastAsia="Calibri" w:hAnsi="Calibri"/>
          <w:i/>
          <w:iCs/>
          <w:color w:val="444444"/>
          <w:sz w:val="17"/>
          <w:szCs w:val="17"/>
        </w:rPr>
        <w:t xml:space="preserve">Northgate Quantitative Research · Quantitative Research &amp; Data Science Group · Version 1.0</w:t>
      </w:r>
    </w:p>
    <w:p>
      <w:pPr>
        <w:jc w:val="center"/>
      </w:pPr>
      <w:r>
        <w:rPr>
          <w:rFonts w:ascii="Calibri" w:cs="Calibri" w:eastAsia="Calibri" w:hAnsi="Calibri"/>
          <w:i/>
          <w:iCs/>
          <w:color w:val="8A5A00"/>
          <w:sz w:val="16"/>
          <w:szCs w:val="16"/>
        </w:rPr>
        <w:t xml:space="preserve">This system is an educational research and decision-support tool. Its outputs do not constitute financial advice.</w:t>
      </w:r>
    </w:p>
    <w:sectPr>
      <w:headerReference w:type="default" r:id="rId7"/>
      <w:footerReference w:type="default" r:id="rId8"/>
      <w:pgSz w:w="12240" w:h="15840"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4" w:space="3"/>
      </w:pBdr>
      <w:jc w:val="center"/>
    </w:pPr>
    <w:r>
      <w:rPr>
        <w:rFonts w:ascii="Calibri" w:cs="Calibri" w:eastAsia="Calibri" w:hAnsi="Calibri"/>
        <w:color w:val="444444"/>
        <w:sz w:val="15"/>
        <w:szCs w:val="15"/>
      </w:rPr>
      <w:t xml:space="preserve">Confidential — Capstone Project Brief    |    Page </w:t>
    </w:r>
    <w:r>
      <w:rPr>
        <w:rFonts w:ascii="Calibri" w:cs="Calibri" w:eastAsia="Calibri" w:hAnsi="Calibri"/>
        <w:color w:val="444444"/>
        <w:sz w:val="15"/>
        <w:szCs w:val="15"/>
      </w:rPr>
      <w:fldChar w:fldCharType="begin"/>
      <w:instrText xml:space="preserve">PAGE</w:instrText>
      <w:fldChar w:fldCharType="separate"/>
      <w:fldChar w:fldCharType="end"/>
    </w:r>
    <w:r>
      <w:rPr>
        <w:rFonts w:ascii="Calibri" w:cs="Calibri" w:eastAsia="Calibri" w:hAnsi="Calibri"/>
        <w:color w:val="444444"/>
        <w:sz w:val="15"/>
        <w:szCs w:val="15"/>
      </w:rPr>
      <w:t xml:space="preserve"> of </w:t>
    </w:r>
    <w:r>
      <w:rPr>
        <w:rFonts w:ascii="Calibri" w:cs="Calibri" w:eastAsia="Calibri" w:hAnsi="Calibri"/>
        <w:color w:val="44444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3"/>
      </w:pBdr>
      <w:jc w:val="right"/>
    </w:pPr>
    <w:r>
      <w:rPr>
        <w:rFonts w:ascii="Calibri" w:cs="Calibri" w:eastAsia="Calibri" w:hAnsi="Calibri"/>
        <w:b/>
        <w:bCs/>
        <w:color w:val="2E6E9E"/>
        <w:sz w:val="15"/>
        <w:szCs w:val="15"/>
      </w:rPr>
      <w:t xml:space="preserve">Northgate Quantitative Research</w:t>
    </w:r>
    <w:r>
      <w:rPr>
        <w:rFonts w:ascii="Calibri" w:cs="Calibri" w:eastAsia="Calibri" w:hAnsi="Calibri"/>
        <w:color w:val="444444"/>
        <w:sz w:val="15"/>
        <w:szCs w:val="15"/>
      </w:rPr>
      <w:t xml:space="preserve">   ·   AI Stock Prediction &amp; Portfolio Optimization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6E9E"/>
      </w:r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00" w:hanging="300"/>
      </w:pPr>
      <w:rPr>
        <w:b/>
        <w:bCs/>
        <w:color w:val="1F3A5F"/>
      </w:rPr>
    </w:lvl>
  </w:abstractNum>
  <w:abstractNum w:abstractNumId="4" w15:restartNumberingAfterBreak="0">
    <w:multiLevelType w:val="hybridMultilevel"/>
    <w:lvl w:ilvl="0" w15:tentative="1">
      <w:start w:val="1"/>
      <w:numFmt w:val="decimal"/>
      <w:lvlText w:val="%1."/>
      <w:lvlJc w:val="left"/>
      <w:pPr>
        <w:ind w:left="500" w:hanging="300"/>
      </w:pPr>
      <w:rPr>
        <w:b/>
        <w:bCs/>
        <w:color w:val="1F3A5F"/>
      </w:rPr>
    </w:lvl>
  </w:abstractNum>
  <w:abstractNum w:abstractNumId="5" w15:restartNumberingAfterBreak="0">
    <w:multiLevelType w:val="hybridMultilevel"/>
    <w:lvl w:ilvl="0" w15:tentative="1">
      <w:start w:val="1"/>
      <w:numFmt w:val="decimal"/>
      <w:lvlText w:val="%1."/>
      <w:lvlJc w:val="left"/>
      <w:pPr>
        <w:ind w:left="50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Stock Market Prediction &amp; Portfolio Optimization — PRD</dc:title>
  <dc:creator>Northgate Quantitative Research</dc:creator>
  <dc:description>Advanced individual capstone project brief</dc:description>
  <cp:lastModifiedBy>Un-named</cp:lastModifiedBy>
  <cp:revision>1</cp:revision>
  <dcterms:created xsi:type="dcterms:W3CDTF">2026-07-04T06:46:22.929Z</dcterms:created>
  <dcterms:modified xsi:type="dcterms:W3CDTF">2026-07-04T06:46:22.930Z</dcterms:modified>
</cp:coreProperties>
</file>

<file path=docProps/custom.xml><?xml version="1.0" encoding="utf-8"?>
<Properties xmlns="http://schemas.openxmlformats.org/officeDocument/2006/custom-properties" xmlns:vt="http://schemas.openxmlformats.org/officeDocument/2006/docPropsVTypes"/>
</file>