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Ratio and Proportion – Answer Key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6"/>
        <w:gridCol w:w="3597"/>
        <w:gridCol w:w="3597"/>
        <w:tblGridChange w:id="0">
          <w:tblGrid>
            <w:gridCol w:w="3596"/>
            <w:gridCol w:w="3597"/>
            <w:gridCol w:w="3597"/>
          </w:tblGrid>
        </w:tblGridChange>
      </w:tblGrid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55F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D55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A362C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wZAgBFhWbGywSy9d+IH+vHlw==">AMUW2mWF1uAP0C0KGNUVwZ3hEx/YQxq59NQSUFaD5Zlz5dJ5bSIQzCbqIgP/h1QKVULwv82Rtnzap2tByb8Nclm1gL5vlQYv8tYv+VK2pASsUn2LJvMI9mw=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2022-07-13T01:43:00Z</dcterms:created>
  <dc:creator>Guest User</dc:creator>
</cp:coreProperties>
</file>