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Explain your selected case study, describe the central problem, and recommend a practical solution.</w:t>
      </w:r>
    </w:p>
    <w:p>
      <w:r>
        <w:t xml:space="preserve"/>
      </w:r>
    </w:p>
    <w:p>
      <w:r>
        <w:t xml:space="preserve">The made-up Brindle Works repair network improved appliance reuse by giving libraries small diagnostic kits. Residents booked a short inspection, technicians identified replaceable components, and the library lent the repaired item while its owner waited for a part. The team compared repair completion, waiting time, and repeat faults across several branches.</w:t>
      </w:r>
    </w:p>
    <w:sectPr/>
  </w:body>
</w:document>
</file>