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Explain your selected case study, describe the central problem, and recommend a practical solution.</w:t>
      </w:r>
    </w:p>
    <w:p>
      <w:r>
        <w:t xml:space="preserve"/>
      </w:r>
    </w:p>
    <w:p>
      <w:r>
        <w:t xml:space="preserve">At fictional Brindle Works, tool kits in local libraries helped technicians assess broken household devices. People reserved an examination, staff found components that could be swapped, and a loaner stayed available until the replacement arrived. The project tracked successful fixes, delays, and recurring problems at multiple sites.</w:t>
      </w:r>
    </w:p>
    <w:sectPr/>
  </w:body>
</w:document>
</file>